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1BBC6" w14:textId="77777777" w:rsidR="00213CEF" w:rsidRDefault="00DD7A1C">
      <w:r>
        <w:t>Properties of BCC iron</w:t>
      </w:r>
    </w:p>
    <w:p w14:paraId="366D88C7" w14:textId="428F7742" w:rsidR="00DD7A1C" w:rsidRDefault="004B1D7E">
      <w:r>
        <w:t xml:space="preserve">Formation energy of vacancies </w:t>
      </w:r>
      <w:r>
        <w:fldChar w:fldCharType="begin"/>
      </w:r>
      <w:r>
        <w:instrText xml:space="preserve"> ADDIN ZOTERO_ITEM CSL_CITATION {"citationID":"lAsXtL3S","properties":{"formattedCitation":"[1]","plainCitation":"[1]","noteIndex":0},"citationItems":[{"id":3665,"uris":["http://zotero.org/users/2896564/items/SPX6DD63"],"uri":["http://zotero.org/users/2896564/items/SPX6DD63"],"itemData":{"id":3665,"type":"article-journal","abstract":"The technique of the coincidence count rate at the peak of the angular correlation curve (CCR) in positron annihilation has been applied to the investigation of vacancy formation energies in thermal equilibrium in nickel, cobalt, and iron. The monovacancy formation energyE1v/Fhas been determined to (1.55±0.05) eV and (1.34±0.07) eV for nickel and cobalt, and (1.60±0.10) eV for α-iron, and (1.40±0.15) eV for γ-iron, respectively. The structural phase transformations in cobalt (693 K) and iron (1183 K, 1663 K) are exhibited by discontinuities of the CCR. In the case of cobalt the CCR follows exactly the change of the thermal expansion at the transition temperature. The temperature dependence of the CCR in the prevacancy region is found to be proportional to the thermal expansion for all metals investigated.","container-title":"Applied physics","DOI":"10.1007/BF00885934","ISSN":"1432-0630","issue":"2","journalAbbreviation":"Appl. Phys.","language":"en","page":"135-140","source":"Springer Link","title":"Phase transformations and vacancy formation energies of transition metals by positron annihilation","volume":"20","author":[{"family":"Matter","given":"H."},{"family":"Winter","given":"J."},{"family":"Triftshäuser","given":"W."}],"issued":{"date-parts":[["1979",10,1]]}}}],"schema":"https://github.com/citation-style-language/schema/raw/master/csl-citation.json"} </w:instrText>
      </w:r>
      <w:r>
        <w:fldChar w:fldCharType="separate"/>
      </w:r>
      <w:r>
        <w:rPr>
          <w:noProof/>
        </w:rPr>
        <w:t>[1]</w:t>
      </w:r>
      <w:r>
        <w:fldChar w:fldCharType="end"/>
      </w:r>
    </w:p>
    <w:p w14:paraId="2324F8DC" w14:textId="77777777" w:rsidR="00DD7A1C" w:rsidRDefault="00DD7A1C">
      <w:r>
        <w:t>Density – ρ</w:t>
      </w:r>
      <m:oMath>
        <m:r>
          <w:rPr>
            <w:rFonts w:ascii="Cambria Math" w:hAnsi="Cambria Math"/>
          </w:rPr>
          <m:t xml:space="preserve"> = 16.6</m:t>
        </m:r>
      </m:oMath>
      <w:r>
        <w:t xml:space="preserve"> g/cm3</w:t>
      </w:r>
    </w:p>
    <w:p w14:paraId="5C6BDD19" w14:textId="77777777" w:rsidR="00DD7A1C" w:rsidRDefault="00DD7A1C">
      <w:r>
        <w:t>Molar mass M= 55.85 g/</w:t>
      </w:r>
      <w:proofErr w:type="spellStart"/>
      <w:r>
        <w:t>mol</w:t>
      </w:r>
      <w:proofErr w:type="spellEnd"/>
    </w:p>
    <w:p w14:paraId="310DE55E" w14:textId="77777777" w:rsidR="00DD7A1C" w:rsidRDefault="00DD7A1C"/>
    <w:p w14:paraId="7D252674" w14:textId="77777777" w:rsidR="00DD7A1C" w:rsidRDefault="00DD7A1C">
      <w:r>
        <w:t xml:space="preserve">Molar volume – 16.6/55.85 </w:t>
      </w:r>
      <w:proofErr w:type="spellStart"/>
      <w:r>
        <w:t>mol</w:t>
      </w:r>
      <w:proofErr w:type="spellEnd"/>
      <w:r>
        <w:t>/cm^3</w:t>
      </w:r>
    </w:p>
    <w:p w14:paraId="15413225" w14:textId="77777777" w:rsidR="00DD7A1C" w:rsidRDefault="00DD7A1C" w:rsidP="00DD7A1C">
      <w:r>
        <w:t xml:space="preserve">Atomic density </w:t>
      </w:r>
      <w:proofErr w:type="gramStart"/>
      <w:r>
        <w:t>-  16.6</w:t>
      </w:r>
      <w:proofErr w:type="gramEnd"/>
      <w:r>
        <w:t xml:space="preserve">/55.85/N_A </w:t>
      </w:r>
      <w:proofErr w:type="spellStart"/>
      <w:r>
        <w:t>mol</w:t>
      </w:r>
      <w:proofErr w:type="spellEnd"/>
      <w:r>
        <w:t xml:space="preserve">/cm^3 = </w:t>
      </w:r>
      <w:r w:rsidRPr="00DD7A1C">
        <w:t>1.7899291e+23</w:t>
      </w:r>
      <w:r>
        <w:t xml:space="preserve"> atoms/cm^3</w:t>
      </w:r>
    </w:p>
    <w:p w14:paraId="012D6E9E" w14:textId="77777777" w:rsidR="00DD7A1C" w:rsidRDefault="00DD7A1C" w:rsidP="00DD7A1C">
      <w:r>
        <w:t>Atomic volume = 1/</w:t>
      </w:r>
      <w:r w:rsidRPr="00DD7A1C">
        <w:t>1.7899291e+23</w:t>
      </w:r>
      <w:r>
        <w:t xml:space="preserve"> cm^3/atom*1e7^3 nm^3/cm^3 = </w:t>
      </w:r>
      <w:r w:rsidRPr="00DD7A1C">
        <w:t>0.0055</w:t>
      </w:r>
      <w:r>
        <w:t>9 nm^3/atom</w:t>
      </w:r>
    </w:p>
    <w:p w14:paraId="46F94737" w14:textId="77777777" w:rsidR="00DD7A1C" w:rsidRDefault="00DD7A1C" w:rsidP="00DD7A1C"/>
    <w:p w14:paraId="642DDC13" w14:textId="69E66E06" w:rsidR="00DD7A1C" w:rsidRDefault="00DD7A1C" w:rsidP="00DD7A1C">
      <w:r>
        <w:t xml:space="preserve">D = </w:t>
      </w:r>
      <w:r w:rsidR="00B07875">
        <w:t xml:space="preserve">1.39 </w:t>
      </w:r>
      <w:proofErr w:type="spellStart"/>
      <w:r w:rsidR="00B07875">
        <w:t>exp</w:t>
      </w:r>
      <w:proofErr w:type="spellEnd"/>
      <w:r w:rsidR="00B07875">
        <w:t>(-240200/RT+1.6/(</w:t>
      </w:r>
      <w:proofErr w:type="spellStart"/>
      <w:r w:rsidR="00B07875">
        <w:t>kbT</w:t>
      </w:r>
      <w:proofErr w:type="spellEnd"/>
      <w:r w:rsidR="00B07875">
        <w:t>)) cm^2/s</w:t>
      </w:r>
      <w:r w:rsidR="004B1D7E">
        <w:fldChar w:fldCharType="begin"/>
      </w:r>
      <w:r w:rsidR="004B1D7E">
        <w:instrText xml:space="preserve"> ADDIN ZOTERO_ITEM CSL_CITATION {"citationID":"ijQZTxID","properties":{"formattedCitation":"[2]","plainCitation":"[2]","noteIndex":0},"citationItems":[{"id":3667,"uris":["http://zotero.org/users/2896564/items/B7B8N4K6"],"uri":["http://zotero.org/users/2896564/items/B7B8N4K6"],"itemData":{"id":3667,"type":"article-journal","abstract":"A semiempirical interatomic potential for Fe was used to calculate the diffusivity in bcc Fe assuming the vacancy and interstitial mechanisms of self-diffusion. Point-defect concentrations and diffusivities were obtained directly from molecular dynamics (MD) simulations. It was found that self-diffusion in bcc Fe is controlled by the vacancy mechanism at all temperatures. This result is due to the fact that the equilibrium vacancy concentration is always much larger than the equilibrium interstitial concentration. The predominance of the equilibrium vacancy concentration over the interstitial concentration is explained by the lower vacancy-formation energy at low temperatures and high vacancy-formation entropy at high temperatures. The calculated diffusivity is in good agreement with experimental data. The MD simulations were also used to test the quasiharmonic (QH) approximation for point-defect calculations. It was found that the QH approximation can considerably underestimate variations in point-defect characteristics with temperature.","container-title":"Physical Review B","DOI":"10.1103/PhysRevB.80.144111","issue":"14","journalAbbreviation":"Phys. Rev. B","note":"publisher: American Physical Society","page":"144111","source":"APS","title":"Molecular dynamics study of self-diffusion in bcc Fe","volume":"80","author":[{"family":"Mendelev","given":"Mikhail I."},{"family":"Mishin","given":"Yuri"}],"issued":{"date-parts":[["2009",10,26]]}}}],"schema":"https://github.com/citation-style-language/schema/raw/master/csl-citation.json"} </w:instrText>
      </w:r>
      <w:r w:rsidR="004B1D7E">
        <w:fldChar w:fldCharType="separate"/>
      </w:r>
      <w:r w:rsidR="004B1D7E">
        <w:rPr>
          <w:noProof/>
        </w:rPr>
        <w:t>[2]</w:t>
      </w:r>
      <w:r w:rsidR="004B1D7E">
        <w:fldChar w:fldCharType="end"/>
      </w:r>
    </w:p>
    <w:p w14:paraId="1E2CD514" w14:textId="38F71CE2" w:rsidR="00213CEF" w:rsidRDefault="00213CEF" w:rsidP="00DD7A1C"/>
    <w:p w14:paraId="7B1BE1EA" w14:textId="03482EB4" w:rsidR="00213CEF" w:rsidRDefault="00213CEF" w:rsidP="00DD7A1C">
      <w:r>
        <w:t>Surface energy – 2.25 J/m^2</w:t>
      </w:r>
      <w:r w:rsidR="00064871">
        <w:t xml:space="preserve"> </w:t>
      </w:r>
      <w:r w:rsidR="00064871">
        <w:fldChar w:fldCharType="begin"/>
      </w:r>
      <w:r w:rsidR="004B1D7E">
        <w:instrText xml:space="preserve"> ADDIN ZOTERO_ITEM CSL_CITATION {"citationID":"DIBhg6vw","properties":{"formattedCitation":"[3]","plainCitation":"[3]","noteIndex":0},"citationItems":[{"id":3670,"uris":["http://zotero.org/users/2896564/items/BUT9KZS5"],"uri":["http://zotero.org/users/2896564/items/BUT9KZS5"],"itemData":{"id":3670,"type":"article-journal","abstract":"Absolute values of surface energy and surface stress of solids are hardly accessible by experiment. Here, we investigate the temperature dependence of both parameters for the (001) and (110) surface facets of body-centered cubic Fe from first-principles modeling taking into account vibrational, electronic and magnetic degrees of freedom. The monotonic decrease of the surface energies of both facets with increasing temperature is mostly due to lattice vibrations and magnetic disorder. The surface stresses exhibit nonmonotonic behaviors resulting in a strongly temperature dependent excess surface stress and surface stress anisotropy.","container-title":"Scientific Reports","DOI":"10.1038/srep14860","ISSN":"2045-2322","issue":"1","language":"en","note":"number: 1\npublisher: Nature Publishing Group","page":"14860","source":"www.nature.com","title":"Thermal surface free energy and stress of iron","volume":"5","author":[{"family":"Schönecker","given":"Stephan"},{"family":"Li","given":"Xiaoqing"},{"family":"Johansson","given":"Börje"},{"family":"Kwon","given":"Se Kyun"},{"family":"Vitos","given":"Levente"}],"issued":{"date-parts":[["2015",10,6]]}}}],"schema":"https://github.com/citation-style-language/schema/raw/master/csl-citation.json"} </w:instrText>
      </w:r>
      <w:r w:rsidR="00064871">
        <w:fldChar w:fldCharType="separate"/>
      </w:r>
      <w:r w:rsidR="004B1D7E">
        <w:rPr>
          <w:noProof/>
        </w:rPr>
        <w:t>[3]</w:t>
      </w:r>
      <w:r w:rsidR="00064871">
        <w:fldChar w:fldCharType="end"/>
      </w:r>
    </w:p>
    <w:p w14:paraId="2E9E9B9E" w14:textId="7493B6DA" w:rsidR="00213CEF" w:rsidRDefault="006940B5" w:rsidP="00DD7A1C">
      <w:pPr>
        <w:rPr>
          <w:rFonts w:eastAsiaTheme="minorEastAsia"/>
          <w:iCs/>
        </w:rPr>
      </w:pPr>
      <m:oMath>
        <m:r>
          <w:rPr>
            <w:rFonts w:ascii="Cambria Math" w:hAnsi="Cambria Math"/>
          </w:rPr>
          <m:t>κ=3</m:t>
        </m:r>
        <m:rad>
          <m:radPr>
            <m:degHide m:val="1"/>
            <m:ctrlPr>
              <w:rPr>
                <w:rFonts w:ascii="Cambria Math" w:hAnsi="Cambria Math"/>
                <w:i/>
                <w:iCs/>
              </w:rPr>
            </m:ctrlPr>
          </m:radPr>
          <m:deg/>
          <m:e>
            <m:r>
              <w:rPr>
                <w:rFonts w:ascii="Cambria Math" w:hAnsi="Cambria Math"/>
              </w:rPr>
              <m:t>2</m:t>
            </m:r>
          </m:e>
        </m:rad>
        <m:r>
          <w:rPr>
            <w:rFonts w:ascii="Cambria Math" w:hAnsi="Cambria Math"/>
          </w:rPr>
          <m:t>γδ</m:t>
        </m:r>
      </m:oMath>
      <w:r>
        <w:rPr>
          <w:rFonts w:eastAsiaTheme="minorEastAsia"/>
          <w:iCs/>
        </w:rPr>
        <w:t xml:space="preserve"> </w:t>
      </w:r>
    </w:p>
    <w:p w14:paraId="61DAC26D" w14:textId="0C6BC558" w:rsidR="006940B5" w:rsidRDefault="006940B5" w:rsidP="00DD7A1C">
      <w:pPr>
        <w:rPr>
          <w:rFonts w:eastAsiaTheme="minorEastAsia"/>
          <w:iCs/>
        </w:rPr>
      </w:pPr>
      <m:oMath>
        <m:r>
          <w:rPr>
            <w:rFonts w:ascii="Cambria Math" w:hAnsi="Cambria Math"/>
          </w:rPr>
          <m:t>w=3</m:t>
        </m:r>
        <m:rad>
          <m:radPr>
            <m:degHide m:val="1"/>
            <m:ctrlPr>
              <w:rPr>
                <w:rFonts w:ascii="Cambria Math" w:hAnsi="Cambria Math"/>
                <w:i/>
                <w:iCs/>
              </w:rPr>
            </m:ctrlPr>
          </m:radPr>
          <m:deg/>
          <m:e>
            <m:r>
              <w:rPr>
                <w:rFonts w:ascii="Cambria Math" w:hAnsi="Cambria Math"/>
              </w:rPr>
              <m:t>2</m:t>
            </m:r>
          </m:e>
        </m:rad>
        <m:f>
          <m:fPr>
            <m:ctrlPr>
              <w:rPr>
                <w:rFonts w:ascii="Cambria Math" w:hAnsi="Cambria Math"/>
                <w:i/>
                <w:iCs/>
              </w:rPr>
            </m:ctrlPr>
          </m:fPr>
          <m:num>
            <m:r>
              <w:rPr>
                <w:rFonts w:ascii="Cambria Math" w:hAnsi="Cambria Math"/>
              </w:rPr>
              <m:t>γ</m:t>
            </m:r>
          </m:num>
          <m:den>
            <m:r>
              <w:rPr>
                <w:rFonts w:ascii="Cambria Math" w:hAnsi="Cambria Math"/>
              </w:rPr>
              <m:t>δ</m:t>
            </m:r>
          </m:den>
        </m:f>
      </m:oMath>
      <w:r>
        <w:rPr>
          <w:rFonts w:eastAsiaTheme="minorEastAsia"/>
          <w:iCs/>
        </w:rPr>
        <w:t xml:space="preserve"> </w:t>
      </w:r>
    </w:p>
    <w:p w14:paraId="1D7E6D41" w14:textId="79329D6D" w:rsidR="00C76F71" w:rsidRDefault="00C76F71" w:rsidP="00DD7A1C">
      <w:pPr>
        <w:rPr>
          <w:rFonts w:eastAsiaTheme="minorEastAsia"/>
          <w:iCs/>
        </w:rPr>
      </w:pPr>
      <m:oMath>
        <m:r>
          <w:rPr>
            <w:rFonts w:ascii="Cambria Math" w:hAnsi="Cambria Math"/>
          </w:rPr>
          <m:t>L=</m:t>
        </m:r>
        <m:f>
          <m:fPr>
            <m:ctrlPr>
              <w:rPr>
                <w:rFonts w:ascii="Cambria Math" w:hAnsi="Cambria Math"/>
                <w:i/>
                <w:iCs/>
              </w:rPr>
            </m:ctrlPr>
          </m:fPr>
          <m:num>
            <m:r>
              <w:rPr>
                <w:rFonts w:ascii="Cambria Math" w:hAnsi="Cambria Math"/>
              </w:rPr>
              <m:t>M</m:t>
            </m:r>
          </m:num>
          <m:den>
            <m:r>
              <w:rPr>
                <w:rFonts w:ascii="Cambria Math" w:hAnsi="Cambria Math"/>
              </w:rPr>
              <m:t>3</m:t>
            </m:r>
            <m:rad>
              <m:radPr>
                <m:degHide m:val="1"/>
                <m:ctrlPr>
                  <w:rPr>
                    <w:rFonts w:ascii="Cambria Math" w:hAnsi="Cambria Math"/>
                    <w:i/>
                    <w:iCs/>
                  </w:rPr>
                </m:ctrlPr>
              </m:radPr>
              <m:deg/>
              <m:e>
                <m:r>
                  <w:rPr>
                    <w:rFonts w:ascii="Cambria Math" w:hAnsi="Cambria Math"/>
                  </w:rPr>
                  <m:t>2</m:t>
                </m:r>
              </m:e>
            </m:rad>
            <m:r>
              <w:rPr>
                <w:rFonts w:ascii="Cambria Math" w:hAnsi="Cambria Math"/>
              </w:rPr>
              <m:t>δ</m:t>
            </m:r>
          </m:den>
        </m:f>
      </m:oMath>
      <w:r>
        <w:rPr>
          <w:rFonts w:eastAsiaTheme="minorEastAsia"/>
          <w:iCs/>
        </w:rPr>
        <w:t xml:space="preserve"> </w:t>
      </w:r>
    </w:p>
    <w:p w14:paraId="4CAB36D4" w14:textId="3DA90F66" w:rsidR="00931EE5" w:rsidRPr="00931EE5" w:rsidRDefault="00064871" w:rsidP="00931EE5">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1312" behindDoc="0" locked="0" layoutInCell="1" allowOverlap="1" wp14:anchorId="5C1A8DBC" wp14:editId="5D055A53">
                <wp:simplePos x="0" y="0"/>
                <wp:positionH relativeFrom="column">
                  <wp:posOffset>568440</wp:posOffset>
                </wp:positionH>
                <wp:positionV relativeFrom="paragraph">
                  <wp:posOffset>1687990</wp:posOffset>
                </wp:positionV>
                <wp:extent cx="3490475" cy="0"/>
                <wp:effectExtent l="0" t="0" r="15240" b="12700"/>
                <wp:wrapNone/>
                <wp:docPr id="3" name="Straight Connector 3"/>
                <wp:cNvGraphicFramePr/>
                <a:graphic xmlns:a="http://schemas.openxmlformats.org/drawingml/2006/main">
                  <a:graphicData uri="http://schemas.microsoft.com/office/word/2010/wordprocessingShape">
                    <wps:wsp>
                      <wps:cNvCnPr/>
                      <wps:spPr>
                        <a:xfrm>
                          <a:off x="0" y="0"/>
                          <a:ext cx="3490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C27F0B"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5pt,132.9pt" to="319.6pt,13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" strokecolor="#4472c4 [3204]" strokeweight=".5pt">
                <v:stroke joinstyle="miter"/>
              </v:lin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51089BAF" wp14:editId="3E229E4C">
                <wp:simplePos x="0" y="0"/>
                <wp:positionH relativeFrom="column">
                  <wp:posOffset>1216800</wp:posOffset>
                </wp:positionH>
                <wp:positionV relativeFrom="paragraph">
                  <wp:posOffset>820470</wp:posOffset>
                </wp:positionV>
                <wp:extent cx="1792800" cy="871200"/>
                <wp:effectExtent l="0" t="0" r="23495" b="18415"/>
                <wp:wrapNone/>
                <wp:docPr id="2" name="Straight Connector 2"/>
                <wp:cNvGraphicFramePr/>
                <a:graphic xmlns:a="http://schemas.openxmlformats.org/drawingml/2006/main">
                  <a:graphicData uri="http://schemas.microsoft.com/office/word/2010/wordprocessingShape">
                    <wps:wsp>
                      <wps:cNvCnPr/>
                      <wps:spPr>
                        <a:xfrm>
                          <a:off x="0" y="0"/>
                          <a:ext cx="1792800" cy="871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0A8C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8pt,64.6pt" to="236.95pt,13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" strokecolor="#4472c4 [3204]" strokeweight=".5pt">
                <v:stroke joinstyle="miter"/>
              </v:line>
            </w:pict>
          </mc:Fallback>
        </mc:AlternateContent>
      </w:r>
      <w:r w:rsidR="00931EE5" w:rsidRPr="00931EE5">
        <w:rPr>
          <w:rFonts w:ascii="Times New Roman" w:eastAsia="Times New Roman" w:hAnsi="Times New Roman" w:cs="Times New Roman"/>
        </w:rPr>
        <w:fldChar w:fldCharType="begin"/>
      </w:r>
      <w:r w:rsidR="00931EE5" w:rsidRPr="00931EE5">
        <w:rPr>
          <w:rFonts w:ascii="Times New Roman" w:eastAsia="Times New Roman" w:hAnsi="Times New Roman" w:cs="Times New Roman"/>
        </w:rPr>
        <w:instrText xml:space="preserve"> INCLUDEPICTURE "https://media.springernature.com/full/springer-static/image/art%3A10.1038%2Fsrep14860/MediaObjects/41598_2015_Article_BFsrep14860_Fig1_HTML.jpg" \* MERGEFORMATINET </w:instrText>
      </w:r>
      <w:r w:rsidR="00931EE5" w:rsidRPr="00931EE5">
        <w:rPr>
          <w:rFonts w:ascii="Times New Roman" w:eastAsia="Times New Roman" w:hAnsi="Times New Roman" w:cs="Times New Roman"/>
        </w:rPr>
        <w:fldChar w:fldCharType="separate"/>
      </w:r>
      <w:r w:rsidR="00931EE5" w:rsidRPr="00931EE5">
        <w:rPr>
          <w:rFonts w:ascii="Times New Roman" w:eastAsia="Times New Roman" w:hAnsi="Times New Roman" w:cs="Times New Roman"/>
          <w:noProof/>
        </w:rPr>
        <w:drawing>
          <wp:inline distT="0" distB="0" distL="0" distR="0" wp14:anchorId="0D3BDD73" wp14:editId="30C5F99D">
            <wp:extent cx="4352538" cy="5198400"/>
            <wp:effectExtent l="0" t="0" r="3810" b="0"/>
            <wp:docPr id="1" name="Pictur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63153" cy="5211077"/>
                    </a:xfrm>
                    <a:prstGeom prst="rect">
                      <a:avLst/>
                    </a:prstGeom>
                    <a:noFill/>
                    <a:ln>
                      <a:noFill/>
                    </a:ln>
                  </pic:spPr>
                </pic:pic>
              </a:graphicData>
            </a:graphic>
          </wp:inline>
        </w:drawing>
      </w:r>
      <w:r w:rsidR="00931EE5" w:rsidRPr="00931EE5">
        <w:rPr>
          <w:rFonts w:ascii="Times New Roman" w:eastAsia="Times New Roman" w:hAnsi="Times New Roman" w:cs="Times New Roman"/>
        </w:rPr>
        <w:fldChar w:fldCharType="end"/>
      </w:r>
      <w:bookmarkStart w:id="0" w:name="_GoBack"/>
      <w:bookmarkEnd w:id="0"/>
    </w:p>
    <w:p w14:paraId="179D65F9" w14:textId="77777777" w:rsidR="004B1D7E" w:rsidRPr="004B1D7E" w:rsidRDefault="00064871" w:rsidP="004B1D7E">
      <w:pPr>
        <w:pStyle w:val="Bibliography"/>
        <w:rPr>
          <w:rFonts w:ascii="Calibri" w:cs="Calibri"/>
        </w:rPr>
      </w:pPr>
      <w:r>
        <w:lastRenderedPageBreak/>
        <w:fldChar w:fldCharType="begin"/>
      </w:r>
      <w:r>
        <w:instrText xml:space="preserve"> ADDIN ZOTERO_BIBL {"uncited":[],"omitted":[],"custom":[]} CSL_BIBLIOGRAPHY </w:instrText>
      </w:r>
      <w:r>
        <w:fldChar w:fldCharType="separate"/>
      </w:r>
      <w:r w:rsidR="004B1D7E" w:rsidRPr="004B1D7E">
        <w:rPr>
          <w:rFonts w:ascii="Calibri" w:cs="Calibri"/>
        </w:rPr>
        <w:t>[1]</w:t>
      </w:r>
      <w:r w:rsidR="004B1D7E" w:rsidRPr="004B1D7E">
        <w:rPr>
          <w:rFonts w:ascii="Calibri" w:cs="Calibri"/>
        </w:rPr>
        <w:tab/>
        <w:t xml:space="preserve">H. Matter, J. Winter, W. </w:t>
      </w:r>
      <w:proofErr w:type="spellStart"/>
      <w:r w:rsidR="004B1D7E" w:rsidRPr="004B1D7E">
        <w:rPr>
          <w:rFonts w:ascii="Calibri" w:cs="Calibri"/>
        </w:rPr>
        <w:t>Triftshäuser</w:t>
      </w:r>
      <w:proofErr w:type="spellEnd"/>
      <w:r w:rsidR="004B1D7E" w:rsidRPr="004B1D7E">
        <w:rPr>
          <w:rFonts w:ascii="Calibri" w:cs="Calibri"/>
        </w:rPr>
        <w:t>, Phase transformations and vacancy formation energies of transition metals by positron annihilation, Appl. Phys. 20 (1979) 135–140. https://doi.org/10.1007/BF00885934.</w:t>
      </w:r>
    </w:p>
    <w:p w14:paraId="0C5DCEB6" w14:textId="77777777" w:rsidR="004B1D7E" w:rsidRPr="004B1D7E" w:rsidRDefault="004B1D7E" w:rsidP="004B1D7E">
      <w:pPr>
        <w:pStyle w:val="Bibliography"/>
        <w:rPr>
          <w:rFonts w:ascii="Calibri" w:cs="Calibri"/>
        </w:rPr>
      </w:pPr>
      <w:r w:rsidRPr="004B1D7E">
        <w:rPr>
          <w:rFonts w:ascii="Calibri" w:cs="Calibri"/>
        </w:rPr>
        <w:t>[2]</w:t>
      </w:r>
      <w:r w:rsidRPr="004B1D7E">
        <w:rPr>
          <w:rFonts w:ascii="Calibri" w:cs="Calibri"/>
        </w:rPr>
        <w:tab/>
        <w:t xml:space="preserve">M.I. </w:t>
      </w:r>
      <w:proofErr w:type="spellStart"/>
      <w:r w:rsidRPr="004B1D7E">
        <w:rPr>
          <w:rFonts w:ascii="Calibri" w:cs="Calibri"/>
        </w:rPr>
        <w:t>Mendelev</w:t>
      </w:r>
      <w:proofErr w:type="spellEnd"/>
      <w:r w:rsidRPr="004B1D7E">
        <w:rPr>
          <w:rFonts w:ascii="Calibri" w:cs="Calibri"/>
        </w:rPr>
        <w:t xml:space="preserve">, Y. </w:t>
      </w:r>
      <w:proofErr w:type="spellStart"/>
      <w:r w:rsidRPr="004B1D7E">
        <w:rPr>
          <w:rFonts w:ascii="Calibri" w:cs="Calibri"/>
        </w:rPr>
        <w:t>Mishin</w:t>
      </w:r>
      <w:proofErr w:type="spellEnd"/>
      <w:r w:rsidRPr="004B1D7E">
        <w:rPr>
          <w:rFonts w:ascii="Calibri" w:cs="Calibri"/>
        </w:rPr>
        <w:t>, Molecular dynamics study of self-diffusion in bcc Fe, Phys. Rev. B. 80 (2009) 144111. https://doi.org/10.1103/PhysRevB.80.144111.</w:t>
      </w:r>
    </w:p>
    <w:p w14:paraId="05CFDA03" w14:textId="77777777" w:rsidR="004B1D7E" w:rsidRPr="004B1D7E" w:rsidRDefault="004B1D7E" w:rsidP="004B1D7E">
      <w:pPr>
        <w:pStyle w:val="Bibliography"/>
        <w:rPr>
          <w:rFonts w:ascii="Calibri" w:cs="Calibri"/>
        </w:rPr>
      </w:pPr>
      <w:r w:rsidRPr="004B1D7E">
        <w:rPr>
          <w:rFonts w:ascii="Calibri" w:cs="Calibri"/>
        </w:rPr>
        <w:t>[3]</w:t>
      </w:r>
      <w:r w:rsidRPr="004B1D7E">
        <w:rPr>
          <w:rFonts w:ascii="Calibri" w:cs="Calibri"/>
        </w:rPr>
        <w:tab/>
        <w:t xml:space="preserve">S. </w:t>
      </w:r>
      <w:proofErr w:type="spellStart"/>
      <w:r w:rsidRPr="004B1D7E">
        <w:rPr>
          <w:rFonts w:ascii="Calibri" w:cs="Calibri"/>
        </w:rPr>
        <w:t>Schönecker</w:t>
      </w:r>
      <w:proofErr w:type="spellEnd"/>
      <w:r w:rsidRPr="004B1D7E">
        <w:rPr>
          <w:rFonts w:ascii="Calibri" w:cs="Calibri"/>
        </w:rPr>
        <w:t xml:space="preserve">, X. Li, B. Johansson, S.K. Kwon, L. </w:t>
      </w:r>
      <w:proofErr w:type="spellStart"/>
      <w:r w:rsidRPr="004B1D7E">
        <w:rPr>
          <w:rFonts w:ascii="Calibri" w:cs="Calibri"/>
        </w:rPr>
        <w:t>Vitos</w:t>
      </w:r>
      <w:proofErr w:type="spellEnd"/>
      <w:r w:rsidRPr="004B1D7E">
        <w:rPr>
          <w:rFonts w:ascii="Calibri" w:cs="Calibri"/>
        </w:rPr>
        <w:t>, Thermal surface free energy and stress of iron, Sci. Rep. 5 (2015) 14860. https://doi.org/10.1038/srep14860.</w:t>
      </w:r>
    </w:p>
    <w:p w14:paraId="25CE4D1E" w14:textId="5C0918B8" w:rsidR="00931EE5" w:rsidRPr="00DD7A1C" w:rsidRDefault="00064871" w:rsidP="00DD7A1C">
      <w:r>
        <w:fldChar w:fldCharType="end"/>
      </w:r>
    </w:p>
    <w:p w14:paraId="4E60BB10" w14:textId="77777777" w:rsidR="00DD7A1C" w:rsidRPr="00DD7A1C" w:rsidRDefault="00DD7A1C" w:rsidP="00DD7A1C"/>
    <w:p w14:paraId="6FF53FCF" w14:textId="77777777" w:rsidR="00DD7A1C" w:rsidRDefault="00DD7A1C"/>
    <w:sectPr w:rsidR="00DD7A1C" w:rsidSect="00BD1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A1C"/>
    <w:rsid w:val="00064871"/>
    <w:rsid w:val="000901F3"/>
    <w:rsid w:val="001A374A"/>
    <w:rsid w:val="00213CEF"/>
    <w:rsid w:val="002F2543"/>
    <w:rsid w:val="002F4D3A"/>
    <w:rsid w:val="003E17C8"/>
    <w:rsid w:val="004B1D7E"/>
    <w:rsid w:val="006940B5"/>
    <w:rsid w:val="007B2B0A"/>
    <w:rsid w:val="008F736F"/>
    <w:rsid w:val="00921FA7"/>
    <w:rsid w:val="009258C8"/>
    <w:rsid w:val="00931EE5"/>
    <w:rsid w:val="00B07875"/>
    <w:rsid w:val="00B564CA"/>
    <w:rsid w:val="00B87CFC"/>
    <w:rsid w:val="00BB7FE6"/>
    <w:rsid w:val="00BD16CF"/>
    <w:rsid w:val="00C76F71"/>
    <w:rsid w:val="00D84B9A"/>
    <w:rsid w:val="00DC24D7"/>
    <w:rsid w:val="00DD7A1C"/>
    <w:rsid w:val="00F83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5D3207"/>
  <w15:chartTrackingRefBased/>
  <w15:docId w15:val="{9A0359EC-BA00-374C-86C9-59F8EC535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064871"/>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703273">
      <w:bodyDiv w:val="1"/>
      <w:marLeft w:val="0"/>
      <w:marRight w:val="0"/>
      <w:marTop w:val="0"/>
      <w:marBottom w:val="0"/>
      <w:divBdr>
        <w:top w:val="none" w:sz="0" w:space="0" w:color="auto"/>
        <w:left w:val="none" w:sz="0" w:space="0" w:color="auto"/>
        <w:bottom w:val="none" w:sz="0" w:space="0" w:color="auto"/>
        <w:right w:val="none" w:sz="0" w:space="0" w:color="auto"/>
      </w:divBdr>
    </w:div>
    <w:div w:id="1261452834">
      <w:bodyDiv w:val="1"/>
      <w:marLeft w:val="0"/>
      <w:marRight w:val="0"/>
      <w:marTop w:val="0"/>
      <w:marBottom w:val="0"/>
      <w:divBdr>
        <w:top w:val="none" w:sz="0" w:space="0" w:color="auto"/>
        <w:left w:val="none" w:sz="0" w:space="0" w:color="auto"/>
        <w:bottom w:val="none" w:sz="0" w:space="0" w:color="auto"/>
        <w:right w:val="none" w:sz="0" w:space="0" w:color="auto"/>
      </w:divBdr>
    </w:div>
    <w:div w:id="1559046244">
      <w:bodyDiv w:val="1"/>
      <w:marLeft w:val="0"/>
      <w:marRight w:val="0"/>
      <w:marTop w:val="0"/>
      <w:marBottom w:val="0"/>
      <w:divBdr>
        <w:top w:val="none" w:sz="0" w:space="0" w:color="auto"/>
        <w:left w:val="none" w:sz="0" w:space="0" w:color="auto"/>
        <w:bottom w:val="none" w:sz="0" w:space="0" w:color="auto"/>
        <w:right w:val="none" w:sz="0" w:space="0" w:color="auto"/>
      </w:divBdr>
    </w:div>
    <w:div w:id="1881629983">
      <w:bodyDiv w:val="1"/>
      <w:marLeft w:val="0"/>
      <w:marRight w:val="0"/>
      <w:marTop w:val="0"/>
      <w:marBottom w:val="0"/>
      <w:divBdr>
        <w:top w:val="none" w:sz="0" w:space="0" w:color="auto"/>
        <w:left w:val="none" w:sz="0" w:space="0" w:color="auto"/>
        <w:bottom w:val="none" w:sz="0" w:space="0" w:color="auto"/>
        <w:right w:val="none" w:sz="0" w:space="0" w:color="auto"/>
      </w:divBdr>
    </w:div>
    <w:div w:id="214546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UF</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Tonks</dc:creator>
  <cp:keywords/>
  <dc:description/>
  <cp:lastModifiedBy>Michael Tonks</cp:lastModifiedBy>
  <cp:revision>4</cp:revision>
  <dcterms:created xsi:type="dcterms:W3CDTF">2020-08-10T21:52:00Z</dcterms:created>
  <dcterms:modified xsi:type="dcterms:W3CDTF">2020-08-18T21:20:00Z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id="FcoyKipl"/&gt;&lt;style id="http://www.zotero.org/styles/journal-of-nuclear-materials"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