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0283C1" w14:textId="5078D3F9" w:rsidR="00DC3065" w:rsidRPr="001A0C4C" w:rsidRDefault="00575928" w:rsidP="00143F10">
      <w:pPr>
        <w:jc w:val="center"/>
        <w:rPr>
          <w:sz w:val="48"/>
          <w:szCs w:val="48"/>
        </w:rPr>
      </w:pPr>
      <w:r>
        <w:rPr>
          <w:sz w:val="48"/>
          <w:szCs w:val="48"/>
        </w:rPr>
        <w:t xml:space="preserve">Hero or </w:t>
      </w:r>
      <w:proofErr w:type="spellStart"/>
      <w:r>
        <w:rPr>
          <w:sz w:val="48"/>
          <w:szCs w:val="48"/>
        </w:rPr>
        <w:t>Heroin</w:t>
      </w:r>
      <w:proofErr w:type="spellEnd"/>
      <w:r>
        <w:rPr>
          <w:sz w:val="48"/>
          <w:szCs w:val="48"/>
        </w:rPr>
        <w:t xml:space="preserve"> Revisited</w:t>
      </w:r>
    </w:p>
    <w:p w14:paraId="1748FD18" w14:textId="6582696C" w:rsidR="00143F10" w:rsidRPr="00472CEF" w:rsidRDefault="00472CEF" w:rsidP="00472CEF">
      <w:pPr>
        <w:jc w:val="center"/>
        <w:rPr>
          <w:sz w:val="32"/>
          <w:szCs w:val="32"/>
        </w:rPr>
      </w:pPr>
      <w:r w:rsidRPr="00472CEF">
        <w:rPr>
          <w:sz w:val="32"/>
          <w:szCs w:val="32"/>
        </w:rPr>
        <w:t xml:space="preserve">By: </w:t>
      </w:r>
      <w:r w:rsidR="00143F10" w:rsidRPr="00472CEF">
        <w:rPr>
          <w:sz w:val="32"/>
          <w:szCs w:val="32"/>
        </w:rPr>
        <w:t>Greg Eastman</w:t>
      </w:r>
    </w:p>
    <w:p w14:paraId="378F7EFE" w14:textId="77777777" w:rsidR="00D27855" w:rsidRDefault="00D27855" w:rsidP="00143F10">
      <w:pPr>
        <w:jc w:val="center"/>
        <w:rPr>
          <w:rFonts w:cstheme="minorHAnsi"/>
          <w:sz w:val="36"/>
          <w:szCs w:val="36"/>
        </w:rPr>
      </w:pPr>
    </w:p>
    <w:p w14:paraId="64CD72BB" w14:textId="50B345A1" w:rsidR="00143F10" w:rsidRPr="001A0C4C" w:rsidRDefault="00143F10" w:rsidP="00143F10">
      <w:pPr>
        <w:jc w:val="center"/>
        <w:rPr>
          <w:rFonts w:cstheme="minorHAnsi"/>
          <w:sz w:val="36"/>
          <w:szCs w:val="36"/>
        </w:rPr>
      </w:pPr>
      <w:r w:rsidRPr="001A0C4C">
        <w:rPr>
          <w:rFonts w:cstheme="minorHAnsi"/>
          <w:sz w:val="36"/>
          <w:szCs w:val="36"/>
        </w:rPr>
        <w:t>Introduction</w:t>
      </w:r>
    </w:p>
    <w:p w14:paraId="57CFF257" w14:textId="1F731C3A" w:rsidR="00D27855" w:rsidRDefault="00F601AC" w:rsidP="00D27855">
      <w:pPr>
        <w:jc w:val="both"/>
        <w:rPr>
          <w:sz w:val="24"/>
          <w:szCs w:val="24"/>
        </w:rPr>
      </w:pPr>
      <w:r w:rsidRPr="00F601AC">
        <w:rPr>
          <w:sz w:val="24"/>
          <w:szCs w:val="24"/>
        </w:rPr>
        <w:tab/>
      </w:r>
      <w:r w:rsidR="00414E9A">
        <w:rPr>
          <w:sz w:val="24"/>
          <w:szCs w:val="24"/>
        </w:rPr>
        <w:t>By</w:t>
      </w:r>
      <w:r w:rsidRPr="00F601AC">
        <w:rPr>
          <w:sz w:val="24"/>
          <w:szCs w:val="24"/>
        </w:rPr>
        <w:t xml:space="preserve"> 201</w:t>
      </w:r>
      <w:r w:rsidR="00414E9A">
        <w:rPr>
          <w:sz w:val="24"/>
          <w:szCs w:val="24"/>
        </w:rPr>
        <w:t>7</w:t>
      </w:r>
      <w:r w:rsidRPr="00F601AC">
        <w:rPr>
          <w:sz w:val="24"/>
          <w:szCs w:val="24"/>
        </w:rPr>
        <w:t xml:space="preserve"> nine </w:t>
      </w:r>
      <w:r w:rsidR="00A35D00">
        <w:rPr>
          <w:sz w:val="24"/>
          <w:szCs w:val="24"/>
        </w:rPr>
        <w:t>states</w:t>
      </w:r>
      <w:r w:rsidR="00020F84">
        <w:rPr>
          <w:sz w:val="24"/>
          <w:szCs w:val="24"/>
        </w:rPr>
        <w:t xml:space="preserve"> </w:t>
      </w:r>
      <w:r w:rsidR="00CC1AFA">
        <w:rPr>
          <w:sz w:val="24"/>
          <w:szCs w:val="24"/>
        </w:rPr>
        <w:t>ha</w:t>
      </w:r>
      <w:r w:rsidR="00414E9A">
        <w:rPr>
          <w:sz w:val="24"/>
          <w:szCs w:val="24"/>
        </w:rPr>
        <w:t xml:space="preserve">d </w:t>
      </w:r>
      <w:r w:rsidR="00495711">
        <w:rPr>
          <w:sz w:val="24"/>
          <w:szCs w:val="24"/>
        </w:rPr>
        <w:t>adopted</w:t>
      </w:r>
      <w:r w:rsidR="00D17FF3">
        <w:rPr>
          <w:sz w:val="24"/>
          <w:szCs w:val="24"/>
        </w:rPr>
        <w:t xml:space="preserve"> legal</w:t>
      </w:r>
      <w:r w:rsidRPr="00F601AC">
        <w:rPr>
          <w:sz w:val="24"/>
          <w:szCs w:val="24"/>
        </w:rPr>
        <w:t xml:space="preserve"> recreational marijuana</w:t>
      </w:r>
      <w:r w:rsidR="00CC1AFA">
        <w:rPr>
          <w:rStyle w:val="EndnoteReference"/>
          <w:sz w:val="24"/>
          <w:szCs w:val="24"/>
        </w:rPr>
        <w:endnoteReference w:id="1"/>
      </w:r>
      <w:r w:rsidR="00CC1AFA">
        <w:rPr>
          <w:sz w:val="24"/>
          <w:szCs w:val="24"/>
        </w:rPr>
        <w:t xml:space="preserve"> </w:t>
      </w:r>
      <w:r w:rsidR="00020F84">
        <w:rPr>
          <w:sz w:val="24"/>
          <w:szCs w:val="24"/>
        </w:rPr>
        <w:t xml:space="preserve">laws </w:t>
      </w:r>
      <w:r w:rsidR="00D17FF3">
        <w:rPr>
          <w:sz w:val="24"/>
          <w:szCs w:val="24"/>
        </w:rPr>
        <w:t>and in the same year</w:t>
      </w:r>
      <w:r w:rsidR="00CC1AFA">
        <w:rPr>
          <w:sz w:val="24"/>
          <w:szCs w:val="24"/>
        </w:rPr>
        <w:t xml:space="preserve"> over 70</w:t>
      </w:r>
      <w:r w:rsidR="00020F84">
        <w:rPr>
          <w:sz w:val="24"/>
          <w:szCs w:val="24"/>
        </w:rPr>
        <w:t>,</w:t>
      </w:r>
      <w:r w:rsidR="00CC1AFA">
        <w:rPr>
          <w:sz w:val="24"/>
          <w:szCs w:val="24"/>
        </w:rPr>
        <w:t>000 people died from opioids</w:t>
      </w:r>
      <w:r w:rsidR="00CC1AFA">
        <w:rPr>
          <w:rStyle w:val="EndnoteReference"/>
          <w:sz w:val="24"/>
          <w:szCs w:val="24"/>
        </w:rPr>
        <w:endnoteReference w:id="2"/>
      </w:r>
      <w:r w:rsidRPr="00F601AC">
        <w:rPr>
          <w:sz w:val="24"/>
          <w:szCs w:val="24"/>
        </w:rPr>
        <w:t xml:space="preserve">, this paper </w:t>
      </w:r>
      <w:r w:rsidR="00AF58DC">
        <w:rPr>
          <w:sz w:val="24"/>
          <w:szCs w:val="24"/>
        </w:rPr>
        <w:t>looks to see if these laws can decrease the proportion of people going to rehab for opium</w:t>
      </w:r>
      <w:r w:rsidR="00AF58DC">
        <w:rPr>
          <w:rStyle w:val="FootnoteReference"/>
          <w:sz w:val="24"/>
          <w:szCs w:val="24"/>
        </w:rPr>
        <w:footnoteReference w:id="1"/>
      </w:r>
      <w:r w:rsidR="00AF58DC">
        <w:rPr>
          <w:sz w:val="24"/>
          <w:szCs w:val="24"/>
        </w:rPr>
        <w:t xml:space="preserve"> addiction</w:t>
      </w:r>
      <w:r w:rsidR="00CC1AFA">
        <w:rPr>
          <w:sz w:val="24"/>
          <w:szCs w:val="24"/>
        </w:rPr>
        <w:t xml:space="preserve">. </w:t>
      </w:r>
      <w:r w:rsidR="00F75E38">
        <w:rPr>
          <w:sz w:val="24"/>
          <w:szCs w:val="24"/>
        </w:rPr>
        <w:t xml:space="preserve">This possibility </w:t>
      </w:r>
      <w:r w:rsidR="00020F84">
        <w:rPr>
          <w:sz w:val="24"/>
          <w:szCs w:val="24"/>
        </w:rPr>
        <w:t xml:space="preserve">of a connection comes from a </w:t>
      </w:r>
      <w:r w:rsidR="00F75E38">
        <w:rPr>
          <w:sz w:val="24"/>
          <w:szCs w:val="24"/>
        </w:rPr>
        <w:t>medical and social founding</w:t>
      </w:r>
      <w:r w:rsidR="00020F84">
        <w:rPr>
          <w:sz w:val="24"/>
          <w:szCs w:val="24"/>
        </w:rPr>
        <w:t>,</w:t>
      </w:r>
      <w:r w:rsidR="00F75E38">
        <w:rPr>
          <w:sz w:val="24"/>
          <w:szCs w:val="24"/>
        </w:rPr>
        <w:t xml:space="preserve"> as </w:t>
      </w:r>
      <w:r w:rsidR="00020F84">
        <w:rPr>
          <w:sz w:val="24"/>
          <w:szCs w:val="24"/>
        </w:rPr>
        <w:t>cannabis</w:t>
      </w:r>
      <w:r w:rsidR="00F75E38">
        <w:rPr>
          <w:sz w:val="24"/>
          <w:szCs w:val="24"/>
        </w:rPr>
        <w:t xml:space="preserve"> is safe, can ease symptoms, and doesn’t require as much black-market access to obtain</w:t>
      </w:r>
      <w:r w:rsidR="00F75E38">
        <w:rPr>
          <w:rStyle w:val="EndnoteReference"/>
          <w:sz w:val="24"/>
          <w:szCs w:val="24"/>
        </w:rPr>
        <w:endnoteReference w:id="3"/>
      </w:r>
      <w:r w:rsidR="00F75E38">
        <w:rPr>
          <w:sz w:val="24"/>
          <w:szCs w:val="24"/>
        </w:rPr>
        <w:t xml:space="preserve">. </w:t>
      </w:r>
      <w:r w:rsidR="00CC1AFA">
        <w:rPr>
          <w:sz w:val="24"/>
          <w:szCs w:val="24"/>
        </w:rPr>
        <w:t>To get a causal estimate</w:t>
      </w:r>
      <w:r w:rsidR="00D17FF3">
        <w:rPr>
          <w:sz w:val="24"/>
          <w:szCs w:val="24"/>
        </w:rPr>
        <w:t>,</w:t>
      </w:r>
      <w:r w:rsidR="00CC1AFA">
        <w:rPr>
          <w:sz w:val="24"/>
          <w:szCs w:val="24"/>
        </w:rPr>
        <w:t xml:space="preserve"> this work employs two models, </w:t>
      </w:r>
      <w:r w:rsidR="00020F84">
        <w:rPr>
          <w:sz w:val="24"/>
          <w:szCs w:val="24"/>
        </w:rPr>
        <w:t>s</w:t>
      </w:r>
      <w:r w:rsidR="00CC1AFA">
        <w:rPr>
          <w:sz w:val="24"/>
          <w:szCs w:val="24"/>
        </w:rPr>
        <w:t xml:space="preserve">ynthetic </w:t>
      </w:r>
      <w:r w:rsidR="00575928">
        <w:rPr>
          <w:sz w:val="24"/>
          <w:szCs w:val="24"/>
        </w:rPr>
        <w:t>control,</w:t>
      </w:r>
      <w:r w:rsidR="00D17FF3">
        <w:rPr>
          <w:sz w:val="24"/>
          <w:szCs w:val="24"/>
        </w:rPr>
        <w:t xml:space="preserve"> </w:t>
      </w:r>
      <w:r w:rsidR="00CC1AFA">
        <w:rPr>
          <w:sz w:val="24"/>
          <w:szCs w:val="24"/>
        </w:rPr>
        <w:t xml:space="preserve">and </w:t>
      </w:r>
      <w:r w:rsidR="00020F84">
        <w:rPr>
          <w:sz w:val="24"/>
          <w:szCs w:val="24"/>
        </w:rPr>
        <w:t>s</w:t>
      </w:r>
      <w:r w:rsidR="00CC1AFA">
        <w:rPr>
          <w:sz w:val="24"/>
          <w:szCs w:val="24"/>
        </w:rPr>
        <w:t>tability-</w:t>
      </w:r>
      <w:r w:rsidR="00020F84">
        <w:rPr>
          <w:sz w:val="24"/>
          <w:szCs w:val="24"/>
        </w:rPr>
        <w:t>c</w:t>
      </w:r>
      <w:r w:rsidR="00CC1AFA">
        <w:rPr>
          <w:sz w:val="24"/>
          <w:szCs w:val="24"/>
        </w:rPr>
        <w:t xml:space="preserve">ontrolled </w:t>
      </w:r>
      <w:r w:rsidR="00020F84">
        <w:rPr>
          <w:sz w:val="24"/>
          <w:szCs w:val="24"/>
        </w:rPr>
        <w:t>q</w:t>
      </w:r>
      <w:r w:rsidR="00CC1AFA">
        <w:rPr>
          <w:sz w:val="24"/>
          <w:szCs w:val="24"/>
        </w:rPr>
        <w:t>uasi-</w:t>
      </w:r>
      <w:r w:rsidR="00020F84">
        <w:rPr>
          <w:sz w:val="24"/>
          <w:szCs w:val="24"/>
        </w:rPr>
        <w:t>e</w:t>
      </w:r>
      <w:r w:rsidR="00CC1AFA">
        <w:rPr>
          <w:sz w:val="24"/>
          <w:szCs w:val="24"/>
        </w:rPr>
        <w:t xml:space="preserve">xperiment. Using these two </w:t>
      </w:r>
      <w:r w:rsidR="00CE79CE">
        <w:rPr>
          <w:sz w:val="24"/>
          <w:szCs w:val="24"/>
        </w:rPr>
        <w:t xml:space="preserve">strategies </w:t>
      </w:r>
      <w:r w:rsidR="00CC1AFA">
        <w:rPr>
          <w:sz w:val="24"/>
          <w:szCs w:val="24"/>
        </w:rPr>
        <w:t xml:space="preserve">I find that recreational marijuana policy does not have a </w:t>
      </w:r>
      <w:r w:rsidR="00CE79CE">
        <w:rPr>
          <w:sz w:val="24"/>
          <w:szCs w:val="24"/>
        </w:rPr>
        <w:t>significant effect on the proportion of people admitted to treatment for opioid addiction.</w:t>
      </w:r>
    </w:p>
    <w:p w14:paraId="1A24DAEE" w14:textId="3E29773B" w:rsidR="00D27855" w:rsidRPr="00D27855" w:rsidRDefault="00CE79CE" w:rsidP="00D27855">
      <w:pPr>
        <w:jc w:val="both"/>
        <w:rPr>
          <w:sz w:val="24"/>
          <w:szCs w:val="24"/>
        </w:rPr>
      </w:pPr>
      <w:r>
        <w:rPr>
          <w:sz w:val="24"/>
          <w:szCs w:val="24"/>
        </w:rPr>
        <w:t xml:space="preserve"> </w:t>
      </w:r>
      <w:r w:rsidR="00CC1AFA">
        <w:rPr>
          <w:sz w:val="24"/>
          <w:szCs w:val="24"/>
        </w:rPr>
        <w:t xml:space="preserve">   </w:t>
      </w:r>
    </w:p>
    <w:p w14:paraId="5AF93D78" w14:textId="50A319BD" w:rsidR="00143F10" w:rsidRPr="001A0C4C" w:rsidRDefault="00143F10" w:rsidP="00143F10">
      <w:pPr>
        <w:jc w:val="center"/>
        <w:rPr>
          <w:sz w:val="36"/>
          <w:szCs w:val="36"/>
        </w:rPr>
      </w:pPr>
      <w:r w:rsidRPr="001A0C4C">
        <w:rPr>
          <w:sz w:val="36"/>
          <w:szCs w:val="36"/>
        </w:rPr>
        <w:t>Data</w:t>
      </w:r>
    </w:p>
    <w:p w14:paraId="3E2A797A" w14:textId="513BE5B1" w:rsidR="00B05616" w:rsidRDefault="00CE79CE" w:rsidP="00D17FF3">
      <w:pPr>
        <w:jc w:val="both"/>
        <w:rPr>
          <w:sz w:val="24"/>
          <w:szCs w:val="24"/>
        </w:rPr>
      </w:pPr>
      <w:r>
        <w:rPr>
          <w:sz w:val="24"/>
          <w:szCs w:val="24"/>
        </w:rPr>
        <w:tab/>
        <w:t>The data for this paper comes from the Treatment Episode Dataset – Admissions</w:t>
      </w:r>
      <w:r w:rsidR="00DF2157">
        <w:rPr>
          <w:rStyle w:val="EndnoteReference"/>
          <w:sz w:val="24"/>
          <w:szCs w:val="24"/>
        </w:rPr>
        <w:endnoteReference w:id="4"/>
      </w:r>
      <w:r>
        <w:rPr>
          <w:sz w:val="24"/>
          <w:szCs w:val="24"/>
        </w:rPr>
        <w:t xml:space="preserve">, a government record of individuals admitted to a rehab facility in a </w:t>
      </w:r>
      <w:r w:rsidR="00A35D00">
        <w:rPr>
          <w:sz w:val="24"/>
          <w:szCs w:val="24"/>
        </w:rPr>
        <w:t>state/territory</w:t>
      </w:r>
      <w:r>
        <w:rPr>
          <w:sz w:val="24"/>
          <w:szCs w:val="24"/>
        </w:rPr>
        <w:t xml:space="preserve"> in a year. The data spans </w:t>
      </w:r>
      <w:r w:rsidR="003D3173">
        <w:rPr>
          <w:sz w:val="24"/>
          <w:szCs w:val="24"/>
        </w:rPr>
        <w:t>48</w:t>
      </w:r>
      <w:r>
        <w:rPr>
          <w:sz w:val="24"/>
          <w:szCs w:val="24"/>
        </w:rPr>
        <w:t xml:space="preserve"> </w:t>
      </w:r>
      <w:r w:rsidR="00A35D00">
        <w:rPr>
          <w:sz w:val="24"/>
          <w:szCs w:val="24"/>
        </w:rPr>
        <w:t>states</w:t>
      </w:r>
      <w:r w:rsidR="00020F84">
        <w:rPr>
          <w:sz w:val="24"/>
          <w:szCs w:val="24"/>
        </w:rPr>
        <w:t xml:space="preserve"> </w:t>
      </w:r>
      <w:r>
        <w:rPr>
          <w:sz w:val="24"/>
          <w:szCs w:val="24"/>
        </w:rPr>
        <w:t xml:space="preserve">as well as Puerto-Rico and Washington DC. </w:t>
      </w:r>
      <w:r w:rsidR="00414E9A">
        <w:rPr>
          <w:sz w:val="24"/>
          <w:szCs w:val="24"/>
        </w:rPr>
        <w:t>To gather the dataset all</w:t>
      </w:r>
      <w:r>
        <w:rPr>
          <w:sz w:val="24"/>
          <w:szCs w:val="24"/>
        </w:rPr>
        <w:t xml:space="preserve"> facilities that take </w:t>
      </w:r>
      <w:r w:rsidR="004C4ACD">
        <w:rPr>
          <w:sz w:val="24"/>
          <w:szCs w:val="24"/>
        </w:rPr>
        <w:t>any type of government</w:t>
      </w:r>
      <w:r>
        <w:rPr>
          <w:sz w:val="24"/>
          <w:szCs w:val="24"/>
        </w:rPr>
        <w:t xml:space="preserve"> funding are </w:t>
      </w:r>
      <w:r w:rsidR="004C4ACD">
        <w:rPr>
          <w:sz w:val="24"/>
          <w:szCs w:val="24"/>
        </w:rPr>
        <w:t>required</w:t>
      </w:r>
      <w:r>
        <w:rPr>
          <w:sz w:val="24"/>
          <w:szCs w:val="24"/>
        </w:rPr>
        <w:t xml:space="preserve"> to report admittance infor</w:t>
      </w:r>
      <w:r w:rsidR="00D17FF3">
        <w:rPr>
          <w:sz w:val="24"/>
          <w:szCs w:val="24"/>
        </w:rPr>
        <w:t>mation on their operations</w:t>
      </w:r>
      <w:r>
        <w:rPr>
          <w:sz w:val="24"/>
          <w:szCs w:val="24"/>
        </w:rPr>
        <w:t xml:space="preserve">. </w:t>
      </w:r>
      <w:r w:rsidR="00823DBA">
        <w:rPr>
          <w:sz w:val="24"/>
          <w:szCs w:val="24"/>
        </w:rPr>
        <w:t xml:space="preserve">The original data was stratified at the individual level, but for the sake of this work it has been </w:t>
      </w:r>
      <w:r w:rsidR="00EF0DA7">
        <w:rPr>
          <w:sz w:val="24"/>
          <w:szCs w:val="24"/>
        </w:rPr>
        <w:t>aggregated</w:t>
      </w:r>
      <w:r w:rsidR="00823DBA">
        <w:rPr>
          <w:sz w:val="24"/>
          <w:szCs w:val="24"/>
        </w:rPr>
        <w:t xml:space="preserve"> into a </w:t>
      </w:r>
      <w:r w:rsidR="00A35D00">
        <w:rPr>
          <w:sz w:val="24"/>
          <w:szCs w:val="24"/>
        </w:rPr>
        <w:t>state/territory</w:t>
      </w:r>
      <w:r w:rsidR="00823DBA">
        <w:rPr>
          <w:sz w:val="24"/>
          <w:szCs w:val="24"/>
        </w:rPr>
        <w:t xml:space="preserve"> in a year as a single observation. </w:t>
      </w:r>
      <w:r>
        <w:rPr>
          <w:sz w:val="24"/>
          <w:szCs w:val="24"/>
        </w:rPr>
        <w:t>Although there are missing values</w:t>
      </w:r>
      <w:r w:rsidR="00414E9A">
        <w:rPr>
          <w:sz w:val="24"/>
          <w:szCs w:val="24"/>
        </w:rPr>
        <w:t>, like the state of Oregon, one of the nine legal states</w:t>
      </w:r>
      <w:r>
        <w:rPr>
          <w:sz w:val="24"/>
          <w:szCs w:val="24"/>
        </w:rPr>
        <w:t xml:space="preserve">. </w:t>
      </w:r>
      <w:r w:rsidR="00B05616">
        <w:rPr>
          <w:sz w:val="24"/>
          <w:szCs w:val="24"/>
        </w:rPr>
        <w:t xml:space="preserve">To visualize how the data looks with </w:t>
      </w:r>
      <w:r w:rsidR="00414E9A">
        <w:rPr>
          <w:sz w:val="24"/>
          <w:szCs w:val="24"/>
        </w:rPr>
        <w:t xml:space="preserve">these </w:t>
      </w:r>
      <w:r w:rsidR="00B05616">
        <w:rPr>
          <w:sz w:val="24"/>
          <w:szCs w:val="24"/>
        </w:rPr>
        <w:t>missing values</w:t>
      </w:r>
      <w:r w:rsidR="00414E9A">
        <w:rPr>
          <w:sz w:val="24"/>
          <w:szCs w:val="24"/>
        </w:rPr>
        <w:t>,</w:t>
      </w:r>
      <w:r w:rsidR="00B05616">
        <w:rPr>
          <w:sz w:val="24"/>
          <w:szCs w:val="24"/>
        </w:rPr>
        <w:t xml:space="preserve"> and counts of </w:t>
      </w:r>
      <w:r w:rsidR="00087378">
        <w:rPr>
          <w:sz w:val="24"/>
          <w:szCs w:val="24"/>
        </w:rPr>
        <w:t>pre- and post-periods</w:t>
      </w:r>
      <w:r w:rsidR="00414E9A">
        <w:rPr>
          <w:sz w:val="24"/>
          <w:szCs w:val="24"/>
        </w:rPr>
        <w:t>,</w:t>
      </w:r>
      <w:r w:rsidR="00B05616">
        <w:rPr>
          <w:sz w:val="24"/>
          <w:szCs w:val="24"/>
        </w:rPr>
        <w:t xml:space="preserve"> the plot</w:t>
      </w:r>
      <w:r w:rsidR="00D27855">
        <w:rPr>
          <w:sz w:val="24"/>
          <w:szCs w:val="24"/>
        </w:rPr>
        <w:t xml:space="preserve"> on the next page</w:t>
      </w:r>
      <w:r w:rsidR="00B05616">
        <w:rPr>
          <w:sz w:val="24"/>
          <w:szCs w:val="24"/>
        </w:rPr>
        <w:t xml:space="preserve"> is provided</w:t>
      </w:r>
      <w:r w:rsidR="00DF2157">
        <w:rPr>
          <w:sz w:val="24"/>
          <w:szCs w:val="24"/>
        </w:rPr>
        <w:t xml:space="preserve"> using the </w:t>
      </w:r>
      <w:proofErr w:type="spellStart"/>
      <w:r w:rsidR="00DF2157">
        <w:rPr>
          <w:sz w:val="24"/>
          <w:szCs w:val="24"/>
        </w:rPr>
        <w:t>gsynth</w:t>
      </w:r>
      <w:proofErr w:type="spellEnd"/>
      <w:r w:rsidR="00DF2157">
        <w:rPr>
          <w:sz w:val="24"/>
          <w:szCs w:val="24"/>
        </w:rPr>
        <w:t xml:space="preserve"> r package</w:t>
      </w:r>
      <w:r w:rsidR="00DF2157">
        <w:rPr>
          <w:rStyle w:val="EndnoteReference"/>
          <w:sz w:val="24"/>
          <w:szCs w:val="24"/>
        </w:rPr>
        <w:endnoteReference w:id="5"/>
      </w:r>
      <w:r w:rsidR="00B05616">
        <w:rPr>
          <w:sz w:val="24"/>
          <w:szCs w:val="24"/>
        </w:rPr>
        <w:t xml:space="preserve">. </w:t>
      </w:r>
    </w:p>
    <w:p w14:paraId="76E0F7E4" w14:textId="77777777" w:rsidR="00D27855" w:rsidRDefault="00D27855">
      <w:pPr>
        <w:rPr>
          <w:sz w:val="24"/>
          <w:szCs w:val="24"/>
        </w:rPr>
      </w:pPr>
      <w:r>
        <w:rPr>
          <w:sz w:val="24"/>
          <w:szCs w:val="24"/>
        </w:rPr>
        <w:br w:type="page"/>
      </w:r>
    </w:p>
    <w:p w14:paraId="394B6FF8" w14:textId="66BE8336" w:rsidR="00D27855" w:rsidRDefault="00D27855" w:rsidP="00D27855">
      <w:pPr>
        <w:ind w:firstLine="720"/>
        <w:jc w:val="both"/>
        <w:rPr>
          <w:sz w:val="24"/>
          <w:szCs w:val="24"/>
        </w:rPr>
      </w:pPr>
      <w:r>
        <w:rPr>
          <w:noProof/>
        </w:rPr>
        <w:lastRenderedPageBreak/>
        <w:drawing>
          <wp:anchor distT="0" distB="0" distL="114300" distR="114300" simplePos="0" relativeHeight="251666432" behindDoc="0" locked="0" layoutInCell="1" allowOverlap="1" wp14:anchorId="33C380D2" wp14:editId="74F02049">
            <wp:simplePos x="0" y="0"/>
            <wp:positionH relativeFrom="margin">
              <wp:posOffset>-422910</wp:posOffset>
            </wp:positionH>
            <wp:positionV relativeFrom="paragraph">
              <wp:posOffset>0</wp:posOffset>
            </wp:positionV>
            <wp:extent cx="6738620" cy="5060950"/>
            <wp:effectExtent l="0" t="0" r="5080" b="635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738620" cy="506095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47C12A6" w14:textId="1D551B81" w:rsidR="00143F10" w:rsidRDefault="00D27855" w:rsidP="00D27855">
      <w:pPr>
        <w:ind w:firstLine="720"/>
        <w:jc w:val="both"/>
        <w:rPr>
          <w:sz w:val="24"/>
          <w:szCs w:val="24"/>
        </w:rPr>
      </w:pPr>
      <w:r>
        <w:rPr>
          <w:sz w:val="24"/>
          <w:szCs w:val="24"/>
        </w:rPr>
        <w:t>T</w:t>
      </w:r>
      <w:r w:rsidR="006C665A">
        <w:rPr>
          <w:sz w:val="24"/>
          <w:szCs w:val="24"/>
        </w:rPr>
        <w:t xml:space="preserve">he missing values </w:t>
      </w:r>
      <w:r w:rsidR="00EF0DA7">
        <w:rPr>
          <w:sz w:val="24"/>
          <w:szCs w:val="24"/>
        </w:rPr>
        <w:t>seem</w:t>
      </w:r>
      <w:r w:rsidR="006C665A">
        <w:rPr>
          <w:sz w:val="24"/>
          <w:szCs w:val="24"/>
        </w:rPr>
        <w:t xml:space="preserve"> concerning, but even so there are nearly 1000 observations in total. So, it should not be an insurmountable issue. </w:t>
      </w:r>
      <w:r w:rsidR="00823DBA">
        <w:rPr>
          <w:sz w:val="24"/>
          <w:szCs w:val="24"/>
        </w:rPr>
        <w:t xml:space="preserve">Now it is important to note two important assumptions </w:t>
      </w:r>
      <w:r w:rsidR="00414E9A">
        <w:rPr>
          <w:sz w:val="24"/>
          <w:szCs w:val="24"/>
        </w:rPr>
        <w:t>made when using</w:t>
      </w:r>
      <w:r w:rsidR="006C665A">
        <w:rPr>
          <w:sz w:val="24"/>
          <w:szCs w:val="24"/>
        </w:rPr>
        <w:t xml:space="preserve"> the data</w:t>
      </w:r>
      <w:r w:rsidR="002E1CEE">
        <w:rPr>
          <w:sz w:val="24"/>
          <w:szCs w:val="24"/>
        </w:rPr>
        <w:t>:</w:t>
      </w:r>
      <w:r w:rsidR="00823DBA">
        <w:rPr>
          <w:sz w:val="24"/>
          <w:szCs w:val="24"/>
        </w:rPr>
        <w:t xml:space="preserve"> </w:t>
      </w:r>
      <w:r w:rsidR="006C665A">
        <w:rPr>
          <w:sz w:val="24"/>
          <w:szCs w:val="24"/>
        </w:rPr>
        <w:t xml:space="preserve">external </w:t>
      </w:r>
      <w:r w:rsidR="002E1CEE">
        <w:rPr>
          <w:sz w:val="24"/>
          <w:szCs w:val="24"/>
        </w:rPr>
        <w:t xml:space="preserve">validity </w:t>
      </w:r>
      <w:r w:rsidR="006C665A">
        <w:rPr>
          <w:sz w:val="24"/>
          <w:szCs w:val="24"/>
        </w:rPr>
        <w:t>and lack of sample bias</w:t>
      </w:r>
      <w:r w:rsidR="00823DBA">
        <w:rPr>
          <w:sz w:val="24"/>
          <w:szCs w:val="24"/>
        </w:rPr>
        <w:t xml:space="preserve">. </w:t>
      </w:r>
    </w:p>
    <w:p w14:paraId="23989A09" w14:textId="1672209F" w:rsidR="00823DBA" w:rsidRDefault="00823DBA" w:rsidP="00EF0DA7">
      <w:pPr>
        <w:jc w:val="both"/>
        <w:rPr>
          <w:sz w:val="24"/>
          <w:szCs w:val="24"/>
        </w:rPr>
      </w:pPr>
      <w:r>
        <w:rPr>
          <w:sz w:val="24"/>
          <w:szCs w:val="24"/>
        </w:rPr>
        <w:tab/>
        <w:t xml:space="preserve">This data measures the proportion of admittance to rehab facilities for opioid addiction. This means that I am assuming </w:t>
      </w:r>
      <w:r w:rsidR="006C665A">
        <w:rPr>
          <w:sz w:val="24"/>
          <w:szCs w:val="24"/>
        </w:rPr>
        <w:t>that</w:t>
      </w:r>
      <w:r w:rsidR="00EF0DA7">
        <w:rPr>
          <w:sz w:val="24"/>
          <w:szCs w:val="24"/>
        </w:rPr>
        <w:t xml:space="preserve"> the admittance</w:t>
      </w:r>
      <w:r w:rsidR="006C665A">
        <w:rPr>
          <w:sz w:val="24"/>
          <w:szCs w:val="24"/>
        </w:rPr>
        <w:t xml:space="preserve"> </w:t>
      </w:r>
      <w:r>
        <w:rPr>
          <w:sz w:val="24"/>
          <w:szCs w:val="24"/>
        </w:rPr>
        <w:t xml:space="preserve">proportion </w:t>
      </w:r>
      <w:r w:rsidR="006C665A">
        <w:rPr>
          <w:sz w:val="24"/>
          <w:szCs w:val="24"/>
        </w:rPr>
        <w:t xml:space="preserve">holds some meaning </w:t>
      </w:r>
      <w:r>
        <w:rPr>
          <w:sz w:val="24"/>
          <w:szCs w:val="24"/>
        </w:rPr>
        <w:t xml:space="preserve">for the rate of actual opioid addiction. The idea </w:t>
      </w:r>
      <w:r w:rsidR="006C665A">
        <w:rPr>
          <w:sz w:val="24"/>
          <w:szCs w:val="24"/>
        </w:rPr>
        <w:t>behind this is</w:t>
      </w:r>
      <w:r>
        <w:rPr>
          <w:sz w:val="24"/>
          <w:szCs w:val="24"/>
        </w:rPr>
        <w:t xml:space="preserve"> simple, as more people become addicted </w:t>
      </w:r>
      <w:r w:rsidR="004D4903">
        <w:rPr>
          <w:sz w:val="24"/>
          <w:szCs w:val="24"/>
        </w:rPr>
        <w:t xml:space="preserve">or become unable to manage it, more will go to rehab. </w:t>
      </w:r>
      <w:r w:rsidR="000B1C1D">
        <w:rPr>
          <w:sz w:val="24"/>
          <w:szCs w:val="24"/>
        </w:rPr>
        <w:t>As a single type of drug gains popularity</w:t>
      </w:r>
      <w:r w:rsidR="00EF0DA7">
        <w:rPr>
          <w:sz w:val="24"/>
          <w:szCs w:val="24"/>
        </w:rPr>
        <w:t xml:space="preserve"> over others</w:t>
      </w:r>
      <w:r w:rsidR="000B1C1D">
        <w:rPr>
          <w:sz w:val="24"/>
          <w:szCs w:val="24"/>
        </w:rPr>
        <w:t xml:space="preserve">, the percent admitted for it should increase in some proportion as well. </w:t>
      </w:r>
      <w:r w:rsidR="004D4903">
        <w:rPr>
          <w:sz w:val="24"/>
          <w:szCs w:val="24"/>
        </w:rPr>
        <w:t>The major worry about this assumption is that there could be a change in policy making rehab more attractive to people</w:t>
      </w:r>
      <w:r w:rsidR="000B1C1D">
        <w:rPr>
          <w:sz w:val="24"/>
          <w:szCs w:val="24"/>
        </w:rPr>
        <w:t xml:space="preserve"> using opioids</w:t>
      </w:r>
      <w:r w:rsidR="004D4903">
        <w:rPr>
          <w:sz w:val="24"/>
          <w:szCs w:val="24"/>
        </w:rPr>
        <w:t xml:space="preserve">, like </w:t>
      </w:r>
      <w:r w:rsidR="000B1C1D">
        <w:rPr>
          <w:sz w:val="24"/>
          <w:szCs w:val="24"/>
        </w:rPr>
        <w:t>an increase in awareness of the dangers</w:t>
      </w:r>
      <w:r w:rsidR="004D4903">
        <w:rPr>
          <w:sz w:val="24"/>
          <w:szCs w:val="24"/>
        </w:rPr>
        <w:t xml:space="preserve">, or an increase in </w:t>
      </w:r>
      <w:r w:rsidR="000B1C1D">
        <w:rPr>
          <w:sz w:val="24"/>
          <w:szCs w:val="24"/>
        </w:rPr>
        <w:t>criminal sentencing</w:t>
      </w:r>
      <w:r w:rsidR="004D4903">
        <w:rPr>
          <w:sz w:val="24"/>
          <w:szCs w:val="24"/>
        </w:rPr>
        <w:t>. Although, because</w:t>
      </w:r>
      <w:r w:rsidR="00414E9A">
        <w:rPr>
          <w:sz w:val="24"/>
          <w:szCs w:val="24"/>
        </w:rPr>
        <w:t xml:space="preserve"> of the assumptions for the models that will be explained in the next section</w:t>
      </w:r>
      <w:r w:rsidR="004D4903">
        <w:rPr>
          <w:sz w:val="24"/>
          <w:szCs w:val="24"/>
        </w:rPr>
        <w:t xml:space="preserve">, this shouldn’t be an issue. This paper will therefore assert that it is looking at the proportion admitted to rehab and not the actual rate of addiction, but that this number is </w:t>
      </w:r>
      <w:r w:rsidR="004D4903">
        <w:rPr>
          <w:sz w:val="24"/>
          <w:szCs w:val="24"/>
        </w:rPr>
        <w:lastRenderedPageBreak/>
        <w:t>somewhat representative of actual addiction rates and is therefore meaningful.</w:t>
      </w:r>
      <w:r w:rsidR="000B1C1D">
        <w:rPr>
          <w:sz w:val="24"/>
          <w:szCs w:val="24"/>
        </w:rPr>
        <w:t xml:space="preserve"> </w:t>
      </w:r>
      <w:r w:rsidR="004D4903">
        <w:rPr>
          <w:sz w:val="24"/>
          <w:szCs w:val="24"/>
        </w:rPr>
        <w:t>Although this data does raise some concerns to be addressed about possible</w:t>
      </w:r>
      <w:r w:rsidR="000B1C1D">
        <w:rPr>
          <w:sz w:val="24"/>
          <w:szCs w:val="24"/>
        </w:rPr>
        <w:t xml:space="preserve"> sampling</w:t>
      </w:r>
      <w:r w:rsidR="004D4903">
        <w:rPr>
          <w:sz w:val="24"/>
          <w:szCs w:val="24"/>
        </w:rPr>
        <w:t xml:space="preserve"> bias. </w:t>
      </w:r>
    </w:p>
    <w:p w14:paraId="63BAA2AC" w14:textId="30B57E62" w:rsidR="004D4903" w:rsidRDefault="004D4903" w:rsidP="00D17FF3">
      <w:pPr>
        <w:jc w:val="both"/>
        <w:rPr>
          <w:sz w:val="24"/>
          <w:szCs w:val="24"/>
        </w:rPr>
      </w:pPr>
      <w:r>
        <w:rPr>
          <w:sz w:val="24"/>
          <w:szCs w:val="24"/>
        </w:rPr>
        <w:tab/>
        <w:t xml:space="preserve">Only facilities that took government funding are required to report their admissions, </w:t>
      </w:r>
      <w:r w:rsidR="004C4ACD">
        <w:rPr>
          <w:sz w:val="24"/>
          <w:szCs w:val="24"/>
        </w:rPr>
        <w:t>but this should not be an issue because most facilities should take public money</w:t>
      </w:r>
      <w:r>
        <w:rPr>
          <w:sz w:val="24"/>
          <w:szCs w:val="24"/>
        </w:rPr>
        <w:t xml:space="preserve">. </w:t>
      </w:r>
      <w:r w:rsidR="004C4ACD">
        <w:rPr>
          <w:sz w:val="24"/>
          <w:szCs w:val="24"/>
        </w:rPr>
        <w:t>Government</w:t>
      </w:r>
      <w:r>
        <w:rPr>
          <w:sz w:val="24"/>
          <w:szCs w:val="24"/>
        </w:rPr>
        <w:t xml:space="preserve"> funding is an economic benefit to these facilities</w:t>
      </w:r>
      <w:r w:rsidR="0074004B">
        <w:rPr>
          <w:sz w:val="24"/>
          <w:szCs w:val="24"/>
        </w:rPr>
        <w:t>, and not taking it would be a major inefficiency in their business model. Therefore</w:t>
      </w:r>
      <w:r w:rsidR="00A35D00">
        <w:rPr>
          <w:sz w:val="24"/>
          <w:szCs w:val="24"/>
        </w:rPr>
        <w:t>,</w:t>
      </w:r>
      <w:r w:rsidR="0074004B">
        <w:rPr>
          <w:sz w:val="24"/>
          <w:szCs w:val="24"/>
        </w:rPr>
        <w:t xml:space="preserve"> we can assume that the vast majority will be reporting and taking funding. </w:t>
      </w:r>
      <w:r w:rsidR="004C4ACD">
        <w:rPr>
          <w:sz w:val="24"/>
          <w:szCs w:val="24"/>
        </w:rPr>
        <w:t>Even so, the largest</w:t>
      </w:r>
      <w:r w:rsidR="0074004B">
        <w:rPr>
          <w:sz w:val="24"/>
          <w:szCs w:val="24"/>
        </w:rPr>
        <w:t xml:space="preserve"> worry is that there is a subset of facilities </w:t>
      </w:r>
      <w:r w:rsidR="00EF0DA7">
        <w:rPr>
          <w:sz w:val="24"/>
          <w:szCs w:val="24"/>
        </w:rPr>
        <w:t xml:space="preserve">that are </w:t>
      </w:r>
      <w:r w:rsidR="0074004B">
        <w:rPr>
          <w:sz w:val="24"/>
          <w:szCs w:val="24"/>
        </w:rPr>
        <w:t xml:space="preserve">systemic </w:t>
      </w:r>
      <w:r w:rsidR="00EF0DA7">
        <w:rPr>
          <w:sz w:val="24"/>
          <w:szCs w:val="24"/>
        </w:rPr>
        <w:t>different</w:t>
      </w:r>
      <w:r w:rsidR="00414E9A">
        <w:rPr>
          <w:sz w:val="24"/>
          <w:szCs w:val="24"/>
        </w:rPr>
        <w:t xml:space="preserve"> in their reporting and</w:t>
      </w:r>
      <w:r w:rsidR="0074004B">
        <w:rPr>
          <w:sz w:val="24"/>
          <w:szCs w:val="24"/>
        </w:rPr>
        <w:t xml:space="preserve"> admittance of opioid</w:t>
      </w:r>
      <w:r w:rsidR="00414E9A">
        <w:rPr>
          <w:sz w:val="24"/>
          <w:szCs w:val="24"/>
        </w:rPr>
        <w:t xml:space="preserve"> patients</w:t>
      </w:r>
      <w:r w:rsidR="0074004B">
        <w:rPr>
          <w:sz w:val="24"/>
          <w:szCs w:val="24"/>
        </w:rPr>
        <w:t xml:space="preserve">. This story doesn’t seem likely, as not taking funding </w:t>
      </w:r>
      <w:r w:rsidR="004C4ACD">
        <w:rPr>
          <w:sz w:val="24"/>
          <w:szCs w:val="24"/>
        </w:rPr>
        <w:t>shouldn’t encourage or discourage admitting more or less patien</w:t>
      </w:r>
      <w:r w:rsidR="00414E9A">
        <w:rPr>
          <w:sz w:val="24"/>
          <w:szCs w:val="24"/>
        </w:rPr>
        <w:t>ts</w:t>
      </w:r>
      <w:r w:rsidR="004C4ACD">
        <w:rPr>
          <w:sz w:val="24"/>
          <w:szCs w:val="24"/>
        </w:rPr>
        <w:t xml:space="preserve"> </w:t>
      </w:r>
      <w:r w:rsidR="00414E9A">
        <w:rPr>
          <w:sz w:val="24"/>
          <w:szCs w:val="24"/>
        </w:rPr>
        <w:t>for</w:t>
      </w:r>
      <w:r w:rsidR="004C4ACD">
        <w:rPr>
          <w:sz w:val="24"/>
          <w:szCs w:val="24"/>
        </w:rPr>
        <w:t xml:space="preserve"> opioid addiction</w:t>
      </w:r>
      <w:r w:rsidR="0074004B">
        <w:rPr>
          <w:sz w:val="24"/>
          <w:szCs w:val="24"/>
        </w:rPr>
        <w:t xml:space="preserve">. </w:t>
      </w:r>
      <w:r w:rsidR="00EF0DA7">
        <w:rPr>
          <w:sz w:val="24"/>
          <w:szCs w:val="24"/>
        </w:rPr>
        <w:t>With</w:t>
      </w:r>
      <w:r w:rsidR="0074004B">
        <w:rPr>
          <w:sz w:val="24"/>
          <w:szCs w:val="24"/>
        </w:rPr>
        <w:t xml:space="preserve"> possible internal and external bias accounted for, the next </w:t>
      </w:r>
      <w:r w:rsidR="00414E9A">
        <w:rPr>
          <w:sz w:val="24"/>
          <w:szCs w:val="24"/>
        </w:rPr>
        <w:t>step is checking the data balance</w:t>
      </w:r>
      <w:r w:rsidR="0074004B">
        <w:rPr>
          <w:sz w:val="24"/>
          <w:szCs w:val="24"/>
        </w:rPr>
        <w:t xml:space="preserve">. </w:t>
      </w:r>
    </w:p>
    <w:p w14:paraId="1A2B8A8F" w14:textId="6383A67C" w:rsidR="006B07FA" w:rsidRDefault="006B07FA" w:rsidP="00D17FF3">
      <w:pPr>
        <w:jc w:val="both"/>
        <w:rPr>
          <w:sz w:val="24"/>
          <w:szCs w:val="24"/>
        </w:rPr>
      </w:pPr>
      <w:r>
        <w:rPr>
          <w:sz w:val="24"/>
          <w:szCs w:val="24"/>
        </w:rPr>
        <w:tab/>
        <w:t xml:space="preserve">We are looking to see if the data is </w:t>
      </w:r>
      <w:r w:rsidR="00414E9A">
        <w:rPr>
          <w:sz w:val="24"/>
          <w:szCs w:val="24"/>
        </w:rPr>
        <w:t>distributed consistently</w:t>
      </w:r>
      <w:r>
        <w:rPr>
          <w:sz w:val="24"/>
          <w:szCs w:val="24"/>
        </w:rPr>
        <w:t xml:space="preserve"> across the treatment and control groups. To check </w:t>
      </w:r>
      <w:r w:rsidR="00C84276">
        <w:rPr>
          <w:sz w:val="24"/>
          <w:szCs w:val="24"/>
        </w:rPr>
        <w:t>for difference</w:t>
      </w:r>
      <w:r w:rsidR="00EF0DA7">
        <w:rPr>
          <w:sz w:val="24"/>
          <w:szCs w:val="24"/>
        </w:rPr>
        <w:t>s</w:t>
      </w:r>
      <w:r w:rsidR="00C84276">
        <w:rPr>
          <w:sz w:val="24"/>
          <w:szCs w:val="24"/>
        </w:rPr>
        <w:t xml:space="preserve"> the table below is </w:t>
      </w:r>
      <w:r w:rsidR="00EF0DA7">
        <w:rPr>
          <w:sz w:val="24"/>
          <w:szCs w:val="24"/>
        </w:rPr>
        <w:t xml:space="preserve">provided as </w:t>
      </w:r>
      <w:r w:rsidR="00C84276">
        <w:rPr>
          <w:sz w:val="24"/>
          <w:szCs w:val="24"/>
        </w:rPr>
        <w:t>a reference</w:t>
      </w:r>
      <w:r>
        <w:rPr>
          <w:sz w:val="24"/>
          <w:szCs w:val="24"/>
        </w:rPr>
        <w:t xml:space="preserve">. </w:t>
      </w:r>
    </w:p>
    <w:tbl>
      <w:tblPr>
        <w:tblStyle w:val="TableGrid"/>
        <w:tblW w:w="0" w:type="auto"/>
        <w:jc w:val="center"/>
        <w:tblLook w:val="04A0" w:firstRow="1" w:lastRow="0" w:firstColumn="1" w:lastColumn="0" w:noHBand="0" w:noVBand="1"/>
      </w:tblPr>
      <w:tblGrid>
        <w:gridCol w:w="1975"/>
        <w:gridCol w:w="1765"/>
        <w:gridCol w:w="1870"/>
        <w:gridCol w:w="1870"/>
      </w:tblGrid>
      <w:tr w:rsidR="006B07FA" w14:paraId="42A265E3" w14:textId="77777777" w:rsidTr="00C84276">
        <w:trPr>
          <w:trHeight w:val="304"/>
          <w:jc w:val="center"/>
        </w:trPr>
        <w:tc>
          <w:tcPr>
            <w:tcW w:w="1975" w:type="dxa"/>
          </w:tcPr>
          <w:p w14:paraId="22F2A633" w14:textId="77777777" w:rsidR="006B07FA" w:rsidRDefault="006B07FA" w:rsidP="00CE79CE">
            <w:pPr>
              <w:rPr>
                <w:sz w:val="24"/>
                <w:szCs w:val="24"/>
              </w:rPr>
            </w:pPr>
          </w:p>
        </w:tc>
        <w:tc>
          <w:tcPr>
            <w:tcW w:w="1765" w:type="dxa"/>
          </w:tcPr>
          <w:p w14:paraId="51DEB417" w14:textId="64AC1C15" w:rsidR="006B07FA" w:rsidRDefault="006B07FA" w:rsidP="00CE79CE">
            <w:pPr>
              <w:rPr>
                <w:sz w:val="24"/>
                <w:szCs w:val="24"/>
              </w:rPr>
            </w:pPr>
            <w:r>
              <w:rPr>
                <w:sz w:val="24"/>
                <w:szCs w:val="24"/>
              </w:rPr>
              <w:t>Mean Treatment</w:t>
            </w:r>
          </w:p>
        </w:tc>
        <w:tc>
          <w:tcPr>
            <w:tcW w:w="1870" w:type="dxa"/>
          </w:tcPr>
          <w:p w14:paraId="67AFADB8" w14:textId="554186D5" w:rsidR="006B07FA" w:rsidRDefault="006B07FA" w:rsidP="00CE79CE">
            <w:pPr>
              <w:rPr>
                <w:sz w:val="24"/>
                <w:szCs w:val="24"/>
              </w:rPr>
            </w:pPr>
            <w:r>
              <w:rPr>
                <w:sz w:val="24"/>
                <w:szCs w:val="24"/>
              </w:rPr>
              <w:t>Mean Control</w:t>
            </w:r>
          </w:p>
        </w:tc>
        <w:tc>
          <w:tcPr>
            <w:tcW w:w="1870" w:type="dxa"/>
          </w:tcPr>
          <w:p w14:paraId="59A8641A" w14:textId="10C8B70C" w:rsidR="006B07FA" w:rsidRDefault="006B07FA" w:rsidP="00CE79CE">
            <w:pPr>
              <w:rPr>
                <w:sz w:val="24"/>
                <w:szCs w:val="24"/>
              </w:rPr>
            </w:pPr>
            <w:r>
              <w:rPr>
                <w:sz w:val="24"/>
                <w:szCs w:val="24"/>
              </w:rPr>
              <w:t>P-Value</w:t>
            </w:r>
          </w:p>
        </w:tc>
      </w:tr>
      <w:tr w:rsidR="006B07FA" w14:paraId="4B686B7F" w14:textId="77777777" w:rsidTr="00C84276">
        <w:trPr>
          <w:trHeight w:val="311"/>
          <w:jc w:val="center"/>
        </w:trPr>
        <w:tc>
          <w:tcPr>
            <w:tcW w:w="1975" w:type="dxa"/>
          </w:tcPr>
          <w:p w14:paraId="6B2B8257" w14:textId="78E4ED4C" w:rsidR="006B07FA" w:rsidRDefault="006B07FA" w:rsidP="00CE79CE">
            <w:pPr>
              <w:rPr>
                <w:sz w:val="24"/>
                <w:szCs w:val="24"/>
              </w:rPr>
            </w:pPr>
            <w:r>
              <w:rPr>
                <w:sz w:val="24"/>
                <w:szCs w:val="24"/>
              </w:rPr>
              <w:t>Under-35</w:t>
            </w:r>
          </w:p>
        </w:tc>
        <w:tc>
          <w:tcPr>
            <w:tcW w:w="1765" w:type="dxa"/>
          </w:tcPr>
          <w:p w14:paraId="7F342B61" w14:textId="197CB2A8" w:rsidR="006B07FA" w:rsidRDefault="00C84276" w:rsidP="00CE79CE">
            <w:pPr>
              <w:rPr>
                <w:sz w:val="24"/>
                <w:szCs w:val="24"/>
              </w:rPr>
            </w:pPr>
            <w:r>
              <w:rPr>
                <w:sz w:val="24"/>
                <w:szCs w:val="24"/>
              </w:rPr>
              <w:t>.49</w:t>
            </w:r>
          </w:p>
        </w:tc>
        <w:tc>
          <w:tcPr>
            <w:tcW w:w="1870" w:type="dxa"/>
          </w:tcPr>
          <w:p w14:paraId="0F71181C" w14:textId="0334410A" w:rsidR="006B07FA" w:rsidRDefault="00C84276" w:rsidP="00CE79CE">
            <w:pPr>
              <w:rPr>
                <w:sz w:val="24"/>
                <w:szCs w:val="24"/>
              </w:rPr>
            </w:pPr>
            <w:r>
              <w:rPr>
                <w:sz w:val="24"/>
                <w:szCs w:val="24"/>
              </w:rPr>
              <w:t>.44</w:t>
            </w:r>
          </w:p>
        </w:tc>
        <w:tc>
          <w:tcPr>
            <w:tcW w:w="1870" w:type="dxa"/>
          </w:tcPr>
          <w:p w14:paraId="00B6A4FF" w14:textId="482B7FFC" w:rsidR="006B07FA" w:rsidRDefault="00C84276" w:rsidP="00CE79CE">
            <w:pPr>
              <w:rPr>
                <w:sz w:val="24"/>
                <w:szCs w:val="24"/>
              </w:rPr>
            </w:pPr>
            <w:r>
              <w:rPr>
                <w:sz w:val="24"/>
                <w:szCs w:val="24"/>
              </w:rPr>
              <w:t>0</w:t>
            </w:r>
          </w:p>
        </w:tc>
      </w:tr>
      <w:tr w:rsidR="006B07FA" w14:paraId="081E3441" w14:textId="77777777" w:rsidTr="00C84276">
        <w:trPr>
          <w:trHeight w:val="304"/>
          <w:jc w:val="center"/>
        </w:trPr>
        <w:tc>
          <w:tcPr>
            <w:tcW w:w="1975" w:type="dxa"/>
          </w:tcPr>
          <w:p w14:paraId="7FF0BF53" w14:textId="37262984" w:rsidR="006B07FA" w:rsidRDefault="006B07FA" w:rsidP="00CE79CE">
            <w:pPr>
              <w:rPr>
                <w:sz w:val="24"/>
                <w:szCs w:val="24"/>
              </w:rPr>
            </w:pPr>
            <w:r>
              <w:rPr>
                <w:sz w:val="24"/>
                <w:szCs w:val="24"/>
              </w:rPr>
              <w:t>White</w:t>
            </w:r>
          </w:p>
        </w:tc>
        <w:tc>
          <w:tcPr>
            <w:tcW w:w="1765" w:type="dxa"/>
          </w:tcPr>
          <w:p w14:paraId="51E8CB56" w14:textId="48CFF6FB" w:rsidR="006B07FA" w:rsidRDefault="00C84276" w:rsidP="00CE79CE">
            <w:pPr>
              <w:rPr>
                <w:sz w:val="24"/>
                <w:szCs w:val="24"/>
              </w:rPr>
            </w:pPr>
            <w:r>
              <w:rPr>
                <w:sz w:val="24"/>
                <w:szCs w:val="24"/>
              </w:rPr>
              <w:t>.64</w:t>
            </w:r>
          </w:p>
        </w:tc>
        <w:tc>
          <w:tcPr>
            <w:tcW w:w="1870" w:type="dxa"/>
          </w:tcPr>
          <w:p w14:paraId="6ACD8991" w14:textId="3A336EE3" w:rsidR="006B07FA" w:rsidRDefault="00C84276" w:rsidP="00CE79CE">
            <w:pPr>
              <w:rPr>
                <w:sz w:val="24"/>
                <w:szCs w:val="24"/>
              </w:rPr>
            </w:pPr>
            <w:r>
              <w:rPr>
                <w:sz w:val="24"/>
                <w:szCs w:val="24"/>
              </w:rPr>
              <w:t>.7</w:t>
            </w:r>
          </w:p>
        </w:tc>
        <w:tc>
          <w:tcPr>
            <w:tcW w:w="1870" w:type="dxa"/>
          </w:tcPr>
          <w:p w14:paraId="6A236C05" w14:textId="47D9B00D" w:rsidR="006B07FA" w:rsidRDefault="00C84276" w:rsidP="00CE79CE">
            <w:pPr>
              <w:rPr>
                <w:sz w:val="24"/>
                <w:szCs w:val="24"/>
              </w:rPr>
            </w:pPr>
            <w:r>
              <w:rPr>
                <w:sz w:val="24"/>
                <w:szCs w:val="24"/>
              </w:rPr>
              <w:t>0</w:t>
            </w:r>
          </w:p>
        </w:tc>
      </w:tr>
      <w:tr w:rsidR="006B07FA" w14:paraId="453F082A" w14:textId="77777777" w:rsidTr="00C84276">
        <w:trPr>
          <w:trHeight w:val="304"/>
          <w:jc w:val="center"/>
        </w:trPr>
        <w:tc>
          <w:tcPr>
            <w:tcW w:w="1975" w:type="dxa"/>
          </w:tcPr>
          <w:p w14:paraId="09C75132" w14:textId="1315205A" w:rsidR="006B07FA" w:rsidRDefault="006B07FA" w:rsidP="00CE79CE">
            <w:pPr>
              <w:rPr>
                <w:sz w:val="24"/>
                <w:szCs w:val="24"/>
              </w:rPr>
            </w:pPr>
            <w:r>
              <w:rPr>
                <w:sz w:val="24"/>
                <w:szCs w:val="24"/>
              </w:rPr>
              <w:t>Black</w:t>
            </w:r>
          </w:p>
        </w:tc>
        <w:tc>
          <w:tcPr>
            <w:tcW w:w="1765" w:type="dxa"/>
          </w:tcPr>
          <w:p w14:paraId="3E82ABC1" w14:textId="5AAC27FA" w:rsidR="006B07FA" w:rsidRDefault="00C84276" w:rsidP="00CE79CE">
            <w:pPr>
              <w:rPr>
                <w:sz w:val="24"/>
                <w:szCs w:val="24"/>
              </w:rPr>
            </w:pPr>
            <w:r>
              <w:rPr>
                <w:sz w:val="24"/>
                <w:szCs w:val="24"/>
              </w:rPr>
              <w:t>.16</w:t>
            </w:r>
          </w:p>
        </w:tc>
        <w:tc>
          <w:tcPr>
            <w:tcW w:w="1870" w:type="dxa"/>
          </w:tcPr>
          <w:p w14:paraId="3603D49E" w14:textId="35650FE7" w:rsidR="006B07FA" w:rsidRDefault="00C84276" w:rsidP="00CE79CE">
            <w:pPr>
              <w:rPr>
                <w:sz w:val="24"/>
                <w:szCs w:val="24"/>
              </w:rPr>
            </w:pPr>
            <w:r>
              <w:rPr>
                <w:sz w:val="24"/>
                <w:szCs w:val="24"/>
              </w:rPr>
              <w:t>.17</w:t>
            </w:r>
          </w:p>
        </w:tc>
        <w:tc>
          <w:tcPr>
            <w:tcW w:w="1870" w:type="dxa"/>
          </w:tcPr>
          <w:p w14:paraId="4C009281" w14:textId="42445ACE" w:rsidR="006B07FA" w:rsidRDefault="00C84276" w:rsidP="00CE79CE">
            <w:pPr>
              <w:rPr>
                <w:sz w:val="24"/>
                <w:szCs w:val="24"/>
              </w:rPr>
            </w:pPr>
            <w:r>
              <w:rPr>
                <w:sz w:val="24"/>
                <w:szCs w:val="24"/>
              </w:rPr>
              <w:t>.73</w:t>
            </w:r>
          </w:p>
        </w:tc>
      </w:tr>
      <w:tr w:rsidR="006B07FA" w14:paraId="3645E02E" w14:textId="77777777" w:rsidTr="00C84276">
        <w:trPr>
          <w:trHeight w:val="311"/>
          <w:jc w:val="center"/>
        </w:trPr>
        <w:tc>
          <w:tcPr>
            <w:tcW w:w="1975" w:type="dxa"/>
          </w:tcPr>
          <w:p w14:paraId="1E28FF76" w14:textId="38375D54" w:rsidR="006B07FA" w:rsidRDefault="006B07FA" w:rsidP="00CE79CE">
            <w:pPr>
              <w:rPr>
                <w:sz w:val="24"/>
                <w:szCs w:val="24"/>
              </w:rPr>
            </w:pPr>
            <w:r>
              <w:rPr>
                <w:sz w:val="24"/>
                <w:szCs w:val="24"/>
              </w:rPr>
              <w:t>Other Minority</w:t>
            </w:r>
          </w:p>
        </w:tc>
        <w:tc>
          <w:tcPr>
            <w:tcW w:w="1765" w:type="dxa"/>
          </w:tcPr>
          <w:p w14:paraId="25DD214B" w14:textId="41751B07" w:rsidR="006B07FA" w:rsidRDefault="00C84276" w:rsidP="00CE79CE">
            <w:pPr>
              <w:rPr>
                <w:sz w:val="24"/>
                <w:szCs w:val="24"/>
              </w:rPr>
            </w:pPr>
            <w:r>
              <w:rPr>
                <w:sz w:val="24"/>
                <w:szCs w:val="24"/>
              </w:rPr>
              <w:t>.2</w:t>
            </w:r>
          </w:p>
        </w:tc>
        <w:tc>
          <w:tcPr>
            <w:tcW w:w="1870" w:type="dxa"/>
          </w:tcPr>
          <w:p w14:paraId="2F530267" w14:textId="07D72B08" w:rsidR="006B07FA" w:rsidRDefault="00C84276" w:rsidP="00CE79CE">
            <w:pPr>
              <w:rPr>
                <w:sz w:val="24"/>
                <w:szCs w:val="24"/>
              </w:rPr>
            </w:pPr>
            <w:r>
              <w:rPr>
                <w:sz w:val="24"/>
                <w:szCs w:val="24"/>
              </w:rPr>
              <w:t>.13</w:t>
            </w:r>
          </w:p>
        </w:tc>
        <w:tc>
          <w:tcPr>
            <w:tcW w:w="1870" w:type="dxa"/>
          </w:tcPr>
          <w:p w14:paraId="1E900030" w14:textId="0543C3D5" w:rsidR="006B07FA" w:rsidRDefault="00C84276" w:rsidP="00CE79CE">
            <w:pPr>
              <w:rPr>
                <w:sz w:val="24"/>
                <w:szCs w:val="24"/>
              </w:rPr>
            </w:pPr>
            <w:r>
              <w:rPr>
                <w:sz w:val="24"/>
                <w:szCs w:val="24"/>
              </w:rPr>
              <w:t>0</w:t>
            </w:r>
          </w:p>
        </w:tc>
      </w:tr>
      <w:tr w:rsidR="006B07FA" w14:paraId="626DB338" w14:textId="77777777" w:rsidTr="00C84276">
        <w:trPr>
          <w:trHeight w:val="304"/>
          <w:jc w:val="center"/>
        </w:trPr>
        <w:tc>
          <w:tcPr>
            <w:tcW w:w="1975" w:type="dxa"/>
          </w:tcPr>
          <w:p w14:paraId="31B60394" w14:textId="302AB0C0" w:rsidR="006B07FA" w:rsidRDefault="006B07FA" w:rsidP="00CE79CE">
            <w:pPr>
              <w:rPr>
                <w:sz w:val="24"/>
                <w:szCs w:val="24"/>
              </w:rPr>
            </w:pPr>
            <w:r>
              <w:rPr>
                <w:sz w:val="24"/>
                <w:szCs w:val="24"/>
              </w:rPr>
              <w:t>Advanced Degree</w:t>
            </w:r>
          </w:p>
        </w:tc>
        <w:tc>
          <w:tcPr>
            <w:tcW w:w="1765" w:type="dxa"/>
          </w:tcPr>
          <w:p w14:paraId="2EB40774" w14:textId="1712D13E" w:rsidR="006B07FA" w:rsidRDefault="00C84276" w:rsidP="00CE79CE">
            <w:pPr>
              <w:rPr>
                <w:sz w:val="24"/>
                <w:szCs w:val="24"/>
              </w:rPr>
            </w:pPr>
            <w:r>
              <w:rPr>
                <w:sz w:val="24"/>
                <w:szCs w:val="24"/>
              </w:rPr>
              <w:t>.2</w:t>
            </w:r>
          </w:p>
        </w:tc>
        <w:tc>
          <w:tcPr>
            <w:tcW w:w="1870" w:type="dxa"/>
          </w:tcPr>
          <w:p w14:paraId="4B8EB9F1" w14:textId="306C5CA9" w:rsidR="006B07FA" w:rsidRDefault="00C84276" w:rsidP="00CE79CE">
            <w:pPr>
              <w:rPr>
                <w:sz w:val="24"/>
                <w:szCs w:val="24"/>
              </w:rPr>
            </w:pPr>
            <w:r>
              <w:rPr>
                <w:sz w:val="24"/>
                <w:szCs w:val="24"/>
              </w:rPr>
              <w:t>.23</w:t>
            </w:r>
          </w:p>
        </w:tc>
        <w:tc>
          <w:tcPr>
            <w:tcW w:w="1870" w:type="dxa"/>
          </w:tcPr>
          <w:p w14:paraId="3D80335C" w14:textId="4BC5CA30" w:rsidR="006B07FA" w:rsidRDefault="00C84276" w:rsidP="00CE79CE">
            <w:pPr>
              <w:rPr>
                <w:sz w:val="24"/>
                <w:szCs w:val="24"/>
              </w:rPr>
            </w:pPr>
            <w:r>
              <w:rPr>
                <w:sz w:val="24"/>
                <w:szCs w:val="24"/>
              </w:rPr>
              <w:t>0</w:t>
            </w:r>
          </w:p>
        </w:tc>
      </w:tr>
    </w:tbl>
    <w:p w14:paraId="599574FA" w14:textId="77777777" w:rsidR="00C84276" w:rsidRDefault="00C84276" w:rsidP="00C84276">
      <w:pPr>
        <w:ind w:firstLine="720"/>
        <w:rPr>
          <w:sz w:val="24"/>
          <w:szCs w:val="24"/>
        </w:rPr>
      </w:pPr>
    </w:p>
    <w:p w14:paraId="22F7F04A" w14:textId="74DE8632" w:rsidR="000C62B1" w:rsidRDefault="00C84276" w:rsidP="006301B2">
      <w:pPr>
        <w:ind w:firstLine="720"/>
        <w:jc w:val="both"/>
        <w:rPr>
          <w:sz w:val="24"/>
          <w:szCs w:val="24"/>
        </w:rPr>
      </w:pPr>
      <w:r>
        <w:rPr>
          <w:sz w:val="24"/>
          <w:szCs w:val="24"/>
        </w:rPr>
        <w:t>These covariates are significantly different between groups, excluding the admittance of the black demographic.</w:t>
      </w:r>
      <w:r w:rsidR="004C4ACD">
        <w:rPr>
          <w:sz w:val="24"/>
          <w:szCs w:val="24"/>
        </w:rPr>
        <w:t xml:space="preserve"> The largest </w:t>
      </w:r>
      <w:r w:rsidR="00EF0DA7">
        <w:rPr>
          <w:sz w:val="24"/>
          <w:szCs w:val="24"/>
        </w:rPr>
        <w:t>disparity</w:t>
      </w:r>
      <w:r w:rsidR="004C4ACD">
        <w:rPr>
          <w:sz w:val="24"/>
          <w:szCs w:val="24"/>
        </w:rPr>
        <w:t xml:space="preserve"> comes from the treatment </w:t>
      </w:r>
      <w:r w:rsidR="00EF0DA7">
        <w:rPr>
          <w:sz w:val="24"/>
          <w:szCs w:val="24"/>
        </w:rPr>
        <w:t>group</w:t>
      </w:r>
      <w:r w:rsidR="004C4ACD">
        <w:rPr>
          <w:sz w:val="24"/>
          <w:szCs w:val="24"/>
        </w:rPr>
        <w:t xml:space="preserve"> having a 5% whiter proportion of admittance than the controls</w:t>
      </w:r>
      <w:r>
        <w:rPr>
          <w:sz w:val="24"/>
          <w:szCs w:val="24"/>
        </w:rPr>
        <w:t>.</w:t>
      </w:r>
      <w:r w:rsidR="006301B2">
        <w:rPr>
          <w:sz w:val="24"/>
          <w:szCs w:val="24"/>
        </w:rPr>
        <w:t xml:space="preserve"> Although, these types of static</w:t>
      </w:r>
      <w:r w:rsidR="009857CD">
        <w:rPr>
          <w:sz w:val="24"/>
          <w:szCs w:val="24"/>
        </w:rPr>
        <w:t>al</w:t>
      </w:r>
      <w:r w:rsidR="006301B2">
        <w:rPr>
          <w:sz w:val="24"/>
          <w:szCs w:val="24"/>
        </w:rPr>
        <w:t xml:space="preserve"> differences should not be an issue for this work. The</w:t>
      </w:r>
      <w:r>
        <w:rPr>
          <w:sz w:val="24"/>
          <w:szCs w:val="24"/>
        </w:rPr>
        <w:t xml:space="preserve"> assumptions for the methodology, which will be explained in</w:t>
      </w:r>
      <w:r w:rsidR="009857CD">
        <w:rPr>
          <w:sz w:val="24"/>
          <w:szCs w:val="24"/>
        </w:rPr>
        <w:t xml:space="preserve"> more thoroughly in</w:t>
      </w:r>
      <w:r>
        <w:rPr>
          <w:sz w:val="24"/>
          <w:szCs w:val="24"/>
        </w:rPr>
        <w:t xml:space="preserve"> the next section, should ensure that the only difference that matters is if the demographics change </w:t>
      </w:r>
      <w:r w:rsidR="00414E9A">
        <w:rPr>
          <w:sz w:val="24"/>
          <w:szCs w:val="24"/>
        </w:rPr>
        <w:t>when</w:t>
      </w:r>
      <w:r>
        <w:rPr>
          <w:sz w:val="24"/>
          <w:szCs w:val="24"/>
        </w:rPr>
        <w:t xml:space="preserve"> treatment happens. Since none of these covariates, even the most significantly different ones, should </w:t>
      </w:r>
      <w:r w:rsidR="009857CD">
        <w:rPr>
          <w:sz w:val="24"/>
          <w:szCs w:val="24"/>
        </w:rPr>
        <w:t>shift</w:t>
      </w:r>
      <w:r>
        <w:rPr>
          <w:sz w:val="24"/>
          <w:szCs w:val="24"/>
        </w:rPr>
        <w:t xml:space="preserve"> when marijuana legalization is enacted</w:t>
      </w:r>
      <w:r w:rsidR="006301B2">
        <w:rPr>
          <w:sz w:val="24"/>
          <w:szCs w:val="24"/>
        </w:rPr>
        <w:t>,</w:t>
      </w:r>
      <w:r>
        <w:rPr>
          <w:sz w:val="24"/>
          <w:szCs w:val="24"/>
        </w:rPr>
        <w:t xml:space="preserve"> </w:t>
      </w:r>
      <w:r w:rsidR="006301B2">
        <w:rPr>
          <w:sz w:val="24"/>
          <w:szCs w:val="24"/>
        </w:rPr>
        <w:t xml:space="preserve">the lack of balance is not </w:t>
      </w:r>
      <w:r w:rsidR="00414E9A">
        <w:rPr>
          <w:sz w:val="24"/>
          <w:szCs w:val="24"/>
        </w:rPr>
        <w:t>an issue</w:t>
      </w:r>
      <w:r>
        <w:rPr>
          <w:sz w:val="24"/>
          <w:szCs w:val="24"/>
        </w:rPr>
        <w:t xml:space="preserve">. </w:t>
      </w:r>
    </w:p>
    <w:p w14:paraId="1E331203" w14:textId="77777777" w:rsidR="00D27855" w:rsidRPr="00F601AC" w:rsidRDefault="00D27855" w:rsidP="006301B2">
      <w:pPr>
        <w:ind w:firstLine="720"/>
        <w:jc w:val="both"/>
        <w:rPr>
          <w:sz w:val="24"/>
          <w:szCs w:val="24"/>
        </w:rPr>
      </w:pPr>
    </w:p>
    <w:p w14:paraId="71B78757" w14:textId="1B18BFB4" w:rsidR="00143F10" w:rsidRPr="001A0C4C" w:rsidRDefault="00143F10" w:rsidP="00143F10">
      <w:pPr>
        <w:jc w:val="center"/>
        <w:rPr>
          <w:sz w:val="36"/>
          <w:szCs w:val="36"/>
        </w:rPr>
      </w:pPr>
      <w:r w:rsidRPr="001A0C4C">
        <w:rPr>
          <w:sz w:val="36"/>
          <w:szCs w:val="36"/>
        </w:rPr>
        <w:t>Methodology</w:t>
      </w:r>
    </w:p>
    <w:p w14:paraId="1F7F2B38" w14:textId="730A9E78" w:rsidR="00727163" w:rsidRDefault="001A0C4C" w:rsidP="004110BC">
      <w:pPr>
        <w:jc w:val="both"/>
        <w:rPr>
          <w:sz w:val="24"/>
          <w:szCs w:val="24"/>
        </w:rPr>
      </w:pPr>
      <w:r>
        <w:rPr>
          <w:sz w:val="24"/>
          <w:szCs w:val="24"/>
        </w:rPr>
        <w:tab/>
        <w:t>The first model that this paper will use is a synthetic control</w:t>
      </w:r>
      <w:r w:rsidR="00DF2157">
        <w:rPr>
          <w:rStyle w:val="EndnoteReference"/>
          <w:sz w:val="24"/>
          <w:szCs w:val="24"/>
        </w:rPr>
        <w:endnoteReference w:id="6"/>
      </w:r>
      <w:r>
        <w:rPr>
          <w:sz w:val="24"/>
          <w:szCs w:val="24"/>
        </w:rPr>
        <w:t xml:space="preserve">. </w:t>
      </w:r>
      <w:r w:rsidR="006301B2">
        <w:rPr>
          <w:sz w:val="24"/>
          <w:szCs w:val="24"/>
        </w:rPr>
        <w:t xml:space="preserve">This </w:t>
      </w:r>
      <w:r w:rsidR="009857CD">
        <w:rPr>
          <w:sz w:val="24"/>
          <w:szCs w:val="24"/>
        </w:rPr>
        <w:t>strategy</w:t>
      </w:r>
      <w:r w:rsidR="00985C75">
        <w:rPr>
          <w:sz w:val="24"/>
          <w:szCs w:val="24"/>
        </w:rPr>
        <w:t xml:space="preserve"> </w:t>
      </w:r>
      <w:r w:rsidR="006301B2">
        <w:rPr>
          <w:sz w:val="24"/>
          <w:szCs w:val="24"/>
        </w:rPr>
        <w:t xml:space="preserve">expands on the idea of </w:t>
      </w:r>
      <w:r w:rsidR="00985C75">
        <w:rPr>
          <w:sz w:val="24"/>
          <w:szCs w:val="24"/>
        </w:rPr>
        <w:t>difference-in-difference</w:t>
      </w:r>
      <w:r w:rsidR="009857CD">
        <w:rPr>
          <w:sz w:val="24"/>
          <w:szCs w:val="24"/>
        </w:rPr>
        <w:t>s</w:t>
      </w:r>
      <w:r w:rsidR="006301B2">
        <w:rPr>
          <w:sz w:val="24"/>
          <w:szCs w:val="24"/>
        </w:rPr>
        <w:t xml:space="preserve"> by taking </w:t>
      </w:r>
      <w:r w:rsidR="00985C75">
        <w:rPr>
          <w:sz w:val="24"/>
          <w:szCs w:val="24"/>
        </w:rPr>
        <w:t>elements of matching techniques</w:t>
      </w:r>
      <w:r w:rsidR="006301B2">
        <w:rPr>
          <w:sz w:val="24"/>
          <w:szCs w:val="24"/>
        </w:rPr>
        <w:t xml:space="preserve"> to relax the necessary assumptions</w:t>
      </w:r>
      <w:r w:rsidR="00985C75">
        <w:rPr>
          <w:sz w:val="24"/>
          <w:szCs w:val="24"/>
        </w:rPr>
        <w:t xml:space="preserve">. The </w:t>
      </w:r>
      <w:r w:rsidR="009857CD">
        <w:rPr>
          <w:sz w:val="24"/>
          <w:szCs w:val="24"/>
        </w:rPr>
        <w:t>method</w:t>
      </w:r>
      <w:r w:rsidR="00985C75">
        <w:rPr>
          <w:sz w:val="24"/>
          <w:szCs w:val="24"/>
        </w:rPr>
        <w:t xml:space="preserve"> </w:t>
      </w:r>
      <w:r w:rsidR="009857CD">
        <w:rPr>
          <w:sz w:val="24"/>
          <w:szCs w:val="24"/>
        </w:rPr>
        <w:t>uses</w:t>
      </w:r>
      <w:r w:rsidR="00985C75">
        <w:rPr>
          <w:sz w:val="24"/>
          <w:szCs w:val="24"/>
        </w:rPr>
        <w:t xml:space="preserve"> the pre-treatment period to weight the observations in the control group </w:t>
      </w:r>
      <w:r w:rsidR="006301B2">
        <w:rPr>
          <w:sz w:val="24"/>
          <w:szCs w:val="24"/>
        </w:rPr>
        <w:t>such that they track the treated group</w:t>
      </w:r>
      <w:r w:rsidR="00985C75">
        <w:rPr>
          <w:sz w:val="24"/>
          <w:szCs w:val="24"/>
        </w:rPr>
        <w:t>. In this sense you are making a synthetic counterfactual</w:t>
      </w:r>
      <w:r w:rsidR="006301B2">
        <w:rPr>
          <w:sz w:val="24"/>
          <w:szCs w:val="24"/>
        </w:rPr>
        <w:t>,</w:t>
      </w:r>
      <w:r w:rsidR="00985C75">
        <w:rPr>
          <w:sz w:val="24"/>
          <w:szCs w:val="24"/>
        </w:rPr>
        <w:t xml:space="preserve"> </w:t>
      </w:r>
      <w:r w:rsidR="006301B2">
        <w:rPr>
          <w:sz w:val="24"/>
          <w:szCs w:val="24"/>
        </w:rPr>
        <w:t>a</w:t>
      </w:r>
      <w:r w:rsidR="00985C75">
        <w:rPr>
          <w:sz w:val="24"/>
          <w:szCs w:val="24"/>
        </w:rPr>
        <w:t xml:space="preserve"> composite </w:t>
      </w:r>
      <w:r w:rsidR="00A35D00">
        <w:rPr>
          <w:sz w:val="24"/>
          <w:szCs w:val="24"/>
        </w:rPr>
        <w:t>state/territory</w:t>
      </w:r>
      <w:r w:rsidR="00985C75">
        <w:rPr>
          <w:sz w:val="24"/>
          <w:szCs w:val="24"/>
        </w:rPr>
        <w:t xml:space="preserve"> that tracks identically along with the treatment in the pre-period. Since this new </w:t>
      </w:r>
      <w:r w:rsidR="009857CD">
        <w:rPr>
          <w:sz w:val="24"/>
          <w:szCs w:val="24"/>
        </w:rPr>
        <w:t>“control”</w:t>
      </w:r>
      <w:r w:rsidR="00985C75">
        <w:rPr>
          <w:sz w:val="24"/>
          <w:szCs w:val="24"/>
        </w:rPr>
        <w:t xml:space="preserve"> is made of weighted versions of untreated </w:t>
      </w:r>
      <w:r w:rsidR="00A35D00">
        <w:rPr>
          <w:sz w:val="24"/>
          <w:szCs w:val="24"/>
        </w:rPr>
        <w:lastRenderedPageBreak/>
        <w:t>states/territories</w:t>
      </w:r>
      <w:r w:rsidR="00985C75">
        <w:rPr>
          <w:sz w:val="24"/>
          <w:szCs w:val="24"/>
        </w:rPr>
        <w:t xml:space="preserve"> </w:t>
      </w:r>
      <w:r w:rsidR="006301B2">
        <w:rPr>
          <w:sz w:val="24"/>
          <w:szCs w:val="24"/>
        </w:rPr>
        <w:t xml:space="preserve">it should continue to </w:t>
      </w:r>
      <w:r w:rsidR="009857CD">
        <w:rPr>
          <w:sz w:val="24"/>
          <w:szCs w:val="24"/>
        </w:rPr>
        <w:t>follow identically</w:t>
      </w:r>
      <w:r w:rsidR="006301B2">
        <w:rPr>
          <w:sz w:val="24"/>
          <w:szCs w:val="24"/>
        </w:rPr>
        <w:t xml:space="preserve"> </w:t>
      </w:r>
      <w:r w:rsidR="009857CD">
        <w:rPr>
          <w:sz w:val="24"/>
          <w:szCs w:val="24"/>
        </w:rPr>
        <w:t xml:space="preserve">even </w:t>
      </w:r>
      <w:r w:rsidR="006301B2">
        <w:rPr>
          <w:sz w:val="24"/>
          <w:szCs w:val="24"/>
        </w:rPr>
        <w:t xml:space="preserve">in the post period, except for the effect </w:t>
      </w:r>
      <w:r w:rsidR="009857CD">
        <w:rPr>
          <w:sz w:val="24"/>
          <w:szCs w:val="24"/>
        </w:rPr>
        <w:t>of the</w:t>
      </w:r>
      <w:r w:rsidR="006301B2">
        <w:rPr>
          <w:sz w:val="24"/>
          <w:szCs w:val="24"/>
        </w:rPr>
        <w:t xml:space="preserve"> treatment</w:t>
      </w:r>
      <w:r w:rsidR="009857CD">
        <w:rPr>
          <w:sz w:val="24"/>
          <w:szCs w:val="24"/>
        </w:rPr>
        <w:t xml:space="preserve">. </w:t>
      </w:r>
      <w:r w:rsidR="00414E9A">
        <w:rPr>
          <w:sz w:val="24"/>
          <w:szCs w:val="24"/>
        </w:rPr>
        <w:t>Therefore, if</w:t>
      </w:r>
      <w:r w:rsidR="009857CD">
        <w:rPr>
          <w:sz w:val="24"/>
          <w:szCs w:val="24"/>
        </w:rPr>
        <w:t xml:space="preserve"> the assumptions discussed next are met, the </w:t>
      </w:r>
      <w:r w:rsidR="00985C75">
        <w:rPr>
          <w:sz w:val="24"/>
          <w:szCs w:val="24"/>
        </w:rPr>
        <w:t>difference</w:t>
      </w:r>
      <w:r w:rsidR="00414E9A">
        <w:rPr>
          <w:sz w:val="24"/>
          <w:szCs w:val="24"/>
        </w:rPr>
        <w:t xml:space="preserve"> between the fake control and actual control</w:t>
      </w:r>
      <w:r w:rsidR="006301B2">
        <w:rPr>
          <w:sz w:val="24"/>
          <w:szCs w:val="24"/>
        </w:rPr>
        <w:t xml:space="preserve"> should be</w:t>
      </w:r>
      <w:r w:rsidR="00985C75">
        <w:rPr>
          <w:sz w:val="24"/>
          <w:szCs w:val="24"/>
        </w:rPr>
        <w:t xml:space="preserve"> the causal estimate. </w:t>
      </w:r>
    </w:p>
    <w:p w14:paraId="346D8866" w14:textId="21B99C2D" w:rsidR="00985C75" w:rsidRDefault="00985C75" w:rsidP="004110BC">
      <w:pPr>
        <w:jc w:val="both"/>
        <w:rPr>
          <w:sz w:val="24"/>
          <w:szCs w:val="24"/>
        </w:rPr>
      </w:pPr>
      <w:r>
        <w:rPr>
          <w:sz w:val="24"/>
          <w:szCs w:val="24"/>
        </w:rPr>
        <w:tab/>
        <w:t xml:space="preserve">For </w:t>
      </w:r>
      <w:r w:rsidR="009857CD">
        <w:rPr>
          <w:sz w:val="24"/>
          <w:szCs w:val="24"/>
        </w:rPr>
        <w:t xml:space="preserve">synthetic control </w:t>
      </w:r>
      <w:r>
        <w:rPr>
          <w:sz w:val="24"/>
          <w:szCs w:val="24"/>
        </w:rPr>
        <w:t>to work there is one major assumption made about the data</w:t>
      </w:r>
      <w:r w:rsidR="009857CD">
        <w:rPr>
          <w:sz w:val="24"/>
          <w:szCs w:val="24"/>
        </w:rPr>
        <w:t xml:space="preserve">, at the time of treatment the only affect that happens to the treated unit and not the control is the treatment. </w:t>
      </w:r>
      <w:r>
        <w:rPr>
          <w:sz w:val="24"/>
          <w:szCs w:val="24"/>
        </w:rPr>
        <w:t xml:space="preserve">For this work I am assuming that nothing happens to a </w:t>
      </w:r>
      <w:r w:rsidR="00A35D00">
        <w:rPr>
          <w:sz w:val="24"/>
          <w:szCs w:val="24"/>
        </w:rPr>
        <w:t>state/territory</w:t>
      </w:r>
      <w:r>
        <w:rPr>
          <w:sz w:val="24"/>
          <w:szCs w:val="24"/>
        </w:rPr>
        <w:t xml:space="preserve"> legalizing marijuana that does not also happen to some of the untreated </w:t>
      </w:r>
      <w:r w:rsidR="00A35D00">
        <w:rPr>
          <w:sz w:val="24"/>
          <w:szCs w:val="24"/>
        </w:rPr>
        <w:t>states/territories</w:t>
      </w:r>
      <w:r>
        <w:rPr>
          <w:sz w:val="24"/>
          <w:szCs w:val="24"/>
        </w:rPr>
        <w:t xml:space="preserve"> when </w:t>
      </w:r>
      <w:r w:rsidR="009857CD">
        <w:rPr>
          <w:sz w:val="24"/>
          <w:szCs w:val="24"/>
        </w:rPr>
        <w:t>the</w:t>
      </w:r>
      <w:r>
        <w:rPr>
          <w:sz w:val="24"/>
          <w:szCs w:val="24"/>
        </w:rPr>
        <w:t xml:space="preserve"> law changes. Since cannabis law </w:t>
      </w:r>
      <w:r w:rsidR="00C934D8">
        <w:rPr>
          <w:sz w:val="24"/>
          <w:szCs w:val="24"/>
        </w:rPr>
        <w:t>is not packaged with rehab laws or other influences</w:t>
      </w:r>
      <w:r w:rsidR="006301B2">
        <w:rPr>
          <w:sz w:val="24"/>
          <w:szCs w:val="24"/>
        </w:rPr>
        <w:t>,</w:t>
      </w:r>
      <w:r w:rsidR="00C934D8">
        <w:rPr>
          <w:sz w:val="24"/>
          <w:szCs w:val="24"/>
        </w:rPr>
        <w:t xml:space="preserve"> this assumption should be safe to make. Additionally, marijuana laws were </w:t>
      </w:r>
      <w:r w:rsidR="006301B2">
        <w:rPr>
          <w:sz w:val="24"/>
          <w:szCs w:val="24"/>
        </w:rPr>
        <w:t>implemented</w:t>
      </w:r>
      <w:r w:rsidR="00C934D8">
        <w:rPr>
          <w:sz w:val="24"/>
          <w:szCs w:val="24"/>
        </w:rPr>
        <w:t xml:space="preserve"> at different times</w:t>
      </w:r>
      <w:r w:rsidR="007A09F5">
        <w:rPr>
          <w:sz w:val="24"/>
          <w:szCs w:val="24"/>
        </w:rPr>
        <w:t>.</w:t>
      </w:r>
      <w:r w:rsidR="006301B2">
        <w:rPr>
          <w:sz w:val="24"/>
          <w:szCs w:val="24"/>
        </w:rPr>
        <w:t xml:space="preserve"> </w:t>
      </w:r>
      <w:r w:rsidR="007A09F5">
        <w:rPr>
          <w:sz w:val="24"/>
          <w:szCs w:val="24"/>
        </w:rPr>
        <w:t>S</w:t>
      </w:r>
      <w:r w:rsidR="006301B2">
        <w:rPr>
          <w:sz w:val="24"/>
          <w:szCs w:val="24"/>
        </w:rPr>
        <w:t>o</w:t>
      </w:r>
      <w:r w:rsidR="007A09F5">
        <w:rPr>
          <w:sz w:val="24"/>
          <w:szCs w:val="24"/>
        </w:rPr>
        <w:t>,</w:t>
      </w:r>
      <w:r w:rsidR="006301B2">
        <w:rPr>
          <w:sz w:val="24"/>
          <w:szCs w:val="24"/>
        </w:rPr>
        <w:t xml:space="preserve"> </w:t>
      </w:r>
      <w:r w:rsidR="00C934D8">
        <w:rPr>
          <w:sz w:val="24"/>
          <w:szCs w:val="24"/>
        </w:rPr>
        <w:t xml:space="preserve">even if a </w:t>
      </w:r>
      <w:r w:rsidR="00A35D00">
        <w:rPr>
          <w:sz w:val="24"/>
          <w:szCs w:val="24"/>
        </w:rPr>
        <w:t>state/territory</w:t>
      </w:r>
      <w:r w:rsidR="00C934D8">
        <w:rPr>
          <w:sz w:val="24"/>
          <w:szCs w:val="24"/>
        </w:rPr>
        <w:t xml:space="preserve">’s marijuana law passed </w:t>
      </w:r>
      <w:r w:rsidR="007A09F5">
        <w:rPr>
          <w:sz w:val="24"/>
          <w:szCs w:val="24"/>
        </w:rPr>
        <w:t>simultaneously with</w:t>
      </w:r>
      <w:r w:rsidR="006301B2">
        <w:rPr>
          <w:sz w:val="24"/>
          <w:szCs w:val="24"/>
        </w:rPr>
        <w:t xml:space="preserve"> sweeping rehab changes</w:t>
      </w:r>
      <w:r w:rsidR="00C934D8">
        <w:rPr>
          <w:sz w:val="24"/>
          <w:szCs w:val="24"/>
        </w:rPr>
        <w:t xml:space="preserve">, this would not likely be the case for </w:t>
      </w:r>
      <w:r w:rsidR="00414E9A">
        <w:rPr>
          <w:sz w:val="24"/>
          <w:szCs w:val="24"/>
        </w:rPr>
        <w:t xml:space="preserve">all of the </w:t>
      </w:r>
      <w:r w:rsidR="007A09F5">
        <w:rPr>
          <w:sz w:val="24"/>
          <w:szCs w:val="24"/>
        </w:rPr>
        <w:t>treated units</w:t>
      </w:r>
      <w:r w:rsidR="006301B2">
        <w:rPr>
          <w:sz w:val="24"/>
          <w:szCs w:val="24"/>
        </w:rPr>
        <w:t>.</w:t>
      </w:r>
      <w:r w:rsidR="00C934D8">
        <w:rPr>
          <w:sz w:val="24"/>
          <w:szCs w:val="24"/>
        </w:rPr>
        <w:t xml:space="preserve"> </w:t>
      </w:r>
      <w:r w:rsidR="006301B2">
        <w:rPr>
          <w:sz w:val="24"/>
          <w:szCs w:val="24"/>
        </w:rPr>
        <w:t>So synthetic control should</w:t>
      </w:r>
      <w:r w:rsidR="007A09F5">
        <w:rPr>
          <w:sz w:val="24"/>
          <w:szCs w:val="24"/>
        </w:rPr>
        <w:t xml:space="preserve"> have a solid</w:t>
      </w:r>
      <w:r w:rsidR="006301B2">
        <w:rPr>
          <w:sz w:val="24"/>
          <w:szCs w:val="24"/>
        </w:rPr>
        <w:t xml:space="preserve"> </w:t>
      </w:r>
      <w:r w:rsidR="007A09F5">
        <w:rPr>
          <w:sz w:val="24"/>
          <w:szCs w:val="24"/>
        </w:rPr>
        <w:t xml:space="preserve">foundation </w:t>
      </w:r>
      <w:r w:rsidR="006301B2">
        <w:rPr>
          <w:sz w:val="24"/>
          <w:szCs w:val="24"/>
        </w:rPr>
        <w:t xml:space="preserve">to get an estimate. Now, </w:t>
      </w:r>
      <w:r w:rsidR="00C934D8">
        <w:rPr>
          <w:sz w:val="24"/>
          <w:szCs w:val="24"/>
        </w:rPr>
        <w:t>it</w:t>
      </w:r>
      <w:r w:rsidR="006301B2">
        <w:rPr>
          <w:sz w:val="24"/>
          <w:szCs w:val="24"/>
        </w:rPr>
        <w:t>’</w:t>
      </w:r>
      <w:r w:rsidR="00C934D8">
        <w:rPr>
          <w:sz w:val="24"/>
          <w:szCs w:val="24"/>
        </w:rPr>
        <w:t xml:space="preserve">s time to look at the other method employed in this paper, </w:t>
      </w:r>
      <w:r w:rsidR="006301B2">
        <w:rPr>
          <w:sz w:val="24"/>
          <w:szCs w:val="24"/>
        </w:rPr>
        <w:t>SCQE</w:t>
      </w:r>
      <w:r w:rsidR="00C934D8">
        <w:rPr>
          <w:sz w:val="24"/>
          <w:szCs w:val="24"/>
        </w:rPr>
        <w:t xml:space="preserve">. </w:t>
      </w:r>
    </w:p>
    <w:p w14:paraId="78565AAC" w14:textId="6832C8EB" w:rsidR="00AD39FF" w:rsidRDefault="00C934D8" w:rsidP="00BC0923">
      <w:pPr>
        <w:jc w:val="both"/>
        <w:rPr>
          <w:sz w:val="24"/>
          <w:szCs w:val="24"/>
        </w:rPr>
      </w:pPr>
      <w:r>
        <w:rPr>
          <w:sz w:val="24"/>
          <w:szCs w:val="24"/>
        </w:rPr>
        <w:tab/>
        <w:t>Synthetic-</w:t>
      </w:r>
      <w:r w:rsidR="00DF2157">
        <w:rPr>
          <w:sz w:val="24"/>
          <w:szCs w:val="24"/>
        </w:rPr>
        <w:t>c</w:t>
      </w:r>
      <w:r>
        <w:rPr>
          <w:sz w:val="24"/>
          <w:szCs w:val="24"/>
        </w:rPr>
        <w:t xml:space="preserve">ontrolled </w:t>
      </w:r>
      <w:r w:rsidR="00DF2157">
        <w:rPr>
          <w:sz w:val="24"/>
          <w:szCs w:val="24"/>
        </w:rPr>
        <w:t>q</w:t>
      </w:r>
      <w:r>
        <w:rPr>
          <w:sz w:val="24"/>
          <w:szCs w:val="24"/>
        </w:rPr>
        <w:t>uasi-</w:t>
      </w:r>
      <w:r w:rsidR="00DF2157">
        <w:rPr>
          <w:sz w:val="24"/>
          <w:szCs w:val="24"/>
        </w:rPr>
        <w:t>e</w:t>
      </w:r>
      <w:r>
        <w:rPr>
          <w:sz w:val="24"/>
          <w:szCs w:val="24"/>
        </w:rPr>
        <w:t>xperiment</w:t>
      </w:r>
      <w:r w:rsidR="00DF2157">
        <w:rPr>
          <w:rStyle w:val="EndnoteReference"/>
          <w:sz w:val="24"/>
          <w:szCs w:val="24"/>
        </w:rPr>
        <w:endnoteReference w:id="7"/>
      </w:r>
      <w:r>
        <w:rPr>
          <w:sz w:val="24"/>
          <w:szCs w:val="24"/>
        </w:rPr>
        <w:t xml:space="preserve"> is </w:t>
      </w:r>
      <w:r w:rsidR="00AD39FF">
        <w:rPr>
          <w:sz w:val="24"/>
          <w:szCs w:val="24"/>
        </w:rPr>
        <w:t>a</w:t>
      </w:r>
      <w:r>
        <w:rPr>
          <w:sz w:val="24"/>
          <w:szCs w:val="24"/>
        </w:rPr>
        <w:t xml:space="preserve"> method that on the surface </w:t>
      </w:r>
      <w:r w:rsidR="00AD39FF">
        <w:rPr>
          <w:sz w:val="24"/>
          <w:szCs w:val="24"/>
        </w:rPr>
        <w:t xml:space="preserve">is using an instrumental-variable model with time as the instrument, </w:t>
      </w:r>
      <w:r w:rsidR="00C208A9">
        <w:rPr>
          <w:sz w:val="24"/>
          <w:szCs w:val="24"/>
        </w:rPr>
        <w:t xml:space="preserve">but mechanically </w:t>
      </w:r>
      <w:r w:rsidR="006301B2">
        <w:rPr>
          <w:sz w:val="24"/>
          <w:szCs w:val="24"/>
        </w:rPr>
        <w:t xml:space="preserve">it </w:t>
      </w:r>
      <w:r w:rsidR="00C208A9">
        <w:rPr>
          <w:sz w:val="24"/>
          <w:szCs w:val="24"/>
        </w:rPr>
        <w:t xml:space="preserve">allows for a less strict set of assumptions. This </w:t>
      </w:r>
      <w:r w:rsidR="00A35D00">
        <w:rPr>
          <w:sz w:val="24"/>
          <w:szCs w:val="24"/>
        </w:rPr>
        <w:t>strategy</w:t>
      </w:r>
      <w:r w:rsidR="00C208A9">
        <w:rPr>
          <w:sz w:val="24"/>
          <w:szCs w:val="24"/>
        </w:rPr>
        <w:t xml:space="preserve"> gets the ATT by comparing </w:t>
      </w:r>
      <w:r w:rsidR="00286087">
        <w:rPr>
          <w:sz w:val="24"/>
          <w:szCs w:val="24"/>
        </w:rPr>
        <w:t>expected value in the pre-period</w:t>
      </w:r>
      <w:r w:rsidR="00481763">
        <w:rPr>
          <w:sz w:val="24"/>
          <w:szCs w:val="24"/>
        </w:rPr>
        <w:t>,</w:t>
      </w:r>
      <w:r w:rsidR="00C208A9">
        <w:rPr>
          <w:sz w:val="24"/>
          <w:szCs w:val="24"/>
        </w:rPr>
        <w:t xml:space="preserve"> to the</w:t>
      </w:r>
      <w:r w:rsidR="006301B2">
        <w:rPr>
          <w:sz w:val="24"/>
          <w:szCs w:val="24"/>
        </w:rPr>
        <w:t xml:space="preserve"> difference in the</w:t>
      </w:r>
      <w:r w:rsidR="00C208A9">
        <w:rPr>
          <w:sz w:val="24"/>
          <w:szCs w:val="24"/>
        </w:rPr>
        <w:t xml:space="preserve"> post-</w:t>
      </w:r>
      <w:r w:rsidR="00481763">
        <w:rPr>
          <w:sz w:val="24"/>
          <w:szCs w:val="24"/>
        </w:rPr>
        <w:t>legalization</w:t>
      </w:r>
      <w:r w:rsidR="00C208A9">
        <w:rPr>
          <w:sz w:val="24"/>
          <w:szCs w:val="24"/>
        </w:rPr>
        <w:t xml:space="preserve"> control and </w:t>
      </w:r>
      <w:r w:rsidR="00481763">
        <w:rPr>
          <w:sz w:val="24"/>
          <w:szCs w:val="24"/>
        </w:rPr>
        <w:t>treated group</w:t>
      </w:r>
      <w:r w:rsidR="00C208A9">
        <w:rPr>
          <w:sz w:val="24"/>
          <w:szCs w:val="24"/>
        </w:rPr>
        <w:t xml:space="preserve">. Although, unlike </w:t>
      </w:r>
      <w:r w:rsidR="00481763">
        <w:rPr>
          <w:sz w:val="24"/>
          <w:szCs w:val="24"/>
        </w:rPr>
        <w:t>IV</w:t>
      </w:r>
      <w:r w:rsidR="00C208A9">
        <w:rPr>
          <w:sz w:val="24"/>
          <w:szCs w:val="24"/>
        </w:rPr>
        <w:t xml:space="preserve"> the researcher looks at a range of potential </w:t>
      </w:r>
      <w:r w:rsidR="00481763">
        <w:rPr>
          <w:sz w:val="24"/>
          <w:szCs w:val="24"/>
        </w:rPr>
        <w:t>values</w:t>
      </w:r>
      <w:r w:rsidR="00C208A9">
        <w:rPr>
          <w:sz w:val="24"/>
          <w:szCs w:val="24"/>
        </w:rPr>
        <w:t xml:space="preserve"> </w:t>
      </w:r>
      <w:r w:rsidR="00481763">
        <w:rPr>
          <w:sz w:val="24"/>
          <w:szCs w:val="24"/>
        </w:rPr>
        <w:t>of</w:t>
      </w:r>
      <w:r w:rsidR="00C208A9">
        <w:rPr>
          <w:sz w:val="24"/>
          <w:szCs w:val="24"/>
        </w:rPr>
        <w:t xml:space="preserve"> the outcome, a delta,</w:t>
      </w:r>
      <w:r w:rsidR="00481763">
        <w:rPr>
          <w:sz w:val="24"/>
          <w:szCs w:val="24"/>
        </w:rPr>
        <w:t xml:space="preserve"> and then argues </w:t>
      </w:r>
      <w:r w:rsidR="00575928">
        <w:rPr>
          <w:sz w:val="24"/>
          <w:szCs w:val="24"/>
        </w:rPr>
        <w:t>whether</w:t>
      </w:r>
      <w:r w:rsidR="00481763">
        <w:rPr>
          <w:sz w:val="24"/>
          <w:szCs w:val="24"/>
        </w:rPr>
        <w:t xml:space="preserve"> the difference could have happened in the absence of treatment</w:t>
      </w:r>
      <w:r w:rsidR="00C208A9">
        <w:rPr>
          <w:sz w:val="24"/>
          <w:szCs w:val="24"/>
        </w:rPr>
        <w:t xml:space="preserve">. This means that instead of assuming I have controlled for all exogenous variation, I look at how much variation I would </w:t>
      </w:r>
      <w:r w:rsidR="00BC0923">
        <w:rPr>
          <w:sz w:val="24"/>
          <w:szCs w:val="24"/>
        </w:rPr>
        <w:t>need to have</w:t>
      </w:r>
      <w:r w:rsidR="00C208A9">
        <w:rPr>
          <w:sz w:val="24"/>
          <w:szCs w:val="24"/>
        </w:rPr>
        <w:t xml:space="preserve"> missed to change the result. </w:t>
      </w:r>
      <w:r w:rsidR="00BC0923">
        <w:rPr>
          <w:sz w:val="24"/>
          <w:szCs w:val="24"/>
        </w:rPr>
        <w:t xml:space="preserve">Therefore, the researcher must argue that there is not enough bias present to alter their findings. Usually, the missing bias is signed and reasoned by </w:t>
      </w:r>
      <w:r w:rsidR="00481763">
        <w:rPr>
          <w:sz w:val="24"/>
          <w:szCs w:val="24"/>
        </w:rPr>
        <w:t xml:space="preserve">an expert with </w:t>
      </w:r>
      <w:r w:rsidR="00BC0923">
        <w:rPr>
          <w:sz w:val="24"/>
          <w:szCs w:val="24"/>
        </w:rPr>
        <w:t xml:space="preserve">knowledge in the field of study. In this paper’s case I did not have access to such an expert, as such I will use available knowledge and logical reasoning to justify </w:t>
      </w:r>
      <w:r w:rsidR="00481763">
        <w:rPr>
          <w:sz w:val="24"/>
          <w:szCs w:val="24"/>
        </w:rPr>
        <w:t>my results</w:t>
      </w:r>
      <w:r w:rsidR="00BC0923">
        <w:rPr>
          <w:sz w:val="24"/>
          <w:szCs w:val="24"/>
        </w:rPr>
        <w:t xml:space="preserve">. </w:t>
      </w:r>
      <w:r w:rsidR="00AD39FF">
        <w:rPr>
          <w:sz w:val="24"/>
          <w:szCs w:val="24"/>
        </w:rPr>
        <w:t xml:space="preserve">Beyond these justifications SCQE does have another requirement, </w:t>
      </w:r>
      <w:r w:rsidR="00481763">
        <w:rPr>
          <w:sz w:val="24"/>
          <w:szCs w:val="24"/>
        </w:rPr>
        <w:t xml:space="preserve">there must be a statistically significant number of units that received treatment </w:t>
      </w:r>
      <w:r w:rsidR="00A8779B">
        <w:rPr>
          <w:sz w:val="24"/>
          <w:szCs w:val="24"/>
        </w:rPr>
        <w:t>to</w:t>
      </w:r>
      <w:r w:rsidR="00481763">
        <w:rPr>
          <w:sz w:val="24"/>
          <w:szCs w:val="24"/>
        </w:rPr>
        <w:t xml:space="preserve"> </w:t>
      </w:r>
      <w:r w:rsidR="00AD39FF">
        <w:rPr>
          <w:sz w:val="24"/>
          <w:szCs w:val="24"/>
        </w:rPr>
        <w:t>avoid a weak instrument problem.</w:t>
      </w:r>
    </w:p>
    <w:p w14:paraId="2908C798" w14:textId="303E63FC" w:rsidR="00D27855" w:rsidRPr="00BC0923" w:rsidRDefault="00AD39FF" w:rsidP="00AD39FF">
      <w:pPr>
        <w:ind w:firstLine="720"/>
        <w:jc w:val="both"/>
        <w:rPr>
          <w:sz w:val="24"/>
          <w:szCs w:val="24"/>
        </w:rPr>
      </w:pPr>
      <w:r>
        <w:rPr>
          <w:sz w:val="24"/>
          <w:szCs w:val="24"/>
        </w:rPr>
        <w:t>The proportion of states that have legalized marijuana compared to those that haven’t is low,</w:t>
      </w:r>
      <w:r w:rsidR="008D7F76">
        <w:rPr>
          <w:sz w:val="24"/>
          <w:szCs w:val="24"/>
        </w:rPr>
        <w:t xml:space="preserve"> to account for this I have adjusted the way the model will run on my data</w:t>
      </w:r>
      <w:r>
        <w:rPr>
          <w:sz w:val="24"/>
          <w:szCs w:val="24"/>
        </w:rPr>
        <w:t xml:space="preserve">. Instead of looking at each state individually, or in cohorts of the states that adopted in a year, I perform the analysis on all </w:t>
      </w:r>
      <w:r w:rsidR="00481763">
        <w:rPr>
          <w:sz w:val="24"/>
          <w:szCs w:val="24"/>
        </w:rPr>
        <w:t>treated states at the same time</w:t>
      </w:r>
      <w:r>
        <w:rPr>
          <w:sz w:val="24"/>
          <w:szCs w:val="24"/>
        </w:rPr>
        <w:t xml:space="preserve">. This means that I will be comparing the year 2011, before any legalized, to 2017 a year after all the </w:t>
      </w:r>
      <w:r w:rsidR="00481763">
        <w:rPr>
          <w:sz w:val="24"/>
          <w:szCs w:val="24"/>
        </w:rPr>
        <w:t xml:space="preserve">treated </w:t>
      </w:r>
      <w:r>
        <w:rPr>
          <w:sz w:val="24"/>
          <w:szCs w:val="24"/>
        </w:rPr>
        <w:t>states in the data have legalized. This makes the standard errors go down, and the estimates be less influenced by small changes in delta</w:t>
      </w:r>
      <w:r w:rsidR="008D7F76">
        <w:rPr>
          <w:sz w:val="24"/>
          <w:szCs w:val="24"/>
        </w:rPr>
        <w:t>. Although,</w:t>
      </w:r>
      <w:r>
        <w:rPr>
          <w:sz w:val="24"/>
          <w:szCs w:val="24"/>
        </w:rPr>
        <w:t xml:space="preserve"> the larger time gap between the periods</w:t>
      </w:r>
      <w:r w:rsidR="008D7F76">
        <w:rPr>
          <w:sz w:val="24"/>
          <w:szCs w:val="24"/>
        </w:rPr>
        <w:t>,</w:t>
      </w:r>
      <w:r>
        <w:rPr>
          <w:sz w:val="24"/>
          <w:szCs w:val="24"/>
        </w:rPr>
        <w:t xml:space="preserve"> and some states hav</w:t>
      </w:r>
      <w:r w:rsidR="008D7F76">
        <w:rPr>
          <w:sz w:val="24"/>
          <w:szCs w:val="24"/>
        </w:rPr>
        <w:t>ing</w:t>
      </w:r>
      <w:r>
        <w:rPr>
          <w:sz w:val="24"/>
          <w:szCs w:val="24"/>
        </w:rPr>
        <w:t xml:space="preserve"> legalized</w:t>
      </w:r>
      <w:r w:rsidR="00481763">
        <w:rPr>
          <w:sz w:val="24"/>
          <w:szCs w:val="24"/>
        </w:rPr>
        <w:t xml:space="preserve"> in</w:t>
      </w:r>
      <w:r w:rsidR="008D7F76">
        <w:rPr>
          <w:sz w:val="24"/>
          <w:szCs w:val="24"/>
        </w:rPr>
        <w:t xml:space="preserve"> years prior,</w:t>
      </w:r>
      <w:r>
        <w:rPr>
          <w:sz w:val="24"/>
          <w:szCs w:val="24"/>
        </w:rPr>
        <w:t xml:space="preserve"> makes the justifications more challenging. Nonetheless </w:t>
      </w:r>
      <w:r w:rsidR="008D7F76">
        <w:rPr>
          <w:sz w:val="24"/>
          <w:szCs w:val="24"/>
        </w:rPr>
        <w:t>this strategy</w:t>
      </w:r>
      <w:r>
        <w:rPr>
          <w:sz w:val="24"/>
          <w:szCs w:val="24"/>
        </w:rPr>
        <w:t xml:space="preserve"> is essential to avoid </w:t>
      </w:r>
      <w:r w:rsidR="008D7F76">
        <w:rPr>
          <w:sz w:val="24"/>
          <w:szCs w:val="24"/>
        </w:rPr>
        <w:t>a</w:t>
      </w:r>
      <w:r>
        <w:rPr>
          <w:sz w:val="24"/>
          <w:szCs w:val="24"/>
        </w:rPr>
        <w:t xml:space="preserve"> weak instrument issue.  </w:t>
      </w:r>
      <w:r w:rsidR="008D7F76">
        <w:rPr>
          <w:sz w:val="24"/>
          <w:szCs w:val="24"/>
        </w:rPr>
        <w:t xml:space="preserve">With the methodology for both </w:t>
      </w:r>
      <w:r w:rsidR="002E5CCE">
        <w:rPr>
          <w:sz w:val="24"/>
          <w:szCs w:val="24"/>
        </w:rPr>
        <w:t xml:space="preserve">Synthetic Control and SCQE </w:t>
      </w:r>
      <w:r w:rsidR="008D7F76">
        <w:rPr>
          <w:sz w:val="24"/>
          <w:szCs w:val="24"/>
        </w:rPr>
        <w:t xml:space="preserve">covered, </w:t>
      </w:r>
      <w:r w:rsidR="002E5CCE">
        <w:rPr>
          <w:sz w:val="24"/>
          <w:szCs w:val="24"/>
        </w:rPr>
        <w:t xml:space="preserve">the next step is to employ and analyze the models. </w:t>
      </w:r>
      <w:r w:rsidR="00D6558B">
        <w:rPr>
          <w:sz w:val="24"/>
          <w:szCs w:val="24"/>
        </w:rPr>
        <w:t xml:space="preserve"> </w:t>
      </w:r>
    </w:p>
    <w:p w14:paraId="7C4BF97D" w14:textId="77777777" w:rsidR="008D7F76" w:rsidRDefault="008D7F76">
      <w:pPr>
        <w:rPr>
          <w:sz w:val="36"/>
          <w:szCs w:val="36"/>
        </w:rPr>
      </w:pPr>
      <w:r>
        <w:rPr>
          <w:sz w:val="36"/>
          <w:szCs w:val="36"/>
        </w:rPr>
        <w:br w:type="page"/>
      </w:r>
    </w:p>
    <w:p w14:paraId="4655E245" w14:textId="488047B6" w:rsidR="00727163" w:rsidRPr="001A0C4C" w:rsidRDefault="00727163" w:rsidP="00234906">
      <w:pPr>
        <w:jc w:val="center"/>
        <w:rPr>
          <w:sz w:val="36"/>
          <w:szCs w:val="36"/>
        </w:rPr>
      </w:pPr>
      <w:r w:rsidRPr="001A0C4C">
        <w:rPr>
          <w:sz w:val="36"/>
          <w:szCs w:val="36"/>
        </w:rPr>
        <w:lastRenderedPageBreak/>
        <w:t>Results</w:t>
      </w:r>
    </w:p>
    <w:p w14:paraId="178715A7" w14:textId="78F582C8" w:rsidR="00143F10" w:rsidRDefault="00AF58DC" w:rsidP="004110BC">
      <w:pPr>
        <w:jc w:val="both"/>
        <w:rPr>
          <w:noProof/>
        </w:rPr>
      </w:pPr>
      <w:r w:rsidRPr="00E00299">
        <w:rPr>
          <w:noProof/>
          <w:sz w:val="36"/>
          <w:szCs w:val="36"/>
        </w:rPr>
        <w:drawing>
          <wp:anchor distT="0" distB="0" distL="114300" distR="114300" simplePos="0" relativeHeight="251665408" behindDoc="0" locked="0" layoutInCell="1" allowOverlap="1" wp14:anchorId="49FB15E8" wp14:editId="0FF52A6F">
            <wp:simplePos x="0" y="0"/>
            <wp:positionH relativeFrom="margin">
              <wp:posOffset>3333115</wp:posOffset>
            </wp:positionH>
            <wp:positionV relativeFrom="paragraph">
              <wp:posOffset>911354</wp:posOffset>
            </wp:positionV>
            <wp:extent cx="3078480" cy="2581275"/>
            <wp:effectExtent l="0" t="0" r="7620" b="9525"/>
            <wp:wrapTopAndBottom/>
            <wp:docPr id="18" name="Picture 17" descr="Chart, line chart&#10;&#10;Description automatically generated">
              <a:extLst xmlns:a="http://schemas.openxmlformats.org/drawingml/2006/main">
                <a:ext uri="{FF2B5EF4-FFF2-40B4-BE49-F238E27FC236}">
                  <a16:creationId xmlns:a16="http://schemas.microsoft.com/office/drawing/2014/main" id="{0A29AA31-653F-425E-A6AE-D3F2A148194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7" descr="Chart, line chart&#10;&#10;Description automatically generated">
                      <a:extLst>
                        <a:ext uri="{FF2B5EF4-FFF2-40B4-BE49-F238E27FC236}">
                          <a16:creationId xmlns:a16="http://schemas.microsoft.com/office/drawing/2014/main" id="{0A29AA31-653F-425E-A6AE-D3F2A1481948}"/>
                        </a:ext>
                      </a:extLst>
                    </pic:cNvPr>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3078480" cy="2581275"/>
                    </a:xfrm>
                    <a:prstGeom prst="rect">
                      <a:avLst/>
                    </a:prstGeom>
                  </pic:spPr>
                </pic:pic>
              </a:graphicData>
            </a:graphic>
            <wp14:sizeRelH relativeFrom="margin">
              <wp14:pctWidth>0</wp14:pctWidth>
            </wp14:sizeRelH>
            <wp14:sizeRelV relativeFrom="margin">
              <wp14:pctHeight>0</wp14:pctHeight>
            </wp14:sizeRelV>
          </wp:anchor>
        </w:drawing>
      </w:r>
      <w:r w:rsidRPr="00E00299">
        <w:rPr>
          <w:noProof/>
          <w:sz w:val="36"/>
          <w:szCs w:val="36"/>
        </w:rPr>
        <w:drawing>
          <wp:anchor distT="0" distB="0" distL="114300" distR="114300" simplePos="0" relativeHeight="251664384" behindDoc="0" locked="0" layoutInCell="1" allowOverlap="1" wp14:anchorId="1ECAB425" wp14:editId="35234782">
            <wp:simplePos x="0" y="0"/>
            <wp:positionH relativeFrom="margin">
              <wp:posOffset>-273431</wp:posOffset>
            </wp:positionH>
            <wp:positionV relativeFrom="paragraph">
              <wp:posOffset>843392</wp:posOffset>
            </wp:positionV>
            <wp:extent cx="3589020" cy="3036570"/>
            <wp:effectExtent l="0" t="0" r="0" b="0"/>
            <wp:wrapTopAndBottom/>
            <wp:docPr id="16" name="Picture 15" descr="Chart, line chart&#10;&#10;Description automatically generated">
              <a:extLst xmlns:a="http://schemas.openxmlformats.org/drawingml/2006/main">
                <a:ext uri="{FF2B5EF4-FFF2-40B4-BE49-F238E27FC236}">
                  <a16:creationId xmlns:a16="http://schemas.microsoft.com/office/drawing/2014/main" id="{604CF10E-DC84-4545-B716-702B652942F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5" descr="Chart, line chart&#10;&#10;Description automatically generated">
                      <a:extLst>
                        <a:ext uri="{FF2B5EF4-FFF2-40B4-BE49-F238E27FC236}">
                          <a16:creationId xmlns:a16="http://schemas.microsoft.com/office/drawing/2014/main" id="{604CF10E-DC84-4545-B716-702B652942F5}"/>
                        </a:ext>
                      </a:extLst>
                    </pic:cNvPr>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3589020" cy="3036570"/>
                    </a:xfrm>
                    <a:prstGeom prst="rect">
                      <a:avLst/>
                    </a:prstGeom>
                  </pic:spPr>
                </pic:pic>
              </a:graphicData>
            </a:graphic>
            <wp14:sizeRelH relativeFrom="margin">
              <wp14:pctWidth>0</wp14:pctWidth>
            </wp14:sizeRelH>
            <wp14:sizeRelV relativeFrom="margin">
              <wp14:pctHeight>0</wp14:pctHeight>
            </wp14:sizeRelV>
          </wp:anchor>
        </w:drawing>
      </w:r>
      <w:r w:rsidR="00AF28E9">
        <w:rPr>
          <w:sz w:val="24"/>
          <w:szCs w:val="24"/>
        </w:rPr>
        <w:tab/>
      </w:r>
      <w:r w:rsidR="00CD1B9D">
        <w:rPr>
          <w:sz w:val="24"/>
          <w:szCs w:val="24"/>
        </w:rPr>
        <w:t xml:space="preserve">We will begin by evaluating the </w:t>
      </w:r>
      <w:r>
        <w:rPr>
          <w:sz w:val="24"/>
          <w:szCs w:val="24"/>
        </w:rPr>
        <w:t>s</w:t>
      </w:r>
      <w:r w:rsidR="00CD1B9D">
        <w:rPr>
          <w:sz w:val="24"/>
          <w:szCs w:val="24"/>
        </w:rPr>
        <w:t xml:space="preserve">ynthetic </w:t>
      </w:r>
      <w:r>
        <w:rPr>
          <w:sz w:val="24"/>
          <w:szCs w:val="24"/>
        </w:rPr>
        <w:t>c</w:t>
      </w:r>
      <w:r w:rsidR="00CD1B9D">
        <w:rPr>
          <w:sz w:val="24"/>
          <w:szCs w:val="24"/>
        </w:rPr>
        <w:t xml:space="preserve">ontrol. </w:t>
      </w:r>
      <w:r w:rsidR="00FF5ECE" w:rsidRPr="00FF5ECE">
        <w:rPr>
          <w:noProof/>
        </w:rPr>
        <w:t xml:space="preserve"> </w:t>
      </w:r>
      <w:r w:rsidR="00FF5ECE">
        <w:rPr>
          <w:noProof/>
        </w:rPr>
        <w:t>For this analysis I used the gsynth package</w:t>
      </w:r>
      <w:r w:rsidR="00D15E86">
        <w:rPr>
          <w:noProof/>
        </w:rPr>
        <w:t xml:space="preserve"> which allowed me to look at the data in two separate </w:t>
      </w:r>
      <w:r w:rsidR="00286087">
        <w:rPr>
          <w:noProof/>
        </w:rPr>
        <w:t>ways</w:t>
      </w:r>
      <w:r w:rsidR="00D15E86">
        <w:rPr>
          <w:noProof/>
        </w:rPr>
        <w:t>.</w:t>
      </w:r>
      <w:r>
        <w:rPr>
          <w:noProof/>
        </w:rPr>
        <w:t xml:space="preserve"> The first was done by forming all the treatments and controls into two composits and looking at the general effects around the years of treatment.</w:t>
      </w:r>
      <w:r w:rsidR="00D15E86">
        <w:rPr>
          <w:noProof/>
        </w:rPr>
        <w:t xml:space="preserve"> </w:t>
      </w:r>
    </w:p>
    <w:p w14:paraId="4294CE98" w14:textId="3A12EFDA" w:rsidR="004110BC" w:rsidRDefault="004110BC" w:rsidP="00727163">
      <w:pPr>
        <w:rPr>
          <w:sz w:val="24"/>
          <w:szCs w:val="24"/>
        </w:rPr>
      </w:pPr>
    </w:p>
    <w:p w14:paraId="192ECE55" w14:textId="5D5CEC7C" w:rsidR="00D15E86" w:rsidRDefault="00D15E86" w:rsidP="004110BC">
      <w:pPr>
        <w:ind w:firstLine="720"/>
        <w:jc w:val="both"/>
        <w:rPr>
          <w:sz w:val="24"/>
          <w:szCs w:val="24"/>
        </w:rPr>
      </w:pPr>
      <w:r>
        <w:rPr>
          <w:sz w:val="24"/>
          <w:szCs w:val="24"/>
        </w:rPr>
        <w:t xml:space="preserve">On the left graph the blue dashed line is the composite </w:t>
      </w:r>
      <w:r w:rsidR="00E00299">
        <w:rPr>
          <w:sz w:val="24"/>
          <w:szCs w:val="24"/>
        </w:rPr>
        <w:t>control,</w:t>
      </w:r>
      <w:r>
        <w:rPr>
          <w:sz w:val="24"/>
          <w:szCs w:val="24"/>
        </w:rPr>
        <w:t xml:space="preserve"> and the solid black line is the treat</w:t>
      </w:r>
      <w:r w:rsidR="00AF58DC">
        <w:rPr>
          <w:sz w:val="24"/>
          <w:szCs w:val="24"/>
        </w:rPr>
        <w:t>ed</w:t>
      </w:r>
      <w:r>
        <w:rPr>
          <w:sz w:val="24"/>
          <w:szCs w:val="24"/>
        </w:rPr>
        <w:t xml:space="preserve"> group. We can see that the two lines do not follow each other exactly</w:t>
      </w:r>
      <w:r w:rsidR="00286087">
        <w:rPr>
          <w:sz w:val="24"/>
          <w:szCs w:val="24"/>
        </w:rPr>
        <w:t>, but</w:t>
      </w:r>
      <w:r>
        <w:rPr>
          <w:sz w:val="24"/>
          <w:szCs w:val="24"/>
        </w:rPr>
        <w:t xml:space="preserve"> are close enough to </w:t>
      </w:r>
      <w:r w:rsidR="00AF58DC">
        <w:rPr>
          <w:sz w:val="24"/>
          <w:szCs w:val="24"/>
        </w:rPr>
        <w:t>notice any</w:t>
      </w:r>
      <w:r>
        <w:rPr>
          <w:sz w:val="24"/>
          <w:szCs w:val="24"/>
        </w:rPr>
        <w:t xml:space="preserve"> drastic trends, which are not present. The two lines do not diverge much at all in the treatment period. </w:t>
      </w:r>
      <w:r w:rsidR="00286087">
        <w:rPr>
          <w:sz w:val="24"/>
          <w:szCs w:val="24"/>
        </w:rPr>
        <w:t>There is a slight change years after treatment</w:t>
      </w:r>
      <w:r>
        <w:rPr>
          <w:sz w:val="24"/>
          <w:szCs w:val="24"/>
        </w:rPr>
        <w:t xml:space="preserve">, but it is small </w:t>
      </w:r>
      <w:r w:rsidR="00286087">
        <w:rPr>
          <w:sz w:val="24"/>
          <w:szCs w:val="24"/>
        </w:rPr>
        <w:t>and could be from noise</w:t>
      </w:r>
      <w:r>
        <w:rPr>
          <w:sz w:val="24"/>
          <w:szCs w:val="24"/>
        </w:rPr>
        <w:t xml:space="preserve">. Additionally, by three years after treatment, the two groups reconverge. </w:t>
      </w:r>
      <w:r w:rsidR="00E00299">
        <w:rPr>
          <w:sz w:val="24"/>
          <w:szCs w:val="24"/>
        </w:rPr>
        <w:t>So,</w:t>
      </w:r>
      <w:r>
        <w:rPr>
          <w:sz w:val="24"/>
          <w:szCs w:val="24"/>
        </w:rPr>
        <w:t xml:space="preserve"> to further explore the possible affect we look at the rightmost plot.</w:t>
      </w:r>
      <w:r w:rsidR="00ED33F0">
        <w:rPr>
          <w:sz w:val="24"/>
          <w:szCs w:val="24"/>
        </w:rPr>
        <w:t xml:space="preserve"> </w:t>
      </w:r>
      <w:r>
        <w:rPr>
          <w:sz w:val="24"/>
          <w:szCs w:val="24"/>
        </w:rPr>
        <w:t xml:space="preserve">There is not a significant change in the </w:t>
      </w:r>
      <w:r w:rsidR="00ED33F0">
        <w:rPr>
          <w:sz w:val="24"/>
          <w:szCs w:val="24"/>
        </w:rPr>
        <w:t>ATT, shown on the y-axis,</w:t>
      </w:r>
      <w:r>
        <w:rPr>
          <w:sz w:val="24"/>
          <w:szCs w:val="24"/>
        </w:rPr>
        <w:t xml:space="preserve"> across</w:t>
      </w:r>
      <w:r w:rsidR="00481763">
        <w:rPr>
          <w:sz w:val="24"/>
          <w:szCs w:val="24"/>
        </w:rPr>
        <w:t xml:space="preserve"> the</w:t>
      </w:r>
      <w:r>
        <w:rPr>
          <w:sz w:val="24"/>
          <w:szCs w:val="24"/>
        </w:rPr>
        <w:t xml:space="preserve"> treatment</w:t>
      </w:r>
      <w:r w:rsidR="00481763">
        <w:rPr>
          <w:sz w:val="24"/>
          <w:szCs w:val="24"/>
        </w:rPr>
        <w:t xml:space="preserve"> time</w:t>
      </w:r>
      <w:r>
        <w:rPr>
          <w:sz w:val="24"/>
          <w:szCs w:val="24"/>
        </w:rPr>
        <w:t xml:space="preserve">. </w:t>
      </w:r>
      <w:r w:rsidR="00ED33F0">
        <w:rPr>
          <w:sz w:val="24"/>
          <w:szCs w:val="24"/>
        </w:rPr>
        <w:t xml:space="preserve">The value </w:t>
      </w:r>
      <w:r w:rsidR="00286087">
        <w:rPr>
          <w:sz w:val="24"/>
          <w:szCs w:val="24"/>
        </w:rPr>
        <w:t>only dips slightly from years four to five, but otherwise stays at zero</w:t>
      </w:r>
      <w:r w:rsidR="00ED33F0">
        <w:rPr>
          <w:sz w:val="24"/>
          <w:szCs w:val="24"/>
        </w:rPr>
        <w:t xml:space="preserve">. </w:t>
      </w:r>
    </w:p>
    <w:p w14:paraId="3B718540" w14:textId="5AAB8F90" w:rsidR="00ED33F0" w:rsidRDefault="00AF58DC" w:rsidP="004110BC">
      <w:pPr>
        <w:jc w:val="both"/>
        <w:rPr>
          <w:sz w:val="24"/>
          <w:szCs w:val="24"/>
        </w:rPr>
      </w:pPr>
      <w:r>
        <w:rPr>
          <w:noProof/>
        </w:rPr>
        <w:lastRenderedPageBreak/>
        <w:drawing>
          <wp:anchor distT="0" distB="0" distL="114300" distR="114300" simplePos="0" relativeHeight="251662336" behindDoc="1" locked="0" layoutInCell="1" allowOverlap="1" wp14:anchorId="45661B9C" wp14:editId="7E596127">
            <wp:simplePos x="0" y="0"/>
            <wp:positionH relativeFrom="column">
              <wp:posOffset>-122297</wp:posOffset>
            </wp:positionH>
            <wp:positionV relativeFrom="paragraph">
              <wp:posOffset>1011542</wp:posOffset>
            </wp:positionV>
            <wp:extent cx="5943600" cy="3739515"/>
            <wp:effectExtent l="0" t="0" r="0" b="0"/>
            <wp:wrapTight wrapText="bothSides">
              <wp:wrapPolygon edited="0">
                <wp:start x="0" y="0"/>
                <wp:lineTo x="0" y="21457"/>
                <wp:lineTo x="21531" y="21457"/>
                <wp:lineTo x="21531"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3600" cy="3739515"/>
                    </a:xfrm>
                    <a:prstGeom prst="rect">
                      <a:avLst/>
                    </a:prstGeom>
                    <a:noFill/>
                    <a:ln>
                      <a:noFill/>
                    </a:ln>
                  </pic:spPr>
                </pic:pic>
              </a:graphicData>
            </a:graphic>
          </wp:anchor>
        </w:drawing>
      </w:r>
      <w:r w:rsidR="00ED33F0">
        <w:rPr>
          <w:sz w:val="24"/>
          <w:szCs w:val="24"/>
        </w:rPr>
        <w:tab/>
      </w:r>
      <w:r w:rsidR="00A23D97">
        <w:rPr>
          <w:sz w:val="24"/>
          <w:szCs w:val="24"/>
        </w:rPr>
        <w:t>Those two</w:t>
      </w:r>
      <w:r w:rsidR="00286087">
        <w:rPr>
          <w:sz w:val="24"/>
          <w:szCs w:val="24"/>
        </w:rPr>
        <w:t xml:space="preserve"> plots</w:t>
      </w:r>
      <w:r w:rsidR="00ED33F0">
        <w:rPr>
          <w:sz w:val="24"/>
          <w:szCs w:val="24"/>
        </w:rPr>
        <w:t xml:space="preserve"> imply that there is not an effect from marijuana legalization on the proportion of people admitted to rehab for opioid treatment</w:t>
      </w:r>
      <w:r w:rsidR="00286087">
        <w:rPr>
          <w:sz w:val="24"/>
          <w:szCs w:val="24"/>
        </w:rPr>
        <w:t>.</w:t>
      </w:r>
      <w:r w:rsidR="00ED33F0">
        <w:rPr>
          <w:sz w:val="24"/>
          <w:szCs w:val="24"/>
        </w:rPr>
        <w:t xml:space="preserve"> </w:t>
      </w:r>
      <w:r w:rsidR="00286087">
        <w:rPr>
          <w:sz w:val="24"/>
          <w:szCs w:val="24"/>
        </w:rPr>
        <w:t>Although,</w:t>
      </w:r>
      <w:r w:rsidR="00ED33F0">
        <w:rPr>
          <w:sz w:val="24"/>
          <w:szCs w:val="24"/>
        </w:rPr>
        <w:t xml:space="preserve"> to explore at a more granular level we </w:t>
      </w:r>
      <w:r>
        <w:rPr>
          <w:sz w:val="24"/>
          <w:szCs w:val="24"/>
        </w:rPr>
        <w:t xml:space="preserve">employ a second strategy and </w:t>
      </w:r>
      <w:r w:rsidR="00ED33F0">
        <w:rPr>
          <w:sz w:val="24"/>
          <w:szCs w:val="24"/>
        </w:rPr>
        <w:t xml:space="preserve">plot each treated </w:t>
      </w:r>
      <w:r w:rsidR="00A35D00">
        <w:rPr>
          <w:sz w:val="24"/>
          <w:szCs w:val="24"/>
        </w:rPr>
        <w:t>state/territory</w:t>
      </w:r>
      <w:r w:rsidR="00ED33F0">
        <w:rPr>
          <w:sz w:val="24"/>
          <w:szCs w:val="24"/>
        </w:rPr>
        <w:t xml:space="preserve"> </w:t>
      </w:r>
      <w:r>
        <w:rPr>
          <w:sz w:val="24"/>
          <w:szCs w:val="24"/>
        </w:rPr>
        <w:t>individually.</w:t>
      </w:r>
    </w:p>
    <w:p w14:paraId="52A22A10" w14:textId="2DBCFA3D" w:rsidR="00ED33F0" w:rsidRDefault="00ED33F0" w:rsidP="00ED33F0">
      <w:pPr>
        <w:rPr>
          <w:sz w:val="24"/>
          <w:szCs w:val="24"/>
        </w:rPr>
      </w:pPr>
    </w:p>
    <w:p w14:paraId="09D7F504" w14:textId="6854004C" w:rsidR="00655BAF" w:rsidRDefault="00ED33F0" w:rsidP="004110BC">
      <w:pPr>
        <w:ind w:firstLine="720"/>
        <w:jc w:val="both"/>
        <w:rPr>
          <w:sz w:val="24"/>
          <w:szCs w:val="24"/>
        </w:rPr>
      </w:pPr>
      <w:r>
        <w:rPr>
          <w:sz w:val="24"/>
          <w:szCs w:val="24"/>
        </w:rPr>
        <w:t xml:space="preserve">We note that most of the </w:t>
      </w:r>
      <w:r w:rsidR="00A35D00">
        <w:rPr>
          <w:sz w:val="24"/>
          <w:szCs w:val="24"/>
        </w:rPr>
        <w:t>states/territories</w:t>
      </w:r>
      <w:r>
        <w:rPr>
          <w:sz w:val="24"/>
          <w:szCs w:val="24"/>
        </w:rPr>
        <w:t xml:space="preserve"> show no effect from treatment. The lines follow either at parallel or the changes are seen long after treatment. </w:t>
      </w:r>
      <w:r w:rsidR="00887A9B">
        <w:rPr>
          <w:sz w:val="24"/>
          <w:szCs w:val="24"/>
        </w:rPr>
        <w:t>The only ones that showed a notable difference were Alaska, DC</w:t>
      </w:r>
      <w:r w:rsidR="00AF58DC">
        <w:rPr>
          <w:sz w:val="24"/>
          <w:szCs w:val="24"/>
        </w:rPr>
        <w:t>,</w:t>
      </w:r>
      <w:r w:rsidR="00887A9B">
        <w:rPr>
          <w:sz w:val="24"/>
          <w:szCs w:val="24"/>
        </w:rPr>
        <w:t xml:space="preserve"> and Colorado. </w:t>
      </w:r>
      <w:r w:rsidR="00AF58DC">
        <w:rPr>
          <w:sz w:val="24"/>
          <w:szCs w:val="24"/>
        </w:rPr>
        <w:t>The first two</w:t>
      </w:r>
      <w:r w:rsidR="00887A9B">
        <w:rPr>
          <w:sz w:val="24"/>
          <w:szCs w:val="24"/>
        </w:rPr>
        <w:t xml:space="preserve"> had missing data</w:t>
      </w:r>
      <w:r w:rsidR="00AF58DC">
        <w:rPr>
          <w:sz w:val="24"/>
          <w:szCs w:val="24"/>
        </w:rPr>
        <w:t xml:space="preserve">, </w:t>
      </w:r>
      <w:r w:rsidR="00887A9B">
        <w:rPr>
          <w:sz w:val="24"/>
          <w:szCs w:val="24"/>
        </w:rPr>
        <w:t>which</w:t>
      </w:r>
      <w:r w:rsidR="00AF58DC">
        <w:rPr>
          <w:sz w:val="24"/>
          <w:szCs w:val="24"/>
        </w:rPr>
        <w:t xml:space="preserve"> could</w:t>
      </w:r>
      <w:r w:rsidR="00887A9B">
        <w:rPr>
          <w:sz w:val="24"/>
          <w:szCs w:val="24"/>
        </w:rPr>
        <w:t xml:space="preserve"> mean that their counterfactual is</w:t>
      </w:r>
      <w:r w:rsidR="00AF58DC">
        <w:rPr>
          <w:sz w:val="24"/>
          <w:szCs w:val="24"/>
        </w:rPr>
        <w:t xml:space="preserve"> off and creating a more drastic looking effect</w:t>
      </w:r>
      <w:r w:rsidR="00887A9B">
        <w:rPr>
          <w:sz w:val="24"/>
          <w:szCs w:val="24"/>
        </w:rPr>
        <w:t xml:space="preserve">. </w:t>
      </w:r>
      <w:r w:rsidR="00286087">
        <w:rPr>
          <w:sz w:val="24"/>
          <w:szCs w:val="24"/>
        </w:rPr>
        <w:t xml:space="preserve">Meanwhile, we </w:t>
      </w:r>
      <w:r w:rsidR="00887A9B">
        <w:rPr>
          <w:sz w:val="24"/>
          <w:szCs w:val="24"/>
        </w:rPr>
        <w:t xml:space="preserve">see </w:t>
      </w:r>
      <w:r w:rsidR="00AF58DC">
        <w:rPr>
          <w:sz w:val="24"/>
          <w:szCs w:val="24"/>
        </w:rPr>
        <w:t>some change</w:t>
      </w:r>
      <w:r w:rsidR="00887A9B">
        <w:rPr>
          <w:sz w:val="24"/>
          <w:szCs w:val="24"/>
        </w:rPr>
        <w:t xml:space="preserve"> in </w:t>
      </w:r>
      <w:r w:rsidR="00286087">
        <w:rPr>
          <w:sz w:val="24"/>
          <w:szCs w:val="24"/>
        </w:rPr>
        <w:t>Colorado,</w:t>
      </w:r>
      <w:r w:rsidR="00887A9B">
        <w:rPr>
          <w:sz w:val="24"/>
          <w:szCs w:val="24"/>
        </w:rPr>
        <w:t xml:space="preserve"> but it is in the opposite direction than is anticipated</w:t>
      </w:r>
      <w:r w:rsidR="00481763">
        <w:rPr>
          <w:sz w:val="24"/>
          <w:szCs w:val="24"/>
        </w:rPr>
        <w:t>,</w:t>
      </w:r>
      <w:r w:rsidR="00AF58DC">
        <w:rPr>
          <w:sz w:val="24"/>
          <w:szCs w:val="24"/>
        </w:rPr>
        <w:t xml:space="preserve"> and </w:t>
      </w:r>
      <w:r w:rsidR="00887A9B">
        <w:rPr>
          <w:sz w:val="24"/>
          <w:szCs w:val="24"/>
        </w:rPr>
        <w:t>the effects aren’t seen until years after the treatment</w:t>
      </w:r>
      <w:r w:rsidR="00AF58DC">
        <w:rPr>
          <w:sz w:val="24"/>
          <w:szCs w:val="24"/>
        </w:rPr>
        <w:t>. This</w:t>
      </w:r>
      <w:r w:rsidR="00887A9B">
        <w:rPr>
          <w:sz w:val="24"/>
          <w:szCs w:val="24"/>
        </w:rPr>
        <w:t xml:space="preserve"> could mean that it is </w:t>
      </w:r>
      <w:r w:rsidR="00AF58DC">
        <w:rPr>
          <w:sz w:val="24"/>
          <w:szCs w:val="24"/>
        </w:rPr>
        <w:t>not actually</w:t>
      </w:r>
      <w:r w:rsidR="00887A9B">
        <w:rPr>
          <w:sz w:val="24"/>
          <w:szCs w:val="24"/>
        </w:rPr>
        <w:t xml:space="preserve"> the </w:t>
      </w:r>
      <w:r w:rsidR="00575928">
        <w:rPr>
          <w:sz w:val="24"/>
          <w:szCs w:val="24"/>
        </w:rPr>
        <w:t>effect</w:t>
      </w:r>
      <w:r w:rsidR="00887A9B">
        <w:rPr>
          <w:sz w:val="24"/>
          <w:szCs w:val="24"/>
        </w:rPr>
        <w:t xml:space="preserve"> of </w:t>
      </w:r>
      <w:r w:rsidR="00575928">
        <w:rPr>
          <w:sz w:val="24"/>
          <w:szCs w:val="24"/>
        </w:rPr>
        <w:t>treatment and</w:t>
      </w:r>
      <w:r w:rsidR="00481763">
        <w:rPr>
          <w:sz w:val="24"/>
          <w:szCs w:val="24"/>
        </w:rPr>
        <w:t xml:space="preserve"> is instead caused by a</w:t>
      </w:r>
      <w:r w:rsidR="00887A9B">
        <w:rPr>
          <w:sz w:val="24"/>
          <w:szCs w:val="24"/>
        </w:rPr>
        <w:t xml:space="preserve"> disparity </w:t>
      </w:r>
      <w:r w:rsidR="00481763">
        <w:rPr>
          <w:sz w:val="24"/>
          <w:szCs w:val="24"/>
        </w:rPr>
        <w:t xml:space="preserve">from control not following </w:t>
      </w:r>
      <w:r w:rsidR="00887A9B">
        <w:rPr>
          <w:sz w:val="24"/>
          <w:szCs w:val="24"/>
        </w:rPr>
        <w:t>the treatment closely after a few years</w:t>
      </w:r>
      <w:r w:rsidR="00481763">
        <w:rPr>
          <w:sz w:val="24"/>
          <w:szCs w:val="24"/>
        </w:rPr>
        <w:t xml:space="preserve"> of changes in Colorado</w:t>
      </w:r>
      <w:r w:rsidR="00887A9B">
        <w:rPr>
          <w:sz w:val="24"/>
          <w:szCs w:val="24"/>
        </w:rPr>
        <w:t xml:space="preserve">. </w:t>
      </w:r>
      <w:r w:rsidR="00BC6CA5">
        <w:rPr>
          <w:sz w:val="24"/>
          <w:szCs w:val="24"/>
        </w:rPr>
        <w:t>With both parts of the synthetic control in mind</w:t>
      </w:r>
      <w:r w:rsidR="00481763">
        <w:rPr>
          <w:sz w:val="24"/>
          <w:szCs w:val="24"/>
        </w:rPr>
        <w:t>,</w:t>
      </w:r>
      <w:r w:rsidR="00BC6CA5">
        <w:rPr>
          <w:sz w:val="24"/>
          <w:szCs w:val="24"/>
        </w:rPr>
        <w:t xml:space="preserve"> </w:t>
      </w:r>
      <w:r w:rsidR="00575928">
        <w:rPr>
          <w:sz w:val="24"/>
          <w:szCs w:val="24"/>
        </w:rPr>
        <w:t>it’s</w:t>
      </w:r>
      <w:r w:rsidR="00BC6CA5">
        <w:rPr>
          <w:sz w:val="24"/>
          <w:szCs w:val="24"/>
        </w:rPr>
        <w:t xml:space="preserve"> time to look at the results of the</w:t>
      </w:r>
      <w:r w:rsidR="00EA02E0">
        <w:rPr>
          <w:sz w:val="24"/>
          <w:szCs w:val="24"/>
        </w:rPr>
        <w:t xml:space="preserve"> SCQE</w:t>
      </w:r>
      <w:r w:rsidR="00BC6CA5">
        <w:rPr>
          <w:sz w:val="24"/>
          <w:szCs w:val="24"/>
        </w:rPr>
        <w:t xml:space="preserve">. </w:t>
      </w:r>
    </w:p>
    <w:p w14:paraId="15F43BEF" w14:textId="03986754" w:rsidR="00A23D97" w:rsidRDefault="00FC55B7" w:rsidP="00234906">
      <w:pPr>
        <w:ind w:firstLine="720"/>
        <w:jc w:val="both"/>
        <w:rPr>
          <w:sz w:val="24"/>
          <w:szCs w:val="24"/>
        </w:rPr>
      </w:pPr>
      <w:r>
        <w:rPr>
          <w:sz w:val="24"/>
          <w:szCs w:val="24"/>
        </w:rPr>
        <w:t xml:space="preserve">To look at the results of the </w:t>
      </w:r>
      <w:r w:rsidR="00DF2157">
        <w:rPr>
          <w:sz w:val="24"/>
          <w:szCs w:val="24"/>
        </w:rPr>
        <w:t>s</w:t>
      </w:r>
      <w:r>
        <w:rPr>
          <w:sz w:val="24"/>
          <w:szCs w:val="24"/>
        </w:rPr>
        <w:t>tability</w:t>
      </w:r>
      <w:r w:rsidR="00DF2157">
        <w:rPr>
          <w:sz w:val="24"/>
          <w:szCs w:val="24"/>
        </w:rPr>
        <w:t>-c</w:t>
      </w:r>
      <w:r>
        <w:rPr>
          <w:sz w:val="24"/>
          <w:szCs w:val="24"/>
        </w:rPr>
        <w:t xml:space="preserve">ontrolled </w:t>
      </w:r>
      <w:r w:rsidR="00DF2157">
        <w:rPr>
          <w:sz w:val="24"/>
          <w:szCs w:val="24"/>
        </w:rPr>
        <w:t>q</w:t>
      </w:r>
      <w:r>
        <w:rPr>
          <w:sz w:val="24"/>
          <w:szCs w:val="24"/>
        </w:rPr>
        <w:t>uasi-</w:t>
      </w:r>
      <w:r w:rsidR="00DF2157">
        <w:rPr>
          <w:sz w:val="24"/>
          <w:szCs w:val="24"/>
        </w:rPr>
        <w:t>e</w:t>
      </w:r>
      <w:r>
        <w:rPr>
          <w:sz w:val="24"/>
          <w:szCs w:val="24"/>
        </w:rPr>
        <w:t xml:space="preserve">xperiment we will look </w:t>
      </w:r>
      <w:r w:rsidR="00A23D97">
        <w:rPr>
          <w:sz w:val="24"/>
          <w:szCs w:val="24"/>
        </w:rPr>
        <w:t>at a plot</w:t>
      </w:r>
      <w:r w:rsidR="00DF2157">
        <w:rPr>
          <w:sz w:val="24"/>
          <w:szCs w:val="24"/>
        </w:rPr>
        <w:t xml:space="preserve"> made with the </w:t>
      </w:r>
      <w:proofErr w:type="spellStart"/>
      <w:r w:rsidR="00DF2157">
        <w:rPr>
          <w:sz w:val="24"/>
          <w:szCs w:val="24"/>
        </w:rPr>
        <w:t>scqe</w:t>
      </w:r>
      <w:proofErr w:type="spellEnd"/>
      <w:r w:rsidR="00DF2157">
        <w:rPr>
          <w:sz w:val="24"/>
          <w:szCs w:val="24"/>
        </w:rPr>
        <w:t xml:space="preserve"> r package</w:t>
      </w:r>
      <w:r w:rsidR="00DF2157">
        <w:rPr>
          <w:rStyle w:val="EndnoteReference"/>
          <w:sz w:val="24"/>
          <w:szCs w:val="24"/>
        </w:rPr>
        <w:endnoteReference w:id="8"/>
      </w:r>
      <w:r w:rsidR="00481763">
        <w:rPr>
          <w:sz w:val="24"/>
          <w:szCs w:val="24"/>
        </w:rPr>
        <w:t>, but b</w:t>
      </w:r>
      <w:r>
        <w:rPr>
          <w:sz w:val="24"/>
          <w:szCs w:val="24"/>
        </w:rPr>
        <w:t>efore looking at the</w:t>
      </w:r>
      <w:r w:rsidR="00A23D97">
        <w:rPr>
          <w:sz w:val="24"/>
          <w:szCs w:val="24"/>
        </w:rPr>
        <w:t xml:space="preserve"> </w:t>
      </w:r>
      <w:r w:rsidR="00481763">
        <w:rPr>
          <w:sz w:val="24"/>
          <w:szCs w:val="24"/>
        </w:rPr>
        <w:t>graph</w:t>
      </w:r>
      <w:r w:rsidR="00A23D97">
        <w:rPr>
          <w:sz w:val="24"/>
          <w:szCs w:val="24"/>
        </w:rPr>
        <w:t xml:space="preserve"> on the next page</w:t>
      </w:r>
      <w:r w:rsidR="00B10C24">
        <w:rPr>
          <w:sz w:val="24"/>
          <w:szCs w:val="24"/>
        </w:rPr>
        <w:t xml:space="preserve"> there are a few things to go over. First</w:t>
      </w:r>
      <w:r>
        <w:rPr>
          <w:sz w:val="24"/>
          <w:szCs w:val="24"/>
        </w:rPr>
        <w:t>, it is worth</w:t>
      </w:r>
      <w:r w:rsidR="00A23D97">
        <w:rPr>
          <w:sz w:val="24"/>
          <w:szCs w:val="24"/>
        </w:rPr>
        <w:t xml:space="preserve"> remembering that the periods being compared </w:t>
      </w:r>
      <w:r w:rsidR="00225DBC">
        <w:rPr>
          <w:sz w:val="24"/>
          <w:szCs w:val="24"/>
        </w:rPr>
        <w:t>are</w:t>
      </w:r>
      <w:r w:rsidR="00A23D97">
        <w:rPr>
          <w:sz w:val="24"/>
          <w:szCs w:val="24"/>
        </w:rPr>
        <w:t xml:space="preserve"> 2011 to 2017</w:t>
      </w:r>
      <w:r w:rsidR="00225DBC">
        <w:rPr>
          <w:sz w:val="24"/>
          <w:szCs w:val="24"/>
        </w:rPr>
        <w:t>. In this interval</w:t>
      </w:r>
      <w:r w:rsidR="00A23D97">
        <w:rPr>
          <w:sz w:val="24"/>
          <w:szCs w:val="24"/>
        </w:rPr>
        <w:t xml:space="preserve"> </w:t>
      </w:r>
      <w:r w:rsidR="00B10C24">
        <w:rPr>
          <w:sz w:val="24"/>
          <w:szCs w:val="24"/>
        </w:rPr>
        <w:t>2</w:t>
      </w:r>
      <w:r w:rsidR="00A23D97">
        <w:rPr>
          <w:sz w:val="24"/>
          <w:szCs w:val="24"/>
        </w:rPr>
        <w:t xml:space="preserve"> states legaliz</w:t>
      </w:r>
      <w:r w:rsidR="00225DBC">
        <w:rPr>
          <w:sz w:val="24"/>
          <w:szCs w:val="24"/>
        </w:rPr>
        <w:t>ed</w:t>
      </w:r>
      <w:r w:rsidR="00A23D97">
        <w:rPr>
          <w:sz w:val="24"/>
          <w:szCs w:val="24"/>
        </w:rPr>
        <w:t xml:space="preserve"> in 2012, 3 in 2014, and 3 in 2016. </w:t>
      </w:r>
      <w:r w:rsidR="00225DBC">
        <w:rPr>
          <w:sz w:val="24"/>
          <w:szCs w:val="24"/>
        </w:rPr>
        <w:t>Therefore,</w:t>
      </w:r>
      <w:r w:rsidR="003D3173">
        <w:rPr>
          <w:sz w:val="24"/>
          <w:szCs w:val="24"/>
        </w:rPr>
        <w:t xml:space="preserve"> 8 of 50 areas received treatment in total, which is small but </w:t>
      </w:r>
      <w:r w:rsidR="00225DBC">
        <w:rPr>
          <w:sz w:val="24"/>
          <w:szCs w:val="24"/>
        </w:rPr>
        <w:t>should be a significant enough proportion to get reasonable estimates</w:t>
      </w:r>
      <w:r w:rsidR="003D3173">
        <w:rPr>
          <w:sz w:val="24"/>
          <w:szCs w:val="24"/>
        </w:rPr>
        <w:t xml:space="preserve">. </w:t>
      </w:r>
      <w:r w:rsidR="00B10C24">
        <w:rPr>
          <w:sz w:val="24"/>
          <w:szCs w:val="24"/>
        </w:rPr>
        <w:t>Because of this grouped analysis</w:t>
      </w:r>
      <w:r w:rsidR="00A23D97">
        <w:rPr>
          <w:sz w:val="24"/>
          <w:szCs w:val="24"/>
        </w:rPr>
        <w:t xml:space="preserve"> there is likely to be a non-insignificant amount of variation to be reasoned through. With </w:t>
      </w:r>
      <w:r w:rsidR="00B10C24">
        <w:rPr>
          <w:sz w:val="24"/>
          <w:szCs w:val="24"/>
        </w:rPr>
        <w:t>all this</w:t>
      </w:r>
      <w:r w:rsidR="00A23D97">
        <w:rPr>
          <w:sz w:val="24"/>
          <w:szCs w:val="24"/>
        </w:rPr>
        <w:t xml:space="preserve"> in mind the SCQE graph is on the next page. </w:t>
      </w:r>
    </w:p>
    <w:p w14:paraId="2260EBCC" w14:textId="565228C1" w:rsidR="00A23D97" w:rsidRDefault="00A23D97" w:rsidP="00A23D97">
      <w:pPr>
        <w:ind w:firstLine="720"/>
        <w:jc w:val="center"/>
        <w:rPr>
          <w:sz w:val="24"/>
          <w:szCs w:val="24"/>
        </w:rPr>
      </w:pPr>
      <w:r>
        <w:rPr>
          <w:noProof/>
        </w:rPr>
        <w:lastRenderedPageBreak/>
        <w:drawing>
          <wp:anchor distT="0" distB="0" distL="114300" distR="114300" simplePos="0" relativeHeight="251667456" behindDoc="0" locked="0" layoutInCell="1" allowOverlap="1" wp14:anchorId="05ED5AB8" wp14:editId="4CF28105">
            <wp:simplePos x="0" y="0"/>
            <wp:positionH relativeFrom="margin">
              <wp:align>right</wp:align>
            </wp:positionH>
            <wp:positionV relativeFrom="paragraph">
              <wp:posOffset>51</wp:posOffset>
            </wp:positionV>
            <wp:extent cx="5943600" cy="3669030"/>
            <wp:effectExtent l="0" t="0" r="0" b="762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69030"/>
                    </a:xfrm>
                    <a:prstGeom prst="rect">
                      <a:avLst/>
                    </a:prstGeom>
                    <a:noFill/>
                    <a:ln>
                      <a:noFill/>
                    </a:ln>
                  </pic:spPr>
                </pic:pic>
              </a:graphicData>
            </a:graphic>
          </wp:anchor>
        </w:drawing>
      </w:r>
    </w:p>
    <w:p w14:paraId="404D94C8" w14:textId="0A13E821" w:rsidR="003D3173" w:rsidRDefault="00FC55B7" w:rsidP="00A23D97">
      <w:pPr>
        <w:ind w:firstLine="720"/>
        <w:jc w:val="both"/>
        <w:rPr>
          <w:sz w:val="24"/>
          <w:szCs w:val="24"/>
        </w:rPr>
      </w:pPr>
      <w:r>
        <w:rPr>
          <w:sz w:val="24"/>
          <w:szCs w:val="24"/>
        </w:rPr>
        <w:t xml:space="preserve"> </w:t>
      </w:r>
      <w:r w:rsidR="00225DBC">
        <w:rPr>
          <w:sz w:val="24"/>
          <w:szCs w:val="24"/>
        </w:rPr>
        <w:t xml:space="preserve">To start breaking down the information in the plot I will </w:t>
      </w:r>
      <w:r w:rsidR="00B10C24">
        <w:rPr>
          <w:sz w:val="24"/>
          <w:szCs w:val="24"/>
        </w:rPr>
        <w:t>begin</w:t>
      </w:r>
      <w:r w:rsidR="00225DBC">
        <w:rPr>
          <w:sz w:val="24"/>
          <w:szCs w:val="24"/>
        </w:rPr>
        <w:t xml:space="preserve"> </w:t>
      </w:r>
      <w:r w:rsidR="00A23D97">
        <w:rPr>
          <w:sz w:val="24"/>
          <w:szCs w:val="24"/>
        </w:rPr>
        <w:t>with what is needed for</w:t>
      </w:r>
      <w:r w:rsidR="00DD3280">
        <w:rPr>
          <w:sz w:val="24"/>
          <w:szCs w:val="24"/>
        </w:rPr>
        <w:t xml:space="preserve"> the policy to increase opioid treatments. For legalization to have the opposite effect than what we expect</w:t>
      </w:r>
      <w:r w:rsidR="00B10C24">
        <w:rPr>
          <w:sz w:val="24"/>
          <w:szCs w:val="24"/>
        </w:rPr>
        <w:t>,</w:t>
      </w:r>
      <w:r w:rsidR="00DD3280">
        <w:rPr>
          <w:sz w:val="24"/>
          <w:szCs w:val="24"/>
        </w:rPr>
        <w:t xml:space="preserve"> </w:t>
      </w:r>
      <w:r w:rsidR="003D3173">
        <w:rPr>
          <w:sz w:val="24"/>
          <w:szCs w:val="24"/>
        </w:rPr>
        <w:t>the proportion of opioid admittance would need to have gone below zero. Although that might seem reasonable at first glance</w:t>
      </w:r>
      <w:r w:rsidR="00225DBC">
        <w:rPr>
          <w:sz w:val="24"/>
          <w:szCs w:val="24"/>
        </w:rPr>
        <w:t>,</w:t>
      </w:r>
      <w:r w:rsidR="003D3173">
        <w:rPr>
          <w:sz w:val="24"/>
          <w:szCs w:val="24"/>
        </w:rPr>
        <w:t xml:space="preserve"> it is not. The opioid crisis has only grown, and the proportion of people fighting their addiction has increased every year for the last two decades. This makes any number at or below zero infeasible. </w:t>
      </w:r>
      <w:r w:rsidR="00B10C24">
        <w:rPr>
          <w:sz w:val="24"/>
          <w:szCs w:val="24"/>
        </w:rPr>
        <w:t>Therefore</w:t>
      </w:r>
      <w:r w:rsidR="003D3173">
        <w:rPr>
          <w:sz w:val="24"/>
          <w:szCs w:val="24"/>
        </w:rPr>
        <w:t>, we will look at what is needed for the proportion of admittees to go down</w:t>
      </w:r>
      <w:r w:rsidR="00B10C24">
        <w:rPr>
          <w:sz w:val="24"/>
          <w:szCs w:val="24"/>
        </w:rPr>
        <w:t xml:space="preserve"> because of legalization</w:t>
      </w:r>
      <w:r w:rsidR="003D3173">
        <w:rPr>
          <w:sz w:val="24"/>
          <w:szCs w:val="24"/>
        </w:rPr>
        <w:t xml:space="preserve">. </w:t>
      </w:r>
    </w:p>
    <w:p w14:paraId="35859ABF" w14:textId="4B5C7732" w:rsidR="00920D11" w:rsidRDefault="00A23D97" w:rsidP="00920D11">
      <w:pPr>
        <w:ind w:firstLine="720"/>
        <w:jc w:val="both"/>
        <w:rPr>
          <w:sz w:val="24"/>
          <w:szCs w:val="24"/>
        </w:rPr>
      </w:pPr>
      <w:r>
        <w:rPr>
          <w:sz w:val="24"/>
          <w:szCs w:val="24"/>
        </w:rPr>
        <w:t xml:space="preserve"> </w:t>
      </w:r>
      <w:r w:rsidR="003D3173">
        <w:rPr>
          <w:sz w:val="24"/>
          <w:szCs w:val="24"/>
        </w:rPr>
        <w:t xml:space="preserve">To have the hypothesized effect we can see that the </w:t>
      </w:r>
      <w:r w:rsidR="00920D11">
        <w:rPr>
          <w:sz w:val="24"/>
          <w:szCs w:val="24"/>
        </w:rPr>
        <w:t>proportion</w:t>
      </w:r>
      <w:r w:rsidR="003D3173">
        <w:rPr>
          <w:sz w:val="24"/>
          <w:szCs w:val="24"/>
        </w:rPr>
        <w:t xml:space="preserve"> of admittances for opioid addiction </w:t>
      </w:r>
      <w:r w:rsidR="00225DBC">
        <w:rPr>
          <w:sz w:val="24"/>
          <w:szCs w:val="24"/>
        </w:rPr>
        <w:t xml:space="preserve">would need </w:t>
      </w:r>
      <w:r w:rsidR="003D3173">
        <w:rPr>
          <w:sz w:val="24"/>
          <w:szCs w:val="24"/>
        </w:rPr>
        <w:t>to have gone up over 15 percentage points. This is also unlikely</w:t>
      </w:r>
      <w:r w:rsidR="00920D11">
        <w:rPr>
          <w:sz w:val="24"/>
          <w:szCs w:val="24"/>
        </w:rPr>
        <w:t xml:space="preserve"> as</w:t>
      </w:r>
      <w:r w:rsidR="003D3173">
        <w:rPr>
          <w:sz w:val="24"/>
          <w:szCs w:val="24"/>
        </w:rPr>
        <w:t xml:space="preserve"> it is not a 15% increase in </w:t>
      </w:r>
      <w:r w:rsidR="00920D11">
        <w:rPr>
          <w:sz w:val="24"/>
          <w:szCs w:val="24"/>
        </w:rPr>
        <w:t xml:space="preserve">addictions, it is in comparison to other drugs. Which are likely also going up. It is also only over a half-decade, not the 20-year period shown in the synthetic control. </w:t>
      </w:r>
      <w:r w:rsidR="00225DBC">
        <w:rPr>
          <w:sz w:val="24"/>
          <w:szCs w:val="24"/>
        </w:rPr>
        <w:t>This</w:t>
      </w:r>
      <w:r w:rsidR="00B10C24">
        <w:rPr>
          <w:sz w:val="24"/>
          <w:szCs w:val="24"/>
        </w:rPr>
        <w:t xml:space="preserve"> shorter time span makes the large change highly unlikely</w:t>
      </w:r>
      <w:r w:rsidR="00225DBC">
        <w:rPr>
          <w:sz w:val="24"/>
          <w:szCs w:val="24"/>
        </w:rPr>
        <w:t>. All in all, i</w:t>
      </w:r>
      <w:r w:rsidR="00920D11">
        <w:rPr>
          <w:sz w:val="24"/>
          <w:szCs w:val="24"/>
        </w:rPr>
        <w:t xml:space="preserve">f the real increase is between 0 and 15%, we find that there is not a significant effect of </w:t>
      </w:r>
      <w:r w:rsidR="00BE7893">
        <w:rPr>
          <w:sz w:val="24"/>
          <w:szCs w:val="24"/>
        </w:rPr>
        <w:t>cannabis</w:t>
      </w:r>
      <w:r w:rsidR="00920D11">
        <w:rPr>
          <w:sz w:val="24"/>
          <w:szCs w:val="24"/>
        </w:rPr>
        <w:t xml:space="preserve"> policy on opioid admittance. To further </w:t>
      </w:r>
      <w:r w:rsidR="00B10C24">
        <w:rPr>
          <w:sz w:val="24"/>
          <w:szCs w:val="24"/>
        </w:rPr>
        <w:t>reinforce</w:t>
      </w:r>
      <w:r w:rsidR="00920D11">
        <w:rPr>
          <w:sz w:val="24"/>
          <w:szCs w:val="24"/>
        </w:rPr>
        <w:t xml:space="preserve"> this, I will look at the significance statistics from the SCQE. </w:t>
      </w:r>
    </w:p>
    <w:p w14:paraId="4A3D73EB" w14:textId="3DE554F0" w:rsidR="002112FF" w:rsidRDefault="00920D11" w:rsidP="00920D11">
      <w:pPr>
        <w:ind w:firstLine="720"/>
        <w:jc w:val="both"/>
        <w:rPr>
          <w:sz w:val="24"/>
          <w:szCs w:val="24"/>
        </w:rPr>
      </w:pPr>
      <w:r>
        <w:rPr>
          <w:sz w:val="24"/>
          <w:szCs w:val="24"/>
        </w:rPr>
        <w:t>To have a significant effect</w:t>
      </w:r>
      <w:r w:rsidR="00B10C24">
        <w:rPr>
          <w:sz w:val="24"/>
          <w:szCs w:val="24"/>
        </w:rPr>
        <w:t>,</w:t>
      </w:r>
      <w:r>
        <w:rPr>
          <w:sz w:val="24"/>
          <w:szCs w:val="24"/>
        </w:rPr>
        <w:t xml:space="preserve"> the change in the outcome if treatment had not happened</w:t>
      </w:r>
      <w:r w:rsidR="00B10C24">
        <w:rPr>
          <w:sz w:val="24"/>
          <w:szCs w:val="24"/>
        </w:rPr>
        <w:t>,</w:t>
      </w:r>
      <w:r>
        <w:rPr>
          <w:sz w:val="24"/>
          <w:szCs w:val="24"/>
        </w:rPr>
        <w:t xml:space="preserve"> would have needed to be above .319 or below -.159. Since the lower bound is not possible</w:t>
      </w:r>
      <w:r w:rsidR="00B10C24">
        <w:rPr>
          <w:sz w:val="24"/>
          <w:szCs w:val="24"/>
        </w:rPr>
        <w:t>,</w:t>
      </w:r>
      <w:r>
        <w:rPr>
          <w:sz w:val="24"/>
          <w:szCs w:val="24"/>
        </w:rPr>
        <w:t xml:space="preserve"> given that proportion of opioid use is growing and not </w:t>
      </w:r>
      <w:r w:rsidR="002F25EF">
        <w:rPr>
          <w:sz w:val="24"/>
          <w:szCs w:val="24"/>
        </w:rPr>
        <w:t xml:space="preserve">shrinking, we can assume that the policies did not increase the admittance proportions. On the other hand, </w:t>
      </w:r>
      <w:r w:rsidR="00B10C24">
        <w:rPr>
          <w:sz w:val="24"/>
          <w:szCs w:val="24"/>
        </w:rPr>
        <w:t xml:space="preserve">a 30% increase in </w:t>
      </w:r>
      <w:r w:rsidR="002F25EF">
        <w:rPr>
          <w:sz w:val="24"/>
          <w:szCs w:val="24"/>
        </w:rPr>
        <w:t>states that legalized is unlikely. That proportion is too high</w:t>
      </w:r>
      <w:r w:rsidR="00B10C24">
        <w:rPr>
          <w:sz w:val="24"/>
          <w:szCs w:val="24"/>
        </w:rPr>
        <w:t>,</w:t>
      </w:r>
      <w:r w:rsidR="002F25EF">
        <w:rPr>
          <w:sz w:val="24"/>
          <w:szCs w:val="24"/>
        </w:rPr>
        <w:t xml:space="preserve"> even as fast as </w:t>
      </w:r>
      <w:r w:rsidR="00B10C24">
        <w:rPr>
          <w:sz w:val="24"/>
          <w:szCs w:val="24"/>
        </w:rPr>
        <w:t xml:space="preserve">opioid </w:t>
      </w:r>
      <w:r w:rsidR="002F25EF">
        <w:rPr>
          <w:sz w:val="24"/>
          <w:szCs w:val="24"/>
        </w:rPr>
        <w:t xml:space="preserve">addiction has grown. Essentially the reasoning </w:t>
      </w:r>
      <w:r w:rsidR="00BE7893">
        <w:rPr>
          <w:sz w:val="24"/>
          <w:szCs w:val="24"/>
        </w:rPr>
        <w:t>used when analyzing the graph</w:t>
      </w:r>
      <w:r w:rsidR="00B10C24">
        <w:rPr>
          <w:sz w:val="24"/>
          <w:szCs w:val="24"/>
        </w:rPr>
        <w:t xml:space="preserve"> above</w:t>
      </w:r>
      <w:r w:rsidR="002F25EF">
        <w:rPr>
          <w:sz w:val="24"/>
          <w:szCs w:val="24"/>
        </w:rPr>
        <w:t xml:space="preserve"> apply here as well. We therefore </w:t>
      </w:r>
      <w:r w:rsidR="002F25EF">
        <w:rPr>
          <w:sz w:val="24"/>
          <w:szCs w:val="24"/>
        </w:rPr>
        <w:lastRenderedPageBreak/>
        <w:t xml:space="preserve">have insubstantial evidence to reject the null hypothesis that marijuana policy </w:t>
      </w:r>
      <w:r w:rsidR="00A8779B">
        <w:rPr>
          <w:sz w:val="24"/>
          <w:szCs w:val="24"/>
        </w:rPr>
        <w:t xml:space="preserve">has no effect on </w:t>
      </w:r>
      <w:r w:rsidR="002F25EF">
        <w:rPr>
          <w:sz w:val="24"/>
          <w:szCs w:val="24"/>
        </w:rPr>
        <w:t xml:space="preserve">the proportion of people admitted to rehab for opioid addiction. </w:t>
      </w:r>
    </w:p>
    <w:p w14:paraId="7A44B2DD" w14:textId="36488E94" w:rsidR="00ED33F0" w:rsidRPr="00D95FCE" w:rsidRDefault="00D95FCE" w:rsidP="00B10C24">
      <w:pPr>
        <w:jc w:val="both"/>
        <w:rPr>
          <w:sz w:val="24"/>
          <w:szCs w:val="24"/>
        </w:rPr>
      </w:pPr>
      <w:r>
        <w:rPr>
          <w:sz w:val="24"/>
          <w:szCs w:val="24"/>
        </w:rPr>
        <w:tab/>
      </w:r>
    </w:p>
    <w:p w14:paraId="7C96F7BD" w14:textId="0621A6C8" w:rsidR="00143F10" w:rsidRDefault="00143F10" w:rsidP="00143F10">
      <w:pPr>
        <w:jc w:val="center"/>
        <w:rPr>
          <w:sz w:val="36"/>
          <w:szCs w:val="36"/>
        </w:rPr>
      </w:pPr>
      <w:r w:rsidRPr="001A0C4C">
        <w:rPr>
          <w:sz w:val="36"/>
          <w:szCs w:val="36"/>
        </w:rPr>
        <w:t>Conclusion</w:t>
      </w:r>
    </w:p>
    <w:p w14:paraId="5BB576A6" w14:textId="5D977F99" w:rsidR="00772B8F" w:rsidRDefault="00157F2E" w:rsidP="00157F2E">
      <w:pPr>
        <w:jc w:val="both"/>
        <w:rPr>
          <w:sz w:val="24"/>
          <w:szCs w:val="24"/>
        </w:rPr>
      </w:pPr>
      <w:r>
        <w:rPr>
          <w:sz w:val="24"/>
          <w:szCs w:val="24"/>
        </w:rPr>
        <w:tab/>
        <w:t xml:space="preserve">This paper’s </w:t>
      </w:r>
      <w:r w:rsidR="004E44E6">
        <w:rPr>
          <w:sz w:val="24"/>
          <w:szCs w:val="24"/>
        </w:rPr>
        <w:t>findings</w:t>
      </w:r>
      <w:r>
        <w:rPr>
          <w:sz w:val="24"/>
          <w:szCs w:val="24"/>
        </w:rPr>
        <w:t xml:space="preserve"> did not align with </w:t>
      </w:r>
      <w:r w:rsidR="004E44E6">
        <w:rPr>
          <w:sz w:val="24"/>
          <w:szCs w:val="24"/>
        </w:rPr>
        <w:t>its</w:t>
      </w:r>
      <w:r>
        <w:rPr>
          <w:sz w:val="24"/>
          <w:szCs w:val="24"/>
        </w:rPr>
        <w:t xml:space="preserve"> hypothesis, instead I fail to reject the null that there is no significant affect from marijuana legalization on the proportion of people admitted for opioid addiction. To get the best results I employed two separate inference strategies, </w:t>
      </w:r>
      <w:r w:rsidR="004E44E6">
        <w:rPr>
          <w:sz w:val="24"/>
          <w:szCs w:val="24"/>
        </w:rPr>
        <w:t>s</w:t>
      </w:r>
      <w:r>
        <w:rPr>
          <w:sz w:val="24"/>
          <w:szCs w:val="24"/>
        </w:rPr>
        <w:t xml:space="preserve">ynthetic </w:t>
      </w:r>
      <w:r w:rsidR="004E44E6">
        <w:rPr>
          <w:sz w:val="24"/>
          <w:szCs w:val="24"/>
        </w:rPr>
        <w:t>c</w:t>
      </w:r>
      <w:r>
        <w:rPr>
          <w:sz w:val="24"/>
          <w:szCs w:val="24"/>
        </w:rPr>
        <w:t xml:space="preserve">ontrol and SCQE. Both found no significant effect overall and at the state level the estimates varied heavily from one to the next, but none were meaningful. The two models </w:t>
      </w:r>
      <w:r w:rsidR="004E44E6">
        <w:rPr>
          <w:sz w:val="24"/>
          <w:szCs w:val="24"/>
        </w:rPr>
        <w:t>gave</w:t>
      </w:r>
      <w:r>
        <w:rPr>
          <w:sz w:val="24"/>
          <w:szCs w:val="24"/>
        </w:rPr>
        <w:t xml:space="preserve"> the same result</w:t>
      </w:r>
      <w:r w:rsidR="004E44E6">
        <w:rPr>
          <w:sz w:val="24"/>
          <w:szCs w:val="24"/>
        </w:rPr>
        <w:t xml:space="preserve">, and as both </w:t>
      </w:r>
      <w:r w:rsidR="00B10C24">
        <w:rPr>
          <w:sz w:val="24"/>
          <w:szCs w:val="24"/>
        </w:rPr>
        <w:t>have</w:t>
      </w:r>
      <w:r w:rsidR="004E44E6">
        <w:rPr>
          <w:sz w:val="24"/>
          <w:szCs w:val="24"/>
        </w:rPr>
        <w:t xml:space="preserve"> different identifying assumptions </w:t>
      </w:r>
      <w:r w:rsidR="00B10C24">
        <w:rPr>
          <w:sz w:val="24"/>
          <w:szCs w:val="24"/>
        </w:rPr>
        <w:t xml:space="preserve">and both </w:t>
      </w:r>
      <w:r w:rsidR="00F80579">
        <w:rPr>
          <w:sz w:val="24"/>
          <w:szCs w:val="24"/>
        </w:rPr>
        <w:t>have been well reasoned</w:t>
      </w:r>
      <w:r w:rsidR="004E44E6">
        <w:rPr>
          <w:sz w:val="24"/>
          <w:szCs w:val="24"/>
        </w:rPr>
        <w:t>, the findings of no effect are strengthened</w:t>
      </w:r>
      <w:r>
        <w:rPr>
          <w:sz w:val="24"/>
          <w:szCs w:val="24"/>
        </w:rPr>
        <w:t xml:space="preserve">. </w:t>
      </w:r>
      <w:r w:rsidR="00772B8F">
        <w:rPr>
          <w:sz w:val="24"/>
          <w:szCs w:val="24"/>
        </w:rPr>
        <w:t>With this no result in mind</w:t>
      </w:r>
      <w:r w:rsidR="00B10C24">
        <w:rPr>
          <w:sz w:val="24"/>
          <w:szCs w:val="24"/>
        </w:rPr>
        <w:t>,</w:t>
      </w:r>
      <w:r w:rsidR="00F80579">
        <w:rPr>
          <w:sz w:val="24"/>
          <w:szCs w:val="24"/>
        </w:rPr>
        <w:t xml:space="preserve"> </w:t>
      </w:r>
      <w:r w:rsidR="00772B8F">
        <w:rPr>
          <w:sz w:val="24"/>
          <w:szCs w:val="24"/>
        </w:rPr>
        <w:t>it</w:t>
      </w:r>
      <w:r w:rsidR="00F80579">
        <w:rPr>
          <w:sz w:val="24"/>
          <w:szCs w:val="24"/>
        </w:rPr>
        <w:t>’</w:t>
      </w:r>
      <w:r w:rsidR="00772B8F">
        <w:rPr>
          <w:sz w:val="24"/>
          <w:szCs w:val="24"/>
        </w:rPr>
        <w:t xml:space="preserve">s time to look at the policy implications. </w:t>
      </w:r>
    </w:p>
    <w:p w14:paraId="714FC910" w14:textId="59ECAE97" w:rsidR="00157F2E" w:rsidRDefault="00772B8F" w:rsidP="00157F2E">
      <w:pPr>
        <w:jc w:val="both"/>
        <w:rPr>
          <w:sz w:val="24"/>
          <w:szCs w:val="24"/>
        </w:rPr>
      </w:pPr>
      <w:r>
        <w:rPr>
          <w:sz w:val="24"/>
          <w:szCs w:val="24"/>
        </w:rPr>
        <w:tab/>
      </w:r>
      <w:r w:rsidR="004E44E6">
        <w:rPr>
          <w:sz w:val="24"/>
          <w:szCs w:val="24"/>
        </w:rPr>
        <w:t>To get an idea of what marijuana policy does to the rate of opioid addiction,</w:t>
      </w:r>
      <w:r>
        <w:rPr>
          <w:sz w:val="24"/>
          <w:szCs w:val="24"/>
        </w:rPr>
        <w:t xml:space="preserve"> I </w:t>
      </w:r>
      <w:r w:rsidR="00903C5D">
        <w:rPr>
          <w:sz w:val="24"/>
          <w:szCs w:val="24"/>
        </w:rPr>
        <w:t>got an estimate of</w:t>
      </w:r>
      <w:r>
        <w:rPr>
          <w:sz w:val="24"/>
          <w:szCs w:val="24"/>
        </w:rPr>
        <w:t xml:space="preserve"> the effect of legalization on the proportion admitted </w:t>
      </w:r>
      <w:r w:rsidR="00903C5D">
        <w:rPr>
          <w:sz w:val="24"/>
          <w:szCs w:val="24"/>
        </w:rPr>
        <w:t>to</w:t>
      </w:r>
      <w:r>
        <w:rPr>
          <w:sz w:val="24"/>
          <w:szCs w:val="24"/>
        </w:rPr>
        <w:t xml:space="preserve"> rehab for opioid</w:t>
      </w:r>
      <w:r w:rsidR="00B10C24">
        <w:rPr>
          <w:sz w:val="24"/>
          <w:szCs w:val="24"/>
        </w:rPr>
        <w:t>s</w:t>
      </w:r>
      <w:r w:rsidR="004E44E6">
        <w:rPr>
          <w:sz w:val="24"/>
          <w:szCs w:val="24"/>
        </w:rPr>
        <w:t>.</w:t>
      </w:r>
      <w:r>
        <w:rPr>
          <w:sz w:val="24"/>
          <w:szCs w:val="24"/>
        </w:rPr>
        <w:t xml:space="preserve"> The reasoning is that as the proportion of people going to rehab for a </w:t>
      </w:r>
      <w:r w:rsidR="00575928">
        <w:rPr>
          <w:sz w:val="24"/>
          <w:szCs w:val="24"/>
        </w:rPr>
        <w:t>specific substance</w:t>
      </w:r>
      <w:r>
        <w:rPr>
          <w:sz w:val="24"/>
          <w:szCs w:val="24"/>
        </w:rPr>
        <w:t xml:space="preserve"> changes, so does the proportion addicted</w:t>
      </w:r>
      <w:r w:rsidR="00F67CD9">
        <w:rPr>
          <w:sz w:val="24"/>
          <w:szCs w:val="24"/>
        </w:rPr>
        <w:t xml:space="preserve"> in the general population</w:t>
      </w:r>
      <w:r>
        <w:rPr>
          <w:sz w:val="24"/>
          <w:szCs w:val="24"/>
        </w:rPr>
        <w:t>.</w:t>
      </w:r>
      <w:r w:rsidR="00F67CD9">
        <w:rPr>
          <w:sz w:val="24"/>
          <w:szCs w:val="24"/>
        </w:rPr>
        <w:t xml:space="preserve"> Now this work failed to see a meaningful change </w:t>
      </w:r>
      <w:r w:rsidR="00903C5D">
        <w:rPr>
          <w:sz w:val="24"/>
          <w:szCs w:val="24"/>
        </w:rPr>
        <w:t>from cannabis policy</w:t>
      </w:r>
      <w:r w:rsidR="00F67CD9">
        <w:rPr>
          <w:sz w:val="24"/>
          <w:szCs w:val="24"/>
        </w:rPr>
        <w:t xml:space="preserve">, so there is no evidence to assume that marijuana </w:t>
      </w:r>
      <w:r w:rsidR="00903C5D">
        <w:rPr>
          <w:sz w:val="24"/>
          <w:szCs w:val="24"/>
        </w:rPr>
        <w:t>legalization</w:t>
      </w:r>
      <w:r w:rsidR="00F67CD9">
        <w:rPr>
          <w:sz w:val="24"/>
          <w:szCs w:val="24"/>
        </w:rPr>
        <w:t xml:space="preserve"> is helping to alleviate the opioid crisis, nor is there any to show it is making it worse. All in all, this work sees the opioid epidemic as a non-factor when a state is considering </w:t>
      </w:r>
      <w:r w:rsidR="00903C5D">
        <w:rPr>
          <w:sz w:val="24"/>
          <w:szCs w:val="24"/>
        </w:rPr>
        <w:t>whether</w:t>
      </w:r>
      <w:r w:rsidR="00F67CD9">
        <w:rPr>
          <w:sz w:val="24"/>
          <w:szCs w:val="24"/>
        </w:rPr>
        <w:t xml:space="preserve"> it should legalize cannabis. </w:t>
      </w:r>
    </w:p>
    <w:p w14:paraId="3598F891" w14:textId="1026EAC8" w:rsidR="00F67CD9" w:rsidRPr="00AA74FE" w:rsidRDefault="00F67CD9" w:rsidP="00157F2E">
      <w:pPr>
        <w:jc w:val="both"/>
        <w:rPr>
          <w:sz w:val="24"/>
          <w:szCs w:val="24"/>
        </w:rPr>
      </w:pPr>
      <w:r>
        <w:rPr>
          <w:sz w:val="24"/>
          <w:szCs w:val="24"/>
        </w:rPr>
        <w:tab/>
      </w:r>
      <w:r w:rsidR="00903C5D">
        <w:rPr>
          <w:sz w:val="24"/>
          <w:szCs w:val="24"/>
        </w:rPr>
        <w:t>This work does note that it is not perfect, and there</w:t>
      </w:r>
      <w:r>
        <w:rPr>
          <w:sz w:val="24"/>
          <w:szCs w:val="24"/>
        </w:rPr>
        <w:t xml:space="preserve"> is room for improvement. The most obvious </w:t>
      </w:r>
      <w:r w:rsidR="00903C5D">
        <w:rPr>
          <w:sz w:val="24"/>
          <w:szCs w:val="24"/>
        </w:rPr>
        <w:t xml:space="preserve">place to improve </w:t>
      </w:r>
      <w:r>
        <w:rPr>
          <w:sz w:val="24"/>
          <w:szCs w:val="24"/>
        </w:rPr>
        <w:t xml:space="preserve">is having more states legalize to get more data with which to observe the effect. </w:t>
      </w:r>
      <w:r w:rsidR="00903C5D">
        <w:rPr>
          <w:sz w:val="24"/>
          <w:szCs w:val="24"/>
        </w:rPr>
        <w:t>Other rooms for improvement are to cross reference this work with other metrics, like overdoses</w:t>
      </w:r>
      <w:r w:rsidR="00B10C24">
        <w:rPr>
          <w:sz w:val="24"/>
          <w:szCs w:val="24"/>
        </w:rPr>
        <w:t>,</w:t>
      </w:r>
      <w:r w:rsidR="00903C5D">
        <w:rPr>
          <w:sz w:val="24"/>
          <w:szCs w:val="24"/>
        </w:rPr>
        <w:t xml:space="preserve"> to </w:t>
      </w:r>
      <w:r w:rsidR="00B10C24">
        <w:rPr>
          <w:sz w:val="24"/>
          <w:szCs w:val="24"/>
        </w:rPr>
        <w:t>se</w:t>
      </w:r>
      <w:r w:rsidR="00903C5D">
        <w:rPr>
          <w:sz w:val="24"/>
          <w:szCs w:val="24"/>
        </w:rPr>
        <w:t>e</w:t>
      </w:r>
      <w:r w:rsidR="00B10C24">
        <w:rPr>
          <w:sz w:val="24"/>
          <w:szCs w:val="24"/>
        </w:rPr>
        <w:t xml:space="preserve"> if other societal outcomes are affected</w:t>
      </w:r>
      <w:r w:rsidR="00903C5D">
        <w:rPr>
          <w:sz w:val="24"/>
          <w:szCs w:val="24"/>
        </w:rPr>
        <w:t xml:space="preserve">. Additionally, one of the main weaknesses of this paper is its </w:t>
      </w:r>
      <w:r w:rsidR="00F80579">
        <w:rPr>
          <w:sz w:val="24"/>
          <w:szCs w:val="24"/>
        </w:rPr>
        <w:t xml:space="preserve">reasoning </w:t>
      </w:r>
      <w:r w:rsidR="00903C5D">
        <w:rPr>
          <w:sz w:val="24"/>
          <w:szCs w:val="24"/>
        </w:rPr>
        <w:t xml:space="preserve">for delta. Although justifiable </w:t>
      </w:r>
      <w:r w:rsidR="00B10C24">
        <w:rPr>
          <w:sz w:val="24"/>
          <w:szCs w:val="24"/>
        </w:rPr>
        <w:t>by looking</w:t>
      </w:r>
      <w:r w:rsidR="00F80579">
        <w:rPr>
          <w:sz w:val="24"/>
          <w:szCs w:val="24"/>
        </w:rPr>
        <w:t xml:space="preserve"> logically </w:t>
      </w:r>
      <w:r w:rsidR="00B10C24">
        <w:rPr>
          <w:sz w:val="24"/>
          <w:szCs w:val="24"/>
        </w:rPr>
        <w:t>at</w:t>
      </w:r>
      <w:r w:rsidR="00F80579">
        <w:rPr>
          <w:sz w:val="24"/>
          <w:szCs w:val="24"/>
        </w:rPr>
        <w:t xml:space="preserve"> available information</w:t>
      </w:r>
      <w:r w:rsidR="00B10C24">
        <w:rPr>
          <w:sz w:val="24"/>
          <w:szCs w:val="24"/>
        </w:rPr>
        <w:t>,</w:t>
      </w:r>
      <w:r w:rsidR="00F80579">
        <w:rPr>
          <w:sz w:val="24"/>
          <w:szCs w:val="24"/>
        </w:rPr>
        <w:t xml:space="preserve"> it is not an expert analysis</w:t>
      </w:r>
      <w:r w:rsidR="00903C5D">
        <w:rPr>
          <w:sz w:val="24"/>
          <w:szCs w:val="24"/>
        </w:rPr>
        <w:t xml:space="preserve">, so consultation with someone more versed in the policy specifics could help to improve the identification strategy. These are just a few ways in which the exploration of policy implications of legalization and the opioid crisis can be further refined, nonetheless this work finds no significant link between the two. </w:t>
      </w:r>
    </w:p>
    <w:p w14:paraId="54080645" w14:textId="67F2C945" w:rsidR="00AA74FE" w:rsidRPr="00AA74FE" w:rsidRDefault="0057005B" w:rsidP="00575928">
      <w:pPr>
        <w:tabs>
          <w:tab w:val="left" w:pos="2500"/>
        </w:tabs>
        <w:jc w:val="both"/>
        <w:rPr>
          <w:sz w:val="24"/>
          <w:szCs w:val="24"/>
        </w:rPr>
      </w:pPr>
      <w:r>
        <w:rPr>
          <w:sz w:val="24"/>
          <w:szCs w:val="24"/>
        </w:rPr>
        <w:t xml:space="preserve"> </w:t>
      </w:r>
      <w:r w:rsidR="00575928">
        <w:rPr>
          <w:sz w:val="24"/>
          <w:szCs w:val="24"/>
        </w:rPr>
        <w:tab/>
      </w:r>
    </w:p>
    <w:sectPr w:rsidR="00AA74FE" w:rsidRPr="00AA74FE">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5879B" w14:textId="77777777" w:rsidR="00091CF0" w:rsidRDefault="00091CF0" w:rsidP="00CC1AFA">
      <w:pPr>
        <w:spacing w:after="0" w:line="240" w:lineRule="auto"/>
      </w:pPr>
      <w:r>
        <w:separator/>
      </w:r>
    </w:p>
  </w:endnote>
  <w:endnote w:type="continuationSeparator" w:id="0">
    <w:p w14:paraId="1F4B07C6" w14:textId="77777777" w:rsidR="00091CF0" w:rsidRDefault="00091CF0" w:rsidP="00CC1AFA">
      <w:pPr>
        <w:spacing w:after="0" w:line="240" w:lineRule="auto"/>
      </w:pPr>
      <w:r>
        <w:continuationSeparator/>
      </w:r>
    </w:p>
  </w:endnote>
  <w:endnote w:id="1">
    <w:p w14:paraId="52D2D789" w14:textId="37EB1FFB" w:rsidR="00D17FF3" w:rsidRPr="00DF2157" w:rsidRDefault="00D17FF3" w:rsidP="00CC1AFA">
      <w:pPr>
        <w:pStyle w:val="EndnoteText"/>
        <w:rPr>
          <w:rFonts w:asciiTheme="majorHAnsi" w:hAnsiTheme="majorHAnsi"/>
          <w:color w:val="323232"/>
          <w:sz w:val="16"/>
          <w:szCs w:val="16"/>
          <w:shd w:val="clear" w:color="auto" w:fill="FFFFFF"/>
        </w:rPr>
      </w:pPr>
      <w:r>
        <w:rPr>
          <w:rStyle w:val="EndnoteReference"/>
        </w:rPr>
        <w:endnoteRef/>
      </w:r>
      <w:r>
        <w:t xml:space="preserve"> </w:t>
      </w:r>
      <w:proofErr w:type="spellStart"/>
      <w:r w:rsidRPr="00DF2157">
        <w:rPr>
          <w:rFonts w:asciiTheme="majorHAnsi" w:hAnsiTheme="majorHAnsi"/>
          <w:color w:val="323232"/>
          <w:sz w:val="16"/>
          <w:szCs w:val="16"/>
          <w:shd w:val="clear" w:color="auto" w:fill="FFFFFF"/>
        </w:rPr>
        <w:t>Berke</w:t>
      </w:r>
      <w:proofErr w:type="spellEnd"/>
      <w:r w:rsidRPr="00DF2157">
        <w:rPr>
          <w:rFonts w:asciiTheme="majorHAnsi" w:hAnsiTheme="majorHAnsi"/>
          <w:color w:val="323232"/>
          <w:sz w:val="16"/>
          <w:szCs w:val="16"/>
          <w:shd w:val="clear" w:color="auto" w:fill="FFFFFF"/>
        </w:rPr>
        <w:t xml:space="preserve">, Jeremy. "New Jersey Lawmakers Postponed a Critical Vote to Legalize Marijuana - Here Are All the </w:t>
      </w:r>
      <w:r w:rsidR="00A35D00" w:rsidRPr="00DF2157">
        <w:rPr>
          <w:rFonts w:asciiTheme="majorHAnsi" w:hAnsiTheme="majorHAnsi"/>
          <w:color w:val="323232"/>
          <w:sz w:val="16"/>
          <w:szCs w:val="16"/>
          <w:shd w:val="clear" w:color="auto" w:fill="FFFFFF"/>
        </w:rPr>
        <w:t>State/territor</w:t>
      </w:r>
      <w:r w:rsidR="003B5825" w:rsidRPr="00DF2157">
        <w:rPr>
          <w:rFonts w:asciiTheme="majorHAnsi" w:hAnsiTheme="majorHAnsi"/>
          <w:color w:val="323232"/>
          <w:sz w:val="16"/>
          <w:szCs w:val="16"/>
          <w:shd w:val="clear" w:color="auto" w:fill="FFFFFF"/>
        </w:rPr>
        <w:t>ie</w:t>
      </w:r>
      <w:r w:rsidRPr="00DF2157">
        <w:rPr>
          <w:rFonts w:asciiTheme="majorHAnsi" w:hAnsiTheme="majorHAnsi"/>
          <w:color w:val="323232"/>
          <w:sz w:val="16"/>
          <w:szCs w:val="16"/>
          <w:shd w:val="clear" w:color="auto" w:fill="FFFFFF"/>
        </w:rPr>
        <w:t xml:space="preserve">s Where Pot Is Legal." Business Insider. March 26, 2019. Accessed April 23, 2019. </w:t>
      </w:r>
      <w:hyperlink r:id="rId1" w:history="1">
        <w:r w:rsidRPr="00DF2157">
          <w:rPr>
            <w:rStyle w:val="Hyperlink"/>
            <w:rFonts w:asciiTheme="majorHAnsi" w:hAnsiTheme="majorHAnsi"/>
            <w:sz w:val="16"/>
            <w:szCs w:val="16"/>
            <w:shd w:val="clear" w:color="auto" w:fill="FFFFFF"/>
          </w:rPr>
          <w:t>https://www.businessinsider.com/legal-marijuana-</w:t>
        </w:r>
        <w:r w:rsidR="00A35D00" w:rsidRPr="00DF2157">
          <w:rPr>
            <w:rStyle w:val="Hyperlink"/>
            <w:rFonts w:asciiTheme="majorHAnsi" w:hAnsiTheme="majorHAnsi"/>
            <w:sz w:val="16"/>
            <w:szCs w:val="16"/>
            <w:shd w:val="clear" w:color="auto" w:fill="FFFFFF"/>
          </w:rPr>
          <w:t>state/territory</w:t>
        </w:r>
        <w:r w:rsidRPr="00DF2157">
          <w:rPr>
            <w:rStyle w:val="Hyperlink"/>
            <w:rFonts w:asciiTheme="majorHAnsi" w:hAnsiTheme="majorHAnsi"/>
            <w:sz w:val="16"/>
            <w:szCs w:val="16"/>
            <w:shd w:val="clear" w:color="auto" w:fill="FFFFFF"/>
          </w:rPr>
          <w:t>s-2018-1</w:t>
        </w:r>
      </w:hyperlink>
      <w:r w:rsidRPr="00DF2157">
        <w:rPr>
          <w:rFonts w:asciiTheme="majorHAnsi" w:hAnsiTheme="majorHAnsi"/>
          <w:color w:val="323232"/>
          <w:sz w:val="16"/>
          <w:szCs w:val="16"/>
          <w:shd w:val="clear" w:color="auto" w:fill="FFFFFF"/>
        </w:rPr>
        <w:t>.</w:t>
      </w:r>
    </w:p>
    <w:p w14:paraId="2D04DE42" w14:textId="7DA38A64" w:rsidR="00D17FF3" w:rsidRPr="00DF2157" w:rsidRDefault="00D17FF3">
      <w:pPr>
        <w:pStyle w:val="EndnoteText"/>
        <w:rPr>
          <w:rFonts w:asciiTheme="majorHAnsi" w:hAnsiTheme="majorHAnsi"/>
          <w:sz w:val="16"/>
          <w:szCs w:val="16"/>
        </w:rPr>
      </w:pPr>
    </w:p>
  </w:endnote>
  <w:endnote w:id="2">
    <w:p w14:paraId="14853885" w14:textId="77777777" w:rsidR="00D17FF3" w:rsidRPr="00DF2157" w:rsidRDefault="00D17FF3" w:rsidP="00CC1AFA">
      <w:pPr>
        <w:pStyle w:val="EndnoteText"/>
        <w:rPr>
          <w:rFonts w:asciiTheme="majorHAnsi" w:hAnsiTheme="majorHAnsi"/>
          <w:sz w:val="16"/>
          <w:szCs w:val="16"/>
        </w:rPr>
      </w:pPr>
      <w:r w:rsidRPr="00DF2157">
        <w:rPr>
          <w:rStyle w:val="EndnoteReference"/>
          <w:rFonts w:asciiTheme="majorHAnsi" w:hAnsiTheme="majorHAnsi"/>
          <w:sz w:val="16"/>
          <w:szCs w:val="16"/>
        </w:rPr>
        <w:endnoteRef/>
      </w:r>
      <w:r w:rsidRPr="00DF2157">
        <w:rPr>
          <w:rFonts w:asciiTheme="majorHAnsi" w:hAnsiTheme="majorHAnsi"/>
          <w:sz w:val="16"/>
          <w:szCs w:val="16"/>
        </w:rPr>
        <w:t xml:space="preserve"> </w:t>
      </w:r>
      <w:r w:rsidRPr="00DF2157">
        <w:rPr>
          <w:rFonts w:asciiTheme="majorHAnsi" w:hAnsiTheme="majorHAnsi"/>
          <w:color w:val="323232"/>
          <w:sz w:val="16"/>
          <w:szCs w:val="16"/>
          <w:shd w:val="clear" w:color="auto" w:fill="FFFFFF"/>
        </w:rPr>
        <w:t xml:space="preserve">National Institute on Drug Abuse. "Overdose Death Rates." NIDA. January 29, 2019. Accessed April 23, 2019. </w:t>
      </w:r>
      <w:hyperlink r:id="rId2" w:history="1">
        <w:r w:rsidRPr="00DF2157">
          <w:rPr>
            <w:rStyle w:val="Hyperlink"/>
            <w:rFonts w:asciiTheme="majorHAnsi" w:hAnsiTheme="majorHAnsi"/>
            <w:sz w:val="16"/>
            <w:szCs w:val="16"/>
            <w:shd w:val="clear" w:color="auto" w:fill="FFFFFF"/>
          </w:rPr>
          <w:t>https://www.drugabuse.gov/related-topics/trends-statistics/overdose-death-rates</w:t>
        </w:r>
      </w:hyperlink>
      <w:r w:rsidRPr="00DF2157">
        <w:rPr>
          <w:rFonts w:asciiTheme="majorHAnsi" w:hAnsiTheme="majorHAnsi"/>
          <w:color w:val="323232"/>
          <w:sz w:val="16"/>
          <w:szCs w:val="16"/>
          <w:shd w:val="clear" w:color="auto" w:fill="FFFFFF"/>
        </w:rPr>
        <w:t>.</w:t>
      </w:r>
      <w:r w:rsidRPr="00DF2157">
        <w:rPr>
          <w:rFonts w:asciiTheme="majorHAnsi" w:hAnsiTheme="majorHAnsi"/>
          <w:sz w:val="16"/>
          <w:szCs w:val="16"/>
        </w:rPr>
        <w:t xml:space="preserve"> </w:t>
      </w:r>
    </w:p>
    <w:p w14:paraId="583459A5" w14:textId="55D5F765" w:rsidR="00D17FF3" w:rsidRPr="00DF2157" w:rsidRDefault="00D17FF3">
      <w:pPr>
        <w:pStyle w:val="EndnoteText"/>
        <w:rPr>
          <w:rFonts w:asciiTheme="majorHAnsi" w:hAnsiTheme="majorHAnsi"/>
          <w:sz w:val="16"/>
          <w:szCs w:val="16"/>
        </w:rPr>
      </w:pPr>
    </w:p>
  </w:endnote>
  <w:endnote w:id="3">
    <w:p w14:paraId="17BB961A" w14:textId="77777777" w:rsidR="00F75E38" w:rsidRPr="00F75E38" w:rsidRDefault="00F75E38" w:rsidP="00F75E38">
      <w:pPr>
        <w:pStyle w:val="EndnoteText"/>
        <w:rPr>
          <w:sz w:val="16"/>
          <w:szCs w:val="16"/>
        </w:rPr>
      </w:pPr>
      <w:r>
        <w:rPr>
          <w:rStyle w:val="EndnoteReference"/>
        </w:rPr>
        <w:endnoteRef/>
      </w:r>
      <w:r>
        <w:t xml:space="preserve"> </w:t>
      </w:r>
      <w:r w:rsidRPr="00F75E38">
        <w:rPr>
          <w:sz w:val="16"/>
          <w:szCs w:val="16"/>
        </w:rPr>
        <w:t>Yasmin L. Hurd,</w:t>
      </w:r>
    </w:p>
    <w:p w14:paraId="127A1B32" w14:textId="77777777" w:rsidR="00F75E38" w:rsidRPr="00F75E38" w:rsidRDefault="00F75E38" w:rsidP="00F75E38">
      <w:pPr>
        <w:pStyle w:val="EndnoteText"/>
        <w:rPr>
          <w:sz w:val="16"/>
          <w:szCs w:val="16"/>
        </w:rPr>
      </w:pPr>
      <w:r w:rsidRPr="00F75E38">
        <w:rPr>
          <w:sz w:val="16"/>
          <w:szCs w:val="16"/>
        </w:rPr>
        <w:t>Cannabidiol: Swinging the Marijuana Pendulum From ‘Weed’ to Medication to Treat the Opioid Epidemic,</w:t>
      </w:r>
    </w:p>
    <w:p w14:paraId="13326E81" w14:textId="6EAA9C20" w:rsidR="00F75E38" w:rsidRPr="00F75E38" w:rsidRDefault="00F75E38" w:rsidP="00F75E38">
      <w:pPr>
        <w:pStyle w:val="EndnoteText"/>
        <w:rPr>
          <w:sz w:val="16"/>
          <w:szCs w:val="16"/>
        </w:rPr>
      </w:pPr>
      <w:r w:rsidRPr="00F75E38">
        <w:rPr>
          <w:sz w:val="16"/>
          <w:szCs w:val="16"/>
        </w:rPr>
        <w:t>Trends in Neurosciences,</w:t>
      </w:r>
      <w:r>
        <w:rPr>
          <w:sz w:val="16"/>
          <w:szCs w:val="16"/>
        </w:rPr>
        <w:t xml:space="preserve"> </w:t>
      </w:r>
      <w:r w:rsidRPr="00F75E38">
        <w:rPr>
          <w:sz w:val="16"/>
          <w:szCs w:val="16"/>
        </w:rPr>
        <w:t>Volume 40, Issue 3,2017,Pages 124-127,</w:t>
      </w:r>
      <w:r>
        <w:rPr>
          <w:sz w:val="16"/>
          <w:szCs w:val="16"/>
        </w:rPr>
        <w:t xml:space="preserve"> </w:t>
      </w:r>
      <w:r w:rsidRPr="00F75E38">
        <w:rPr>
          <w:sz w:val="16"/>
          <w:szCs w:val="16"/>
        </w:rPr>
        <w:t>ISSN 0166-2236,</w:t>
      </w:r>
      <w:r>
        <w:rPr>
          <w:sz w:val="16"/>
          <w:szCs w:val="16"/>
        </w:rPr>
        <w:t xml:space="preserve"> </w:t>
      </w:r>
      <w:r w:rsidRPr="00F75E38">
        <w:rPr>
          <w:sz w:val="16"/>
          <w:szCs w:val="16"/>
        </w:rPr>
        <w:t>https://doi.org/10.1016/j.tins.2016.12.006.</w:t>
      </w:r>
    </w:p>
    <w:p w14:paraId="640DEFB3" w14:textId="0A1E38F7" w:rsidR="00F75E38" w:rsidRPr="00F75E38" w:rsidRDefault="00F75E38" w:rsidP="00F75E38">
      <w:pPr>
        <w:pStyle w:val="EndnoteText"/>
        <w:rPr>
          <w:sz w:val="16"/>
          <w:szCs w:val="16"/>
        </w:rPr>
      </w:pPr>
      <w:r w:rsidRPr="00F75E38">
        <w:rPr>
          <w:sz w:val="16"/>
          <w:szCs w:val="16"/>
        </w:rPr>
        <w:t>(</w:t>
      </w:r>
      <w:hyperlink r:id="rId3" w:history="1">
        <w:r w:rsidRPr="007027A2">
          <w:rPr>
            <w:rStyle w:val="Hyperlink"/>
            <w:sz w:val="16"/>
            <w:szCs w:val="16"/>
          </w:rPr>
          <w:t>http://www.sciencedirect.com/science/article/pii/S0166223617300012</w:t>
        </w:r>
      </w:hyperlink>
      <w:r w:rsidRPr="00F75E38">
        <w:rPr>
          <w:sz w:val="16"/>
          <w:szCs w:val="16"/>
        </w:rPr>
        <w:t>)</w:t>
      </w:r>
      <w:r>
        <w:rPr>
          <w:sz w:val="16"/>
          <w:szCs w:val="16"/>
        </w:rPr>
        <w:t xml:space="preserve"> </w:t>
      </w:r>
      <w:r w:rsidRPr="00F75E38">
        <w:rPr>
          <w:sz w:val="16"/>
          <w:szCs w:val="16"/>
        </w:rPr>
        <w:t>Abstract: Epidemics require a paradigm shift in thinking about all possible solutions. The rapidly changing sociopolitical marijuana landscape provides a foundation for the therapeutic development of medicinal cannabidiol to address the current opioid abuse crisis.</w:t>
      </w:r>
    </w:p>
  </w:endnote>
  <w:endnote w:id="4">
    <w:p w14:paraId="74269432" w14:textId="6CBD3322" w:rsidR="00DF2157" w:rsidRPr="00DF2157" w:rsidRDefault="00DF2157">
      <w:pPr>
        <w:pStyle w:val="EndnoteText"/>
        <w:rPr>
          <w:rFonts w:asciiTheme="majorHAnsi" w:hAnsiTheme="majorHAnsi"/>
          <w:color w:val="323232"/>
          <w:sz w:val="16"/>
          <w:szCs w:val="16"/>
          <w:shd w:val="clear" w:color="auto" w:fill="FFFFFF"/>
        </w:rPr>
      </w:pPr>
      <w:r w:rsidRPr="00DF2157">
        <w:rPr>
          <w:rStyle w:val="EndnoteReference"/>
          <w:rFonts w:asciiTheme="majorHAnsi" w:hAnsiTheme="majorHAnsi"/>
          <w:sz w:val="16"/>
          <w:szCs w:val="16"/>
        </w:rPr>
        <w:endnoteRef/>
      </w:r>
      <w:r w:rsidRPr="00DF2157">
        <w:rPr>
          <w:rFonts w:asciiTheme="majorHAnsi" w:hAnsiTheme="majorHAnsi"/>
          <w:sz w:val="16"/>
          <w:szCs w:val="16"/>
        </w:rPr>
        <w:t xml:space="preserve"> </w:t>
      </w:r>
      <w:r w:rsidRPr="00DF2157">
        <w:rPr>
          <w:rFonts w:asciiTheme="majorHAnsi" w:hAnsiTheme="majorHAnsi"/>
          <w:color w:val="323232"/>
          <w:sz w:val="16"/>
          <w:szCs w:val="16"/>
          <w:shd w:val="clear" w:color="auto" w:fill="FFFFFF"/>
        </w:rPr>
        <w:t xml:space="preserve">"Treatment Episode Data Set: Admissions (TEDS-A)." Treatment Episode Data Set: Admissions (TEDS-A) | SAMHDA. Accessed December 09, 2020. </w:t>
      </w:r>
      <w:hyperlink r:id="rId4" w:history="1">
        <w:r w:rsidRPr="00DF2157">
          <w:rPr>
            <w:rStyle w:val="Hyperlink"/>
            <w:rFonts w:asciiTheme="majorHAnsi" w:hAnsiTheme="majorHAnsi"/>
            <w:sz w:val="16"/>
            <w:szCs w:val="16"/>
            <w:shd w:val="clear" w:color="auto" w:fill="FFFFFF"/>
          </w:rPr>
          <w:t>https://www.datafiles.samhsa.gov/study-series/treatment-episode-data-set-admissions-teds-nid13518</w:t>
        </w:r>
      </w:hyperlink>
      <w:r w:rsidRPr="00DF2157">
        <w:rPr>
          <w:rFonts w:asciiTheme="majorHAnsi" w:hAnsiTheme="majorHAnsi"/>
          <w:color w:val="323232"/>
          <w:sz w:val="16"/>
          <w:szCs w:val="16"/>
          <w:shd w:val="clear" w:color="auto" w:fill="FFFFFF"/>
        </w:rPr>
        <w:t>.</w:t>
      </w:r>
    </w:p>
    <w:p w14:paraId="24765546" w14:textId="77777777" w:rsidR="00DF2157" w:rsidRPr="00DF2157" w:rsidRDefault="00DF2157">
      <w:pPr>
        <w:pStyle w:val="EndnoteText"/>
        <w:rPr>
          <w:rFonts w:asciiTheme="majorHAnsi" w:hAnsiTheme="majorHAnsi"/>
          <w:sz w:val="16"/>
          <w:szCs w:val="16"/>
        </w:rPr>
      </w:pPr>
    </w:p>
  </w:endnote>
  <w:endnote w:id="5">
    <w:p w14:paraId="6DDA3C0A" w14:textId="72BC65CA" w:rsidR="00DF2157" w:rsidRPr="00DF2157" w:rsidRDefault="00DF2157">
      <w:pPr>
        <w:pStyle w:val="EndnoteText"/>
        <w:rPr>
          <w:rFonts w:asciiTheme="majorHAnsi" w:hAnsiTheme="majorHAnsi"/>
          <w:sz w:val="16"/>
          <w:szCs w:val="16"/>
        </w:rPr>
      </w:pPr>
      <w:r w:rsidRPr="00DF2157">
        <w:rPr>
          <w:rStyle w:val="EndnoteReference"/>
          <w:rFonts w:asciiTheme="majorHAnsi" w:hAnsiTheme="majorHAnsi"/>
          <w:sz w:val="16"/>
          <w:szCs w:val="16"/>
        </w:rPr>
        <w:endnoteRef/>
      </w:r>
      <w:r w:rsidRPr="00DF2157">
        <w:rPr>
          <w:rFonts w:asciiTheme="majorHAnsi" w:hAnsiTheme="majorHAnsi"/>
          <w:sz w:val="16"/>
          <w:szCs w:val="16"/>
        </w:rPr>
        <w:t xml:space="preserve"> </w:t>
      </w:r>
      <w:proofErr w:type="spellStart"/>
      <w:r w:rsidRPr="00DF2157">
        <w:rPr>
          <w:rFonts w:asciiTheme="majorHAnsi" w:hAnsiTheme="majorHAnsi"/>
          <w:color w:val="323232"/>
          <w:sz w:val="16"/>
          <w:szCs w:val="16"/>
          <w:shd w:val="clear" w:color="auto" w:fill="FFFFFF"/>
        </w:rPr>
        <w:t>Gsynth</w:t>
      </w:r>
      <w:proofErr w:type="spellEnd"/>
      <w:r w:rsidRPr="00DF2157">
        <w:rPr>
          <w:rFonts w:asciiTheme="majorHAnsi" w:hAnsiTheme="majorHAnsi"/>
          <w:color w:val="323232"/>
          <w:sz w:val="16"/>
          <w:szCs w:val="16"/>
          <w:shd w:val="clear" w:color="auto" w:fill="FFFFFF"/>
        </w:rPr>
        <w:t>: Generalized Synthetic Control Method. Accessed December 09, 2020. https://yiqingxu.org/software/gsynth/gsynth_examples.html.</w:t>
      </w:r>
    </w:p>
  </w:endnote>
  <w:endnote w:id="6">
    <w:p w14:paraId="33832336" w14:textId="357B47E9" w:rsidR="00DF2157" w:rsidRPr="00DF2157" w:rsidRDefault="00DF2157">
      <w:pPr>
        <w:pStyle w:val="EndnoteText"/>
        <w:rPr>
          <w:rStyle w:val="doilink"/>
          <w:rFonts w:asciiTheme="majorHAnsi" w:hAnsiTheme="majorHAnsi" w:cs="Arial"/>
          <w:color w:val="333333"/>
          <w:sz w:val="16"/>
          <w:szCs w:val="16"/>
          <w:shd w:val="clear" w:color="auto" w:fill="FFFFFF"/>
        </w:rPr>
      </w:pPr>
      <w:r w:rsidRPr="00DF2157">
        <w:rPr>
          <w:rStyle w:val="EndnoteReference"/>
          <w:rFonts w:asciiTheme="majorHAnsi" w:hAnsiTheme="majorHAnsi"/>
          <w:sz w:val="16"/>
          <w:szCs w:val="16"/>
        </w:rPr>
        <w:endnoteRef/>
      </w:r>
      <w:r w:rsidRPr="00DF2157">
        <w:rPr>
          <w:rFonts w:asciiTheme="majorHAnsi" w:hAnsiTheme="majorHAnsi"/>
          <w:sz w:val="16"/>
          <w:szCs w:val="16"/>
        </w:rPr>
        <w:t xml:space="preserve"> </w:t>
      </w:r>
      <w:proofErr w:type="spellStart"/>
      <w:r w:rsidRPr="00DF2157">
        <w:rPr>
          <w:rStyle w:val="authors"/>
          <w:rFonts w:asciiTheme="majorHAnsi" w:hAnsiTheme="majorHAnsi" w:cs="Arial"/>
          <w:color w:val="333333"/>
          <w:sz w:val="16"/>
          <w:szCs w:val="16"/>
          <w:shd w:val="clear" w:color="auto" w:fill="FFFFFF"/>
        </w:rPr>
        <w:t>lberto</w:t>
      </w:r>
      <w:proofErr w:type="spellEnd"/>
      <w:r w:rsidRPr="00DF2157">
        <w:rPr>
          <w:rStyle w:val="authors"/>
          <w:rFonts w:asciiTheme="majorHAnsi" w:hAnsiTheme="majorHAnsi" w:cs="Arial"/>
          <w:color w:val="333333"/>
          <w:sz w:val="16"/>
          <w:szCs w:val="16"/>
          <w:shd w:val="clear" w:color="auto" w:fill="FFFFFF"/>
        </w:rPr>
        <w:t xml:space="preserve"> Abadie, Alexis Diamond &amp; Jens </w:t>
      </w:r>
      <w:proofErr w:type="spellStart"/>
      <w:r w:rsidRPr="00DF2157">
        <w:rPr>
          <w:rStyle w:val="authors"/>
          <w:rFonts w:asciiTheme="majorHAnsi" w:hAnsiTheme="majorHAnsi" w:cs="Arial"/>
          <w:color w:val="333333"/>
          <w:sz w:val="16"/>
          <w:szCs w:val="16"/>
          <w:shd w:val="clear" w:color="auto" w:fill="FFFFFF"/>
        </w:rPr>
        <w:t>Hainmueller</w:t>
      </w:r>
      <w:proofErr w:type="spellEnd"/>
      <w:r w:rsidRPr="00DF2157">
        <w:rPr>
          <w:rFonts w:asciiTheme="majorHAnsi" w:hAnsiTheme="majorHAnsi" w:cs="Arial"/>
          <w:color w:val="333333"/>
          <w:sz w:val="16"/>
          <w:szCs w:val="16"/>
          <w:shd w:val="clear" w:color="auto" w:fill="FFFFFF"/>
        </w:rPr>
        <w:t> </w:t>
      </w:r>
      <w:r w:rsidRPr="00DF2157">
        <w:rPr>
          <w:rStyle w:val="Date1"/>
          <w:rFonts w:asciiTheme="majorHAnsi" w:hAnsiTheme="majorHAnsi" w:cs="Arial"/>
          <w:color w:val="333333"/>
          <w:sz w:val="16"/>
          <w:szCs w:val="16"/>
          <w:shd w:val="clear" w:color="auto" w:fill="FFFFFF"/>
        </w:rPr>
        <w:t>(2010)</w:t>
      </w:r>
      <w:r w:rsidRPr="00DF2157">
        <w:rPr>
          <w:rFonts w:asciiTheme="majorHAnsi" w:hAnsiTheme="majorHAnsi" w:cs="Arial"/>
          <w:color w:val="333333"/>
          <w:sz w:val="16"/>
          <w:szCs w:val="16"/>
          <w:shd w:val="clear" w:color="auto" w:fill="FFFFFF"/>
        </w:rPr>
        <w:t> </w:t>
      </w:r>
      <w:r w:rsidRPr="00DF2157">
        <w:rPr>
          <w:rStyle w:val="arttitle"/>
          <w:rFonts w:asciiTheme="majorHAnsi" w:hAnsiTheme="majorHAnsi" w:cs="Arial"/>
          <w:color w:val="333333"/>
          <w:sz w:val="16"/>
          <w:szCs w:val="16"/>
          <w:shd w:val="clear" w:color="auto" w:fill="FFFFFF"/>
        </w:rPr>
        <w:t>Synthetic Control Methods for Comparative Case Studies: Estimating the Effect of California’s Tobacco Control Program,</w:t>
      </w:r>
      <w:r w:rsidRPr="00DF2157">
        <w:rPr>
          <w:rFonts w:asciiTheme="majorHAnsi" w:hAnsiTheme="majorHAnsi" w:cs="Arial"/>
          <w:color w:val="333333"/>
          <w:sz w:val="16"/>
          <w:szCs w:val="16"/>
          <w:shd w:val="clear" w:color="auto" w:fill="FFFFFF"/>
        </w:rPr>
        <w:t> </w:t>
      </w:r>
      <w:r w:rsidRPr="00DF2157">
        <w:rPr>
          <w:rStyle w:val="serialtitle"/>
          <w:rFonts w:asciiTheme="majorHAnsi" w:hAnsiTheme="majorHAnsi" w:cs="Arial"/>
          <w:color w:val="333333"/>
          <w:sz w:val="16"/>
          <w:szCs w:val="16"/>
          <w:shd w:val="clear" w:color="auto" w:fill="FFFFFF"/>
        </w:rPr>
        <w:t>Journal of the American Statistical Association,</w:t>
      </w:r>
      <w:r w:rsidRPr="00DF2157">
        <w:rPr>
          <w:rFonts w:asciiTheme="majorHAnsi" w:hAnsiTheme="majorHAnsi" w:cs="Arial"/>
          <w:color w:val="333333"/>
          <w:sz w:val="16"/>
          <w:szCs w:val="16"/>
          <w:shd w:val="clear" w:color="auto" w:fill="FFFFFF"/>
        </w:rPr>
        <w:t> </w:t>
      </w:r>
      <w:r w:rsidRPr="00DF2157">
        <w:rPr>
          <w:rStyle w:val="volumeissue"/>
          <w:rFonts w:asciiTheme="majorHAnsi" w:hAnsiTheme="majorHAnsi" w:cs="Arial"/>
          <w:color w:val="333333"/>
          <w:sz w:val="16"/>
          <w:szCs w:val="16"/>
          <w:shd w:val="clear" w:color="auto" w:fill="FFFFFF"/>
        </w:rPr>
        <w:t>105:490,</w:t>
      </w:r>
      <w:r w:rsidRPr="00DF2157">
        <w:rPr>
          <w:rFonts w:asciiTheme="majorHAnsi" w:hAnsiTheme="majorHAnsi" w:cs="Arial"/>
          <w:color w:val="333333"/>
          <w:sz w:val="16"/>
          <w:szCs w:val="16"/>
          <w:shd w:val="clear" w:color="auto" w:fill="FFFFFF"/>
        </w:rPr>
        <w:t> </w:t>
      </w:r>
      <w:r w:rsidRPr="00DF2157">
        <w:rPr>
          <w:rStyle w:val="pagerange"/>
          <w:rFonts w:asciiTheme="majorHAnsi" w:hAnsiTheme="majorHAnsi" w:cs="Arial"/>
          <w:color w:val="333333"/>
          <w:sz w:val="16"/>
          <w:szCs w:val="16"/>
          <w:shd w:val="clear" w:color="auto" w:fill="FFFFFF"/>
        </w:rPr>
        <w:t>493-505,</w:t>
      </w:r>
      <w:r w:rsidRPr="00DF2157">
        <w:rPr>
          <w:rFonts w:asciiTheme="majorHAnsi" w:hAnsiTheme="majorHAnsi" w:cs="Arial"/>
          <w:color w:val="333333"/>
          <w:sz w:val="16"/>
          <w:szCs w:val="16"/>
          <w:shd w:val="clear" w:color="auto" w:fill="FFFFFF"/>
        </w:rPr>
        <w:t> </w:t>
      </w:r>
      <w:r w:rsidRPr="00DF2157">
        <w:rPr>
          <w:rStyle w:val="doilink"/>
          <w:rFonts w:asciiTheme="majorHAnsi" w:hAnsiTheme="majorHAnsi" w:cs="Arial"/>
          <w:color w:val="333333"/>
          <w:sz w:val="16"/>
          <w:szCs w:val="16"/>
          <w:shd w:val="clear" w:color="auto" w:fill="FFFFFF"/>
        </w:rPr>
        <w:t>DOI: </w:t>
      </w:r>
      <w:hyperlink r:id="rId5" w:history="1">
        <w:r w:rsidRPr="00DF2157">
          <w:rPr>
            <w:rStyle w:val="Hyperlink"/>
            <w:rFonts w:asciiTheme="majorHAnsi" w:hAnsiTheme="majorHAnsi" w:cs="Arial"/>
            <w:color w:val="333333"/>
            <w:sz w:val="16"/>
            <w:szCs w:val="16"/>
            <w:shd w:val="clear" w:color="auto" w:fill="FFFFFF"/>
          </w:rPr>
          <w:t>10.1198/jasa.2009.ap08746</w:t>
        </w:r>
      </w:hyperlink>
    </w:p>
    <w:p w14:paraId="5582799A" w14:textId="77777777" w:rsidR="00DF2157" w:rsidRPr="00DF2157" w:rsidRDefault="00DF2157">
      <w:pPr>
        <w:pStyle w:val="EndnoteText"/>
        <w:rPr>
          <w:rFonts w:asciiTheme="majorHAnsi" w:hAnsiTheme="majorHAnsi"/>
          <w:sz w:val="16"/>
          <w:szCs w:val="16"/>
        </w:rPr>
      </w:pPr>
    </w:p>
  </w:endnote>
  <w:endnote w:id="7">
    <w:p w14:paraId="7FB9F2A7" w14:textId="033F5B8C" w:rsidR="00DF2157" w:rsidRPr="00DF2157" w:rsidRDefault="00DF2157" w:rsidP="00DF2157">
      <w:pPr>
        <w:rPr>
          <w:rFonts w:asciiTheme="majorHAnsi" w:hAnsiTheme="majorHAnsi"/>
          <w:sz w:val="16"/>
          <w:szCs w:val="16"/>
        </w:rPr>
      </w:pPr>
      <w:r w:rsidRPr="00DF2157">
        <w:rPr>
          <w:rStyle w:val="EndnoteReference"/>
          <w:rFonts w:asciiTheme="majorHAnsi" w:hAnsiTheme="majorHAnsi"/>
          <w:sz w:val="16"/>
          <w:szCs w:val="16"/>
        </w:rPr>
        <w:endnoteRef/>
      </w:r>
      <w:r w:rsidRPr="00DF2157">
        <w:rPr>
          <w:rFonts w:asciiTheme="majorHAnsi" w:hAnsiTheme="majorHAnsi"/>
          <w:sz w:val="16"/>
          <w:szCs w:val="16"/>
        </w:rPr>
        <w:t xml:space="preserve"> Chad Hazlett, David Ami Wulf, Bogdan </w:t>
      </w:r>
      <w:proofErr w:type="spellStart"/>
      <w:r w:rsidRPr="00DF2157">
        <w:rPr>
          <w:rFonts w:asciiTheme="majorHAnsi" w:hAnsiTheme="majorHAnsi"/>
          <w:sz w:val="16"/>
          <w:szCs w:val="16"/>
        </w:rPr>
        <w:t>Pasaniuc</w:t>
      </w:r>
      <w:proofErr w:type="spellEnd"/>
      <w:r w:rsidRPr="00DF2157">
        <w:rPr>
          <w:rFonts w:asciiTheme="majorHAnsi" w:hAnsiTheme="majorHAnsi"/>
          <w:sz w:val="16"/>
          <w:szCs w:val="16"/>
        </w:rPr>
        <w:t>, Onyebuchi </w:t>
      </w:r>
      <w:proofErr w:type="spellStart"/>
      <w:r w:rsidRPr="00DF2157">
        <w:rPr>
          <w:rFonts w:asciiTheme="majorHAnsi" w:hAnsiTheme="majorHAnsi"/>
          <w:sz w:val="16"/>
          <w:szCs w:val="16"/>
        </w:rPr>
        <w:t>Arah</w:t>
      </w:r>
      <w:proofErr w:type="spellEnd"/>
      <w:r w:rsidRPr="00DF2157">
        <w:rPr>
          <w:rFonts w:asciiTheme="majorHAnsi" w:hAnsiTheme="majorHAnsi"/>
          <w:sz w:val="16"/>
          <w:szCs w:val="16"/>
        </w:rPr>
        <w:t>, Kristine M Erlandson, Brian T Montague Credible learning of hydroxychloroquine and dexamethasone effects on COVID-19 mortality outside of randomized trials, medRxiv 2020.12.06.20244798; doi: https://doi.org/10.1101/2020.12.06.20244798</w:t>
      </w:r>
    </w:p>
    <w:p w14:paraId="37F8386A" w14:textId="1B9EDD17" w:rsidR="00DF2157" w:rsidRPr="00DF2157" w:rsidRDefault="00DF2157">
      <w:pPr>
        <w:pStyle w:val="EndnoteText"/>
        <w:rPr>
          <w:rFonts w:asciiTheme="majorHAnsi" w:hAnsiTheme="majorHAnsi"/>
          <w:sz w:val="16"/>
          <w:szCs w:val="16"/>
        </w:rPr>
      </w:pPr>
    </w:p>
  </w:endnote>
  <w:endnote w:id="8">
    <w:p w14:paraId="1E2D74CB" w14:textId="0A55505C" w:rsidR="00DF2157" w:rsidRDefault="00DF2157">
      <w:pPr>
        <w:pStyle w:val="EndnoteText"/>
      </w:pPr>
      <w:r w:rsidRPr="00DF2157">
        <w:rPr>
          <w:rStyle w:val="EndnoteReference"/>
          <w:rFonts w:asciiTheme="majorHAnsi" w:hAnsiTheme="majorHAnsi"/>
          <w:sz w:val="16"/>
          <w:szCs w:val="16"/>
        </w:rPr>
        <w:endnoteRef/>
      </w:r>
      <w:r w:rsidRPr="00DF2157">
        <w:rPr>
          <w:rFonts w:asciiTheme="majorHAnsi" w:hAnsiTheme="majorHAnsi"/>
          <w:sz w:val="16"/>
          <w:szCs w:val="16"/>
        </w:rPr>
        <w:t xml:space="preserve"> </w:t>
      </w:r>
      <w:proofErr w:type="spellStart"/>
      <w:r w:rsidRPr="00DF2157">
        <w:rPr>
          <w:rFonts w:asciiTheme="majorHAnsi" w:hAnsiTheme="majorHAnsi"/>
          <w:color w:val="323232"/>
          <w:sz w:val="16"/>
          <w:szCs w:val="16"/>
          <w:shd w:val="clear" w:color="auto" w:fill="FFFFFF"/>
        </w:rPr>
        <w:t>Chadhazlett</w:t>
      </w:r>
      <w:proofErr w:type="spellEnd"/>
      <w:r w:rsidRPr="00DF2157">
        <w:rPr>
          <w:rFonts w:asciiTheme="majorHAnsi" w:hAnsiTheme="majorHAnsi"/>
          <w:color w:val="323232"/>
          <w:sz w:val="16"/>
          <w:szCs w:val="16"/>
          <w:shd w:val="clear" w:color="auto" w:fill="FFFFFF"/>
        </w:rPr>
        <w:t>. "</w:t>
      </w:r>
      <w:proofErr w:type="spellStart"/>
      <w:r w:rsidRPr="00DF2157">
        <w:rPr>
          <w:rFonts w:asciiTheme="majorHAnsi" w:hAnsiTheme="majorHAnsi"/>
          <w:color w:val="323232"/>
          <w:sz w:val="16"/>
          <w:szCs w:val="16"/>
          <w:shd w:val="clear" w:color="auto" w:fill="FFFFFF"/>
        </w:rPr>
        <w:t>Chadhazlett</w:t>
      </w:r>
      <w:proofErr w:type="spellEnd"/>
      <w:r w:rsidRPr="00DF2157">
        <w:rPr>
          <w:rFonts w:asciiTheme="majorHAnsi" w:hAnsiTheme="majorHAnsi"/>
          <w:color w:val="323232"/>
          <w:sz w:val="16"/>
          <w:szCs w:val="16"/>
          <w:shd w:val="clear" w:color="auto" w:fill="FFFFFF"/>
        </w:rPr>
        <w:t>/</w:t>
      </w:r>
      <w:proofErr w:type="spellStart"/>
      <w:r w:rsidRPr="00DF2157">
        <w:rPr>
          <w:rFonts w:asciiTheme="majorHAnsi" w:hAnsiTheme="majorHAnsi"/>
          <w:color w:val="323232"/>
          <w:sz w:val="16"/>
          <w:szCs w:val="16"/>
          <w:shd w:val="clear" w:color="auto" w:fill="FFFFFF"/>
        </w:rPr>
        <w:t>scqe</w:t>
      </w:r>
      <w:proofErr w:type="spellEnd"/>
      <w:r w:rsidRPr="00DF2157">
        <w:rPr>
          <w:rFonts w:asciiTheme="majorHAnsi" w:hAnsiTheme="majorHAnsi"/>
          <w:color w:val="323232"/>
          <w:sz w:val="16"/>
          <w:szCs w:val="16"/>
          <w:shd w:val="clear" w:color="auto" w:fill="FFFFFF"/>
        </w:rPr>
        <w:t>: Stability Controlled Quasi-Experimentation Version 0.0.0.9000 from GitHub." Version 0.0.0.9000 from GitHub. November 15, 2020. Accessed December 09, 2020. https://rdrr.io/github/chadhazlett/scqe/.</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21369005"/>
      <w:docPartObj>
        <w:docPartGallery w:val="Page Numbers (Bottom of Page)"/>
        <w:docPartUnique/>
      </w:docPartObj>
    </w:sdtPr>
    <w:sdtEndPr>
      <w:rPr>
        <w:noProof/>
      </w:rPr>
    </w:sdtEndPr>
    <w:sdtContent>
      <w:p w14:paraId="68D5A39D" w14:textId="08B6982C" w:rsidR="00234906" w:rsidRDefault="0023490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08270B02" w14:textId="77777777" w:rsidR="00234906" w:rsidRDefault="0023490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BDEEA8" w14:textId="77777777" w:rsidR="00091CF0" w:rsidRDefault="00091CF0" w:rsidP="00CC1AFA">
      <w:pPr>
        <w:spacing w:after="0" w:line="240" w:lineRule="auto"/>
      </w:pPr>
      <w:r>
        <w:separator/>
      </w:r>
    </w:p>
  </w:footnote>
  <w:footnote w:type="continuationSeparator" w:id="0">
    <w:p w14:paraId="13EC065C" w14:textId="77777777" w:rsidR="00091CF0" w:rsidRDefault="00091CF0" w:rsidP="00CC1AFA">
      <w:pPr>
        <w:spacing w:after="0" w:line="240" w:lineRule="auto"/>
      </w:pPr>
      <w:r>
        <w:continuationSeparator/>
      </w:r>
    </w:p>
  </w:footnote>
  <w:footnote w:id="1">
    <w:p w14:paraId="03D68A3D" w14:textId="14553E91" w:rsidR="00AF58DC" w:rsidRDefault="00AF58DC">
      <w:pPr>
        <w:pStyle w:val="FootnoteText"/>
      </w:pPr>
      <w:r>
        <w:rPr>
          <w:rStyle w:val="FootnoteReference"/>
        </w:rPr>
        <w:footnoteRef/>
      </w:r>
      <w:r>
        <w:t xml:space="preserve"> This paper is </w:t>
      </w:r>
      <w:r w:rsidR="00333E1F">
        <w:t xml:space="preserve">defining the term opium as meaning the same as opioid.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3F10"/>
    <w:rsid w:val="00020F84"/>
    <w:rsid w:val="000378B7"/>
    <w:rsid w:val="00087378"/>
    <w:rsid w:val="00091CF0"/>
    <w:rsid w:val="000B1C1D"/>
    <w:rsid w:val="000C62B1"/>
    <w:rsid w:val="00113B23"/>
    <w:rsid w:val="00143F10"/>
    <w:rsid w:val="00157F2E"/>
    <w:rsid w:val="001A0C4C"/>
    <w:rsid w:val="002112FF"/>
    <w:rsid w:val="00225DBC"/>
    <w:rsid w:val="00234906"/>
    <w:rsid w:val="00252B4B"/>
    <w:rsid w:val="00286087"/>
    <w:rsid w:val="002E1CEE"/>
    <w:rsid w:val="002E5CCE"/>
    <w:rsid w:val="002F25EF"/>
    <w:rsid w:val="00333E1F"/>
    <w:rsid w:val="00364B0A"/>
    <w:rsid w:val="003B5825"/>
    <w:rsid w:val="003C0DE1"/>
    <w:rsid w:val="003D3173"/>
    <w:rsid w:val="003D3841"/>
    <w:rsid w:val="004110BC"/>
    <w:rsid w:val="00414E9A"/>
    <w:rsid w:val="00472CEF"/>
    <w:rsid w:val="00481763"/>
    <w:rsid w:val="00495711"/>
    <w:rsid w:val="004C4ACD"/>
    <w:rsid w:val="004D4903"/>
    <w:rsid w:val="004E44E6"/>
    <w:rsid w:val="0052655F"/>
    <w:rsid w:val="0057005B"/>
    <w:rsid w:val="00575928"/>
    <w:rsid w:val="006301B2"/>
    <w:rsid w:val="00655BAF"/>
    <w:rsid w:val="0066351B"/>
    <w:rsid w:val="00673F5C"/>
    <w:rsid w:val="006802FC"/>
    <w:rsid w:val="006B07FA"/>
    <w:rsid w:val="006C665A"/>
    <w:rsid w:val="00727163"/>
    <w:rsid w:val="0074004B"/>
    <w:rsid w:val="00772B8F"/>
    <w:rsid w:val="007844BC"/>
    <w:rsid w:val="007A09F5"/>
    <w:rsid w:val="007A2C04"/>
    <w:rsid w:val="00823DBA"/>
    <w:rsid w:val="00887A9B"/>
    <w:rsid w:val="008D7F76"/>
    <w:rsid w:val="00903C5D"/>
    <w:rsid w:val="00920D11"/>
    <w:rsid w:val="009257FC"/>
    <w:rsid w:val="009857CD"/>
    <w:rsid w:val="00985C75"/>
    <w:rsid w:val="00A23D97"/>
    <w:rsid w:val="00A35D00"/>
    <w:rsid w:val="00A8779B"/>
    <w:rsid w:val="00AA74FE"/>
    <w:rsid w:val="00AD39FF"/>
    <w:rsid w:val="00AF28E9"/>
    <w:rsid w:val="00AF58DC"/>
    <w:rsid w:val="00B05616"/>
    <w:rsid w:val="00B10C24"/>
    <w:rsid w:val="00B368CD"/>
    <w:rsid w:val="00BC0923"/>
    <w:rsid w:val="00BC6CA5"/>
    <w:rsid w:val="00BE7893"/>
    <w:rsid w:val="00BE7D60"/>
    <w:rsid w:val="00C208A9"/>
    <w:rsid w:val="00C46250"/>
    <w:rsid w:val="00C84276"/>
    <w:rsid w:val="00C934D8"/>
    <w:rsid w:val="00CA079A"/>
    <w:rsid w:val="00CC1AFA"/>
    <w:rsid w:val="00CD1B9D"/>
    <w:rsid w:val="00CE79CE"/>
    <w:rsid w:val="00D15E86"/>
    <w:rsid w:val="00D17FF3"/>
    <w:rsid w:val="00D27855"/>
    <w:rsid w:val="00D6558B"/>
    <w:rsid w:val="00D95FCE"/>
    <w:rsid w:val="00DC3065"/>
    <w:rsid w:val="00DD3280"/>
    <w:rsid w:val="00DF2157"/>
    <w:rsid w:val="00E00299"/>
    <w:rsid w:val="00E36D75"/>
    <w:rsid w:val="00E50DF1"/>
    <w:rsid w:val="00EA02E0"/>
    <w:rsid w:val="00ED33F0"/>
    <w:rsid w:val="00EF0DA7"/>
    <w:rsid w:val="00F36F77"/>
    <w:rsid w:val="00F601AC"/>
    <w:rsid w:val="00F67CD9"/>
    <w:rsid w:val="00F75E38"/>
    <w:rsid w:val="00F80579"/>
    <w:rsid w:val="00FC55B7"/>
    <w:rsid w:val="00FF5EC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BC22B8A"/>
  <w15:chartTrackingRefBased/>
  <w15:docId w15:val="{061FE0A8-0C6E-4AB4-B52F-F6D2D349D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CC1AFA"/>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C1AFA"/>
    <w:rPr>
      <w:sz w:val="20"/>
      <w:szCs w:val="20"/>
    </w:rPr>
  </w:style>
  <w:style w:type="character" w:styleId="FootnoteReference">
    <w:name w:val="footnote reference"/>
    <w:basedOn w:val="DefaultParagraphFont"/>
    <w:uiPriority w:val="99"/>
    <w:semiHidden/>
    <w:unhideWhenUsed/>
    <w:rsid w:val="00CC1AFA"/>
    <w:rPr>
      <w:vertAlign w:val="superscript"/>
    </w:rPr>
  </w:style>
  <w:style w:type="character" w:styleId="Hyperlink">
    <w:name w:val="Hyperlink"/>
    <w:basedOn w:val="DefaultParagraphFont"/>
    <w:uiPriority w:val="99"/>
    <w:unhideWhenUsed/>
    <w:rsid w:val="00CC1AFA"/>
    <w:rPr>
      <w:color w:val="0563C1" w:themeColor="hyperlink"/>
      <w:u w:val="single"/>
    </w:rPr>
  </w:style>
  <w:style w:type="paragraph" w:styleId="EndnoteText">
    <w:name w:val="endnote text"/>
    <w:basedOn w:val="Normal"/>
    <w:link w:val="EndnoteTextChar"/>
    <w:uiPriority w:val="99"/>
    <w:semiHidden/>
    <w:unhideWhenUsed/>
    <w:rsid w:val="00CC1AFA"/>
    <w:pPr>
      <w:spacing w:after="0" w:line="240" w:lineRule="auto"/>
    </w:pPr>
    <w:rPr>
      <w:sz w:val="20"/>
      <w:szCs w:val="20"/>
    </w:rPr>
  </w:style>
  <w:style w:type="character" w:customStyle="1" w:styleId="EndnoteTextChar">
    <w:name w:val="Endnote Text Char"/>
    <w:basedOn w:val="DefaultParagraphFont"/>
    <w:link w:val="EndnoteText"/>
    <w:uiPriority w:val="99"/>
    <w:semiHidden/>
    <w:rsid w:val="00CC1AFA"/>
    <w:rPr>
      <w:sz w:val="20"/>
      <w:szCs w:val="20"/>
    </w:rPr>
  </w:style>
  <w:style w:type="character" w:styleId="EndnoteReference">
    <w:name w:val="endnote reference"/>
    <w:basedOn w:val="DefaultParagraphFont"/>
    <w:uiPriority w:val="99"/>
    <w:semiHidden/>
    <w:unhideWhenUsed/>
    <w:rsid w:val="00CC1AFA"/>
    <w:rPr>
      <w:vertAlign w:val="superscript"/>
    </w:rPr>
  </w:style>
  <w:style w:type="paragraph" w:styleId="HTMLPreformatted">
    <w:name w:val="HTML Preformatted"/>
    <w:basedOn w:val="Normal"/>
    <w:link w:val="HTMLPreformattedChar"/>
    <w:uiPriority w:val="99"/>
    <w:semiHidden/>
    <w:unhideWhenUsed/>
    <w:rsid w:val="006B07F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B07FA"/>
    <w:rPr>
      <w:rFonts w:ascii="Courier New" w:eastAsia="Times New Roman" w:hAnsi="Courier New" w:cs="Courier New"/>
      <w:sz w:val="20"/>
      <w:szCs w:val="20"/>
    </w:rPr>
  </w:style>
  <w:style w:type="table" w:styleId="TableGrid">
    <w:name w:val="Table Grid"/>
    <w:basedOn w:val="TableNormal"/>
    <w:uiPriority w:val="39"/>
    <w:rsid w:val="006B07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DF2157"/>
    <w:rPr>
      <w:color w:val="605E5C"/>
      <w:shd w:val="clear" w:color="auto" w:fill="E1DFDD"/>
    </w:rPr>
  </w:style>
  <w:style w:type="character" w:customStyle="1" w:styleId="authors">
    <w:name w:val="authors"/>
    <w:basedOn w:val="DefaultParagraphFont"/>
    <w:rsid w:val="00DF2157"/>
  </w:style>
  <w:style w:type="character" w:customStyle="1" w:styleId="Date1">
    <w:name w:val="Date1"/>
    <w:basedOn w:val="DefaultParagraphFont"/>
    <w:rsid w:val="00DF2157"/>
  </w:style>
  <w:style w:type="character" w:customStyle="1" w:styleId="arttitle">
    <w:name w:val="art_title"/>
    <w:basedOn w:val="DefaultParagraphFont"/>
    <w:rsid w:val="00DF2157"/>
  </w:style>
  <w:style w:type="character" w:customStyle="1" w:styleId="serialtitle">
    <w:name w:val="serial_title"/>
    <w:basedOn w:val="DefaultParagraphFont"/>
    <w:rsid w:val="00DF2157"/>
  </w:style>
  <w:style w:type="character" w:customStyle="1" w:styleId="volumeissue">
    <w:name w:val="volume_issue"/>
    <w:basedOn w:val="DefaultParagraphFont"/>
    <w:rsid w:val="00DF2157"/>
  </w:style>
  <w:style w:type="character" w:customStyle="1" w:styleId="pagerange">
    <w:name w:val="page_range"/>
    <w:basedOn w:val="DefaultParagraphFont"/>
    <w:rsid w:val="00DF2157"/>
  </w:style>
  <w:style w:type="character" w:customStyle="1" w:styleId="doilink">
    <w:name w:val="doi_link"/>
    <w:basedOn w:val="DefaultParagraphFont"/>
    <w:rsid w:val="00DF2157"/>
  </w:style>
  <w:style w:type="character" w:customStyle="1" w:styleId="highwire-citation-authors">
    <w:name w:val="highwire-citation-authors"/>
    <w:basedOn w:val="DefaultParagraphFont"/>
    <w:rsid w:val="00DF2157"/>
  </w:style>
  <w:style w:type="character" w:customStyle="1" w:styleId="highwire-citation-author">
    <w:name w:val="highwire-citation-author"/>
    <w:basedOn w:val="DefaultParagraphFont"/>
    <w:rsid w:val="00DF2157"/>
  </w:style>
  <w:style w:type="character" w:customStyle="1" w:styleId="nlm-given-names">
    <w:name w:val="nlm-given-names"/>
    <w:basedOn w:val="DefaultParagraphFont"/>
    <w:rsid w:val="00DF2157"/>
  </w:style>
  <w:style w:type="character" w:customStyle="1" w:styleId="nlm-surname">
    <w:name w:val="nlm-surname"/>
    <w:basedOn w:val="DefaultParagraphFont"/>
    <w:rsid w:val="00DF2157"/>
  </w:style>
  <w:style w:type="character" w:customStyle="1" w:styleId="highwire-cite-metadata-journal">
    <w:name w:val="highwire-cite-metadata-journal"/>
    <w:basedOn w:val="DefaultParagraphFont"/>
    <w:rsid w:val="00DF2157"/>
  </w:style>
  <w:style w:type="character" w:customStyle="1" w:styleId="highwire-cite-metadata-pages">
    <w:name w:val="highwire-cite-metadata-pages"/>
    <w:basedOn w:val="DefaultParagraphFont"/>
    <w:rsid w:val="00DF2157"/>
  </w:style>
  <w:style w:type="character" w:customStyle="1" w:styleId="highwire-cite-metadata-doi">
    <w:name w:val="highwire-cite-metadata-doi"/>
    <w:basedOn w:val="DefaultParagraphFont"/>
    <w:rsid w:val="00DF2157"/>
  </w:style>
  <w:style w:type="character" w:customStyle="1" w:styleId="doilabel">
    <w:name w:val="doi_label"/>
    <w:basedOn w:val="DefaultParagraphFont"/>
    <w:rsid w:val="00DF2157"/>
  </w:style>
  <w:style w:type="paragraph" w:styleId="Header">
    <w:name w:val="header"/>
    <w:basedOn w:val="Normal"/>
    <w:link w:val="HeaderChar"/>
    <w:uiPriority w:val="99"/>
    <w:unhideWhenUsed/>
    <w:rsid w:val="0023490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34906"/>
  </w:style>
  <w:style w:type="paragraph" w:styleId="Footer">
    <w:name w:val="footer"/>
    <w:basedOn w:val="Normal"/>
    <w:link w:val="FooterChar"/>
    <w:uiPriority w:val="99"/>
    <w:unhideWhenUsed/>
    <w:rsid w:val="0023490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3490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5497664">
      <w:bodyDiv w:val="1"/>
      <w:marLeft w:val="0"/>
      <w:marRight w:val="0"/>
      <w:marTop w:val="0"/>
      <w:marBottom w:val="0"/>
      <w:divBdr>
        <w:top w:val="none" w:sz="0" w:space="0" w:color="auto"/>
        <w:left w:val="none" w:sz="0" w:space="0" w:color="auto"/>
        <w:bottom w:val="none" w:sz="0" w:space="0" w:color="auto"/>
        <w:right w:val="none" w:sz="0" w:space="0" w:color="auto"/>
      </w:divBdr>
      <w:divsChild>
        <w:div w:id="383677627">
          <w:marLeft w:val="0"/>
          <w:marRight w:val="0"/>
          <w:marTop w:val="75"/>
          <w:marBottom w:val="0"/>
          <w:divBdr>
            <w:top w:val="none" w:sz="0" w:space="0" w:color="auto"/>
            <w:left w:val="none" w:sz="0" w:space="0" w:color="auto"/>
            <w:bottom w:val="none" w:sz="0" w:space="0" w:color="auto"/>
            <w:right w:val="none" w:sz="0" w:space="0" w:color="auto"/>
          </w:divBdr>
        </w:div>
        <w:div w:id="1468669955">
          <w:marLeft w:val="0"/>
          <w:marRight w:val="0"/>
          <w:marTop w:val="75"/>
          <w:marBottom w:val="0"/>
          <w:divBdr>
            <w:top w:val="none" w:sz="0" w:space="0" w:color="auto"/>
            <w:left w:val="none" w:sz="0" w:space="0" w:color="auto"/>
            <w:bottom w:val="none" w:sz="0" w:space="0" w:color="auto"/>
            <w:right w:val="none" w:sz="0" w:space="0" w:color="auto"/>
          </w:divBdr>
        </w:div>
      </w:divsChild>
    </w:div>
    <w:div w:id="426343796">
      <w:bodyDiv w:val="1"/>
      <w:marLeft w:val="0"/>
      <w:marRight w:val="0"/>
      <w:marTop w:val="0"/>
      <w:marBottom w:val="0"/>
      <w:divBdr>
        <w:top w:val="none" w:sz="0" w:space="0" w:color="auto"/>
        <w:left w:val="none" w:sz="0" w:space="0" w:color="auto"/>
        <w:bottom w:val="none" w:sz="0" w:space="0" w:color="auto"/>
        <w:right w:val="none" w:sz="0" w:space="0" w:color="auto"/>
      </w:divBdr>
    </w:div>
    <w:div w:id="479732472">
      <w:bodyDiv w:val="1"/>
      <w:marLeft w:val="0"/>
      <w:marRight w:val="0"/>
      <w:marTop w:val="0"/>
      <w:marBottom w:val="0"/>
      <w:divBdr>
        <w:top w:val="none" w:sz="0" w:space="0" w:color="auto"/>
        <w:left w:val="none" w:sz="0" w:space="0" w:color="auto"/>
        <w:bottom w:val="none" w:sz="0" w:space="0" w:color="auto"/>
        <w:right w:val="none" w:sz="0" w:space="0" w:color="auto"/>
      </w:divBdr>
      <w:divsChild>
        <w:div w:id="589850148">
          <w:marLeft w:val="0"/>
          <w:marRight w:val="0"/>
          <w:marTop w:val="0"/>
          <w:marBottom w:val="0"/>
          <w:divBdr>
            <w:top w:val="none" w:sz="0" w:space="0" w:color="auto"/>
            <w:left w:val="none" w:sz="0" w:space="0" w:color="auto"/>
            <w:bottom w:val="none" w:sz="0" w:space="0" w:color="auto"/>
            <w:right w:val="none" w:sz="0" w:space="0" w:color="auto"/>
          </w:divBdr>
          <w:divsChild>
            <w:div w:id="601491624">
              <w:marLeft w:val="0"/>
              <w:marRight w:val="0"/>
              <w:marTop w:val="0"/>
              <w:marBottom w:val="0"/>
              <w:divBdr>
                <w:top w:val="none" w:sz="0" w:space="0" w:color="auto"/>
                <w:left w:val="none" w:sz="0" w:space="0" w:color="auto"/>
                <w:bottom w:val="none" w:sz="0" w:space="0" w:color="auto"/>
                <w:right w:val="none" w:sz="0" w:space="0" w:color="auto"/>
              </w:divBdr>
            </w:div>
          </w:divsChild>
        </w:div>
        <w:div w:id="614406443">
          <w:marLeft w:val="0"/>
          <w:marRight w:val="0"/>
          <w:marTop w:val="75"/>
          <w:marBottom w:val="0"/>
          <w:divBdr>
            <w:top w:val="none" w:sz="0" w:space="0" w:color="auto"/>
            <w:left w:val="none" w:sz="0" w:space="0" w:color="auto"/>
            <w:bottom w:val="none" w:sz="0" w:space="0" w:color="auto"/>
            <w:right w:val="none" w:sz="0" w:space="0" w:color="auto"/>
          </w:divBdr>
        </w:div>
        <w:div w:id="372506881">
          <w:marLeft w:val="0"/>
          <w:marRight w:val="0"/>
          <w:marTop w:val="75"/>
          <w:marBottom w:val="0"/>
          <w:divBdr>
            <w:top w:val="none" w:sz="0" w:space="0" w:color="auto"/>
            <w:left w:val="none" w:sz="0" w:space="0" w:color="auto"/>
            <w:bottom w:val="none" w:sz="0" w:space="0" w:color="auto"/>
            <w:right w:val="none" w:sz="0" w:space="0" w:color="auto"/>
          </w:divBdr>
        </w:div>
      </w:divsChild>
    </w:div>
    <w:div w:id="1110782918">
      <w:bodyDiv w:val="1"/>
      <w:marLeft w:val="0"/>
      <w:marRight w:val="0"/>
      <w:marTop w:val="0"/>
      <w:marBottom w:val="0"/>
      <w:divBdr>
        <w:top w:val="none" w:sz="0" w:space="0" w:color="auto"/>
        <w:left w:val="none" w:sz="0" w:space="0" w:color="auto"/>
        <w:bottom w:val="none" w:sz="0" w:space="0" w:color="auto"/>
        <w:right w:val="none" w:sz="0" w:space="0" w:color="auto"/>
      </w:divBdr>
    </w:div>
    <w:div w:id="1453204026">
      <w:bodyDiv w:val="1"/>
      <w:marLeft w:val="0"/>
      <w:marRight w:val="0"/>
      <w:marTop w:val="0"/>
      <w:marBottom w:val="0"/>
      <w:divBdr>
        <w:top w:val="none" w:sz="0" w:space="0" w:color="auto"/>
        <w:left w:val="none" w:sz="0" w:space="0" w:color="auto"/>
        <w:bottom w:val="none" w:sz="0" w:space="0" w:color="auto"/>
        <w:right w:val="none" w:sz="0" w:space="0" w:color="auto"/>
      </w:divBdr>
    </w:div>
    <w:div w:id="1991249981">
      <w:bodyDiv w:val="1"/>
      <w:marLeft w:val="0"/>
      <w:marRight w:val="0"/>
      <w:marTop w:val="0"/>
      <w:marBottom w:val="0"/>
      <w:divBdr>
        <w:top w:val="none" w:sz="0" w:space="0" w:color="auto"/>
        <w:left w:val="none" w:sz="0" w:space="0" w:color="auto"/>
        <w:bottom w:val="none" w:sz="0" w:space="0" w:color="auto"/>
        <w:right w:val="none" w:sz="0" w:space="0" w:color="auto"/>
      </w:divBdr>
    </w:div>
    <w:div w:id="2079279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endnotes.xml.rels><?xml version="1.0" encoding="UTF-8" standalone="yes"?>
<Relationships xmlns="http://schemas.openxmlformats.org/package/2006/relationships"><Relationship Id="rId3" Type="http://schemas.openxmlformats.org/officeDocument/2006/relationships/hyperlink" Target="http://www.sciencedirect.com/science/article/pii/S0166223617300012" TargetMode="External"/><Relationship Id="rId2" Type="http://schemas.openxmlformats.org/officeDocument/2006/relationships/hyperlink" Target="https://www.drugabuse.gov/related-topics/trends-statistics/overdose-death-rates" TargetMode="External"/><Relationship Id="rId1" Type="http://schemas.openxmlformats.org/officeDocument/2006/relationships/hyperlink" Target="https://www.businessinsider.com/legal-marijuana-states-2018-1" TargetMode="External"/><Relationship Id="rId5" Type="http://schemas.openxmlformats.org/officeDocument/2006/relationships/hyperlink" Target="https://doi.org/10.1198/jasa.2009.ap08746" TargetMode="External"/><Relationship Id="rId4" Type="http://schemas.openxmlformats.org/officeDocument/2006/relationships/hyperlink" Target="https://www.datafiles.samhsa.gov/study-series/treatment-episode-data-set-admissions-teds-nid1351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file>

<file path=customXml/itemProps1.xml><?xml version="1.0" encoding="utf-8"?>
<ds:datastoreItem xmlns:ds="http://schemas.openxmlformats.org/officeDocument/2006/customXml" ds:itemID="{DAD8FDD6-2CAE-46F7-A537-0272865770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4673</TotalTime>
  <Pages>9</Pages>
  <Words>2341</Words>
  <Characters>13345</Characters>
  <Application>Microsoft Office Word</Application>
  <DocSecurity>0</DocSecurity>
  <Lines>111</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Greg Eastman</dc:creator>
  <cp:keywords/>
  <dc:description/>
  <cp:lastModifiedBy>Greg Eastman</cp:lastModifiedBy>
  <cp:revision>46</cp:revision>
  <dcterms:created xsi:type="dcterms:W3CDTF">2020-12-07T00:01:00Z</dcterms:created>
  <dcterms:modified xsi:type="dcterms:W3CDTF">2021-08-02T21:39:00Z</dcterms:modified>
</cp:coreProperties>
</file>