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每日交易报告-2026-03-21"/>
    <w:p>
      <w:pPr>
        <w:pStyle w:val="Heading2"/>
      </w:pPr>
      <w:r>
        <w:t xml:space="preserve"># 每日交易报告 2026-03-21</w:t>
      </w:r>
    </w:p>
    <w:bookmarkEnd w:id="20"/>
    <w:bookmarkStart w:id="21" w:name="一账户核心数据"/>
    <w:p>
      <w:pPr>
        <w:pStyle w:val="Heading2"/>
      </w:pPr>
      <w:r>
        <w:t xml:space="preserve">📊 一、账户核心数据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模拟盘初始本金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$968,346.81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较初始值亏损3.17%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持仓总市值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$67,295.68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占总资产6.95%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$901,051.14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占总资产93.05%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-$3,295.70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持仓未实现亏损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已实现盈亏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-$28,333.30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LITE平仓止损亏损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累计总亏损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-$31,653.19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累计亏损比例3.17%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二当前持仓明细"/>
    <w:p>
      <w:pPr>
        <w:pStyle w:val="Heading2"/>
      </w:pPr>
      <w:r>
        <w:t xml:space="preserve">📦 二、当前持仓明细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止损线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$6,908.00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-$216.61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$60,387.68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-$3,079.09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三历史交易记录最近1笔"/>
    <w:p>
      <w:pPr>
        <w:pStyle w:val="Heading2"/>
      </w:pPr>
      <w:r>
        <w:t xml:space="preserve">📜 三、历史交易记录（最近1笔）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交易时间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平仓盈亏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平仓原因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2026-03-20 15:32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US.LITE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-$28,333.30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触发止损线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四当前策略说明v1.0版本"/>
    <w:p>
      <w:pPr>
        <w:pStyle w:val="Heading2"/>
      </w:pPr>
      <w:r>
        <w:t xml:space="preserve">🎯 四、当前策略说明（v1.0版本）</w:t>
      </w:r>
    </w:p>
    <w:bookmarkStart w:id="24" w:name="核心规则"/>
    <w:p>
      <w:pPr>
        <w:pStyle w:val="Heading3"/>
      </w:pPr>
      <w:r>
        <w:t xml:space="preserve">核心规则</w:t>
      </w:r>
    </w:p>
    <w:p>
      <w:pPr>
        <w:numPr>
          <w:ilvl w:val="0"/>
          <w:numId w:val="1001"/>
        </w:numPr>
        <w:pStyle w:val="Compact"/>
      </w:pPr>
      <w:r>
        <w:t xml:space="preserve">评分体系：综合资讯面(35%)、技术面(40%)、情绪面(25%)三个维度，总分100分</w:t>
      </w:r>
    </w:p>
    <w:p>
      <w:pPr>
        <w:numPr>
          <w:ilvl w:val="0"/>
          <w:numId w:val="1001"/>
        </w:numPr>
        <w:pStyle w:val="Compact"/>
      </w:pPr>
      <w:r>
        <w:t xml:space="preserve">开仓规则：评分≥70分开仓，基础仓位2%，每高5分增加1%仓位，最高5%</w:t>
      </w:r>
    </w:p>
    <w:p>
      <w:pPr>
        <w:numPr>
          <w:ilvl w:val="0"/>
          <w:numId w:val="1001"/>
        </w:numPr>
        <w:pStyle w:val="Compact"/>
      </w:pPr>
      <w:r>
        <w:t xml:space="preserve">平仓规则：单票浮亏≥6%强制止损，达到15%收益分批止盈</w:t>
      </w:r>
    </w:p>
    <w:p>
      <w:pPr>
        <w:numPr>
          <w:ilvl w:val="0"/>
          <w:numId w:val="1001"/>
        </w:numPr>
        <w:pStyle w:val="Compact"/>
      </w:pPr>
      <w:r>
        <w:t xml:space="preserve">仓位控制：单票最高5%，总仓位上限40%，分散持仓不超过10只标的</w:t>
      </w:r>
    </w:p>
    <w:bookmarkEnd w:id="24"/>
    <w:bookmarkStart w:id="25" w:name="版本变更记录"/>
    <w:p>
      <w:pPr>
        <w:pStyle w:val="Heading3"/>
      </w:pPr>
      <w:r>
        <w:t xml:space="preserve">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初始版本上线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策略正式启用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五当日交易信号"/>
    <w:p>
      <w:pPr>
        <w:pStyle w:val="Heading2"/>
      </w:pPr>
      <w:r>
        <w:t xml:space="preserve">🔍 五、当日交易信号</w:t>
      </w:r>
    </w:p>
    <w:p>
      <w:pPr>
        <w:pStyle w:val="FirstParagraph"/>
      </w:pPr>
      <w:r>
        <w:t xml:space="preserve">无满足开仓/平仓条件的信号。</w:t>
      </w:r>
    </w:p>
    <w:p>
      <w:r>
        <w:pict>
          <v:rect style="width:0;height:1.5pt" o:hralign="center" o:hrstd="t" o:hr="t"/>
        </w:pict>
      </w:r>
    </w:p>
    <w:bookmarkEnd w:id="27"/>
    <w:bookmarkStart w:id="31" w:name="六当日核心新闻与市场分析"/>
    <w:p>
      <w:pPr>
        <w:pStyle w:val="Heading2"/>
      </w:pPr>
      <w:r>
        <w:t xml:space="preserve">📰 六、当日核心新闻与市场分析</w:t>
      </w:r>
    </w:p>
    <w:bookmarkStart w:id="28" w:name="持仓标的相关新闻"/>
    <w:p>
      <w:pPr>
        <w:pStyle w:val="Heading3"/>
      </w:pPr>
      <w:r>
        <w:t xml:space="preserve">持仓标的相关新闻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2026-03-21 | US.NVDA</w:t>
      </w:r>
      <w:r>
        <w:t xml:space="preserve">：英伟达H200 AI芯片正式量产，供货周期缩短至2周 → 影响：利好，预计Q2营收增长18%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2026-03-20 | US.VRT</w:t>
      </w:r>
      <w:r>
        <w:t xml:space="preserve">：Vertiv发布2026Q1业绩预告，营收同比增长42%，超出市场预期12% → 影响：利好，下周大概率反弹</w:t>
      </w:r>
    </w:p>
    <w:bookmarkEnd w:id="28"/>
    <w:bookmarkStart w:id="29" w:name="行业与宏观新闻"/>
    <w:p>
      <w:pPr>
        <w:pStyle w:val="Heading3"/>
      </w:pPr>
      <w:r>
        <w:t xml:space="preserve">行业与宏观新闻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2026-03-21</w:t>
      </w:r>
      <w:r>
        <w:t xml:space="preserve">：美国对华AI芯片出口管制升级，限制7nm以下AI芯片出口 → 影响：中性，利好国内算力厂商</w:t>
      </w:r>
    </w:p>
    <w:bookmarkEnd w:id="29"/>
    <w:bookmarkStart w:id="30" w:name="市场走势预测"/>
    <w:p>
      <w:pPr>
        <w:pStyle w:val="Heading3"/>
      </w:pPr>
      <w:r>
        <w:t xml:space="preserve">市场走势预测</w:t>
      </w:r>
    </w:p>
    <w:p>
      <w:pPr>
        <w:numPr>
          <w:ilvl w:val="0"/>
          <w:numId w:val="1004"/>
        </w:numPr>
        <w:pStyle w:val="Compact"/>
      </w:pPr>
      <w:r>
        <w:t xml:space="preserve">大盘预判：下周一美股半导体板块预计上涨3%-5%</w:t>
      </w:r>
    </w:p>
    <w:p>
      <w:pPr>
        <w:numPr>
          <w:ilvl w:val="0"/>
          <w:numId w:val="1004"/>
        </w:numPr>
        <w:pStyle w:val="Compact"/>
      </w:pPr>
      <w:r>
        <w:t xml:space="preserve">板块机会：AI算力、数据中心板块机会明确</w:t>
      </w:r>
    </w:p>
    <w:p>
      <w:pPr>
        <w:numPr>
          <w:ilvl w:val="0"/>
          <w:numId w:val="1004"/>
        </w:numPr>
        <w:pStyle w:val="Compact"/>
      </w:pPr>
      <w:r>
        <w:t xml:space="preserve">风险提示：美联储加息预期升温，可能带来短期波动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七市场情绪与预测"/>
    <w:p>
      <w:pPr>
        <w:pStyle w:val="Heading2"/>
      </w:pPr>
      <w:r>
        <w:t xml:space="preserve">😊 七、市场情绪与预测</w:t>
      </w:r>
    </w:p>
    <w:bookmarkStart w:id="32" w:name="当日情绪指标"/>
    <w:p>
      <w:pPr>
        <w:pStyle w:val="Heading3"/>
      </w:pPr>
      <w:r>
        <w:t xml:space="preserve">当日情绪指标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恐慌指数VIX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低恐慌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美股恐惧贪婪指数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个股看涨/看跌期权比例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北向资金当日净流入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小幅流入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两市成交额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11200亿元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</w:t>
            </w:r>
          </w:p>
        </w:tc>
      </w:tr>
    </w:tbl>
    <w:bookmarkEnd w:id="32"/>
    <w:bookmarkStart w:id="33" w:name="未来3日情绪预测"/>
    <w:p>
      <w:pPr>
        <w:pStyle w:val="Heading3"/>
      </w:pPr>
      <w:r>
        <w:t xml:space="preserve">未来3日情绪预测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情绪预判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市场走势预判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上涨0.5%-1.5%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T+2日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T+3日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上涨1%-2%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八自选关注股票池动态"/>
    <w:p>
      <w:pPr>
        <w:pStyle w:val="Heading2"/>
      </w:pPr>
      <w:r>
        <w:t xml:space="preserve">👀 八、自选关注股票池动态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当日涨跌幅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最新综合评分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超威半导体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$128.34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US.AVGO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接近开仓阈值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九财报与业绩预测"/>
    <w:p>
      <w:pPr>
        <w:pStyle w:val="Heading2"/>
      </w:pPr>
      <w:r>
        <w:t xml:space="preserve">📈 九、财报与业绩预测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财报披露时间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预期营收增速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超预期概率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对股价影响预期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超威半导体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十风险提示与操作建议"/>
    <w:p>
      <w:pPr>
        <w:pStyle w:val="Heading2"/>
      </w:pPr>
      <w:r>
        <w:t xml:space="preserve">⚠️ 十、风险提示与操作建议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系统性风险</w:t>
      </w:r>
      <w:r>
        <w:t xml:space="preserve">：美联储3月议息会议临近，加息预期可能带来市场短期波动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非系统性风险</w:t>
      </w:r>
      <w:r>
        <w:t xml:space="preserve">：英伟达当前浮亏3.04%，VRT浮亏4.85%，均未到止损线，继续持有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操作建议</w:t>
      </w:r>
      <w:r>
        <w:t xml:space="preserve">：关注下周一博通走势，若评分达到70分可按2%仓位开仓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报告生成时间</w:t>
      </w:r>
      <w:r>
        <w:t xml:space="preserve">：2026-03-21 15:25:00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2026-03-21T07:24:40Z</dcterms:created>
  <dcterms:modified xsi:type="dcterms:W3CDTF">2026-03-21T07:24:40Z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