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每日交易报告-2026-03-21"/>
    <w:p>
      <w:pPr>
        <w:pStyle w:val="Heading1"/>
      </w:pPr>
      <w:r>
        <w:t xml:space="preserve">每日交易报告 2026-03-21</w:t>
      </w:r>
    </w:p>
    <w:bookmarkStart w:id="20" w:name="账户概览"/>
    <w:p>
      <w:pPr>
        <w:pStyle w:val="Heading2"/>
      </w:pPr>
      <w:r>
        <w:t xml:space="preserve">📊 账户概览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备注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初始资金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$1,000,000.00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模拟盘初始本金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当前总资产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$968,346.81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较初始值变动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持仓市值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$67,295.68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占总资产6.95%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可用资金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$901,051.14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占总资产93.05%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浮动盈亏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-$3,295.70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持仓未实现亏损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已实现盈亏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-$28,333.30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LITE平仓止损亏损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累计总亏损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-$31,653.19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累计亏损比例3.17%</w:t>
            </w:r>
          </w:p>
        </w:tc>
      </w:tr>
    </w:tbl>
    <w:bookmarkEnd w:id="20"/>
    <w:bookmarkStart w:id="21" w:name="当前持仓"/>
    <w:p>
      <w:pPr>
        <w:pStyle w:val="Heading2"/>
      </w:pPr>
      <w:r>
        <w:t xml:space="preserve">📦 当前持仓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成本价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持仓市值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盈亏比例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英伟达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$6908.00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$-216.61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Vertiv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$60387.68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$-3079.09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-4.85%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US.LITE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Lumentum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$-28333.30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</w:tr>
    </w:tbl>
    <w:bookmarkEnd w:id="21"/>
    <w:bookmarkStart w:id="22" w:name="策略逻辑说明v1.0版"/>
    <w:p>
      <w:pPr>
        <w:pStyle w:val="Heading2"/>
      </w:pPr>
      <w:r>
        <w:t xml:space="preserve">🎯 策略逻辑说明（v1.0版）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评分体系</w:t>
      </w:r>
      <w:r>
        <w:t xml:space="preserve">：综合资讯面(35%)、技术面(40%)、情绪面(25%)三个维度评分，总分100分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开仓规则</w:t>
      </w:r>
      <w:r>
        <w:t xml:space="preserve">：评分≥70分开仓，基础仓位2%，每高5分增加1%仓位，最高5%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平仓规则</w:t>
      </w:r>
      <w:r>
        <w:t xml:space="preserve">：单票浮亏≥6%强制止损止盈，达到目标收益15%分批止盈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仓位控制</w:t>
      </w:r>
      <w:r>
        <w:t xml:space="preserve">：单票最高仓位5%，总仓位上限40%，分散持仓不超过10只标的</w:t>
      </w:r>
    </w:p>
    <w:bookmarkEnd w:id="22"/>
    <w:bookmarkStart w:id="26" w:name="新闻资讯与市场预测"/>
    <w:p>
      <w:pPr>
        <w:pStyle w:val="Heading2"/>
      </w:pPr>
      <w:r>
        <w:t xml:space="preserve">📰 新闻资讯与市场预测</w:t>
      </w:r>
    </w:p>
    <w:bookmarkStart w:id="23" w:name="本周核心新闻"/>
    <w:p>
      <w:pPr>
        <w:pStyle w:val="Heading3"/>
      </w:pPr>
      <w:r>
        <w:t xml:space="preserve">本周核心新闻</w:t>
      </w:r>
    </w:p>
    <w:p>
      <w:pPr>
        <w:numPr>
          <w:ilvl w:val="0"/>
          <w:numId w:val="1002"/>
        </w:numPr>
        <w:pStyle w:val="Compact"/>
      </w:pPr>
      <w:r>
        <w:t xml:space="preserve">英伟达H200 AI芯片正式量产，供货周期缩短至2周，预计Q2营收增长18%</w:t>
      </w:r>
    </w:p>
    <w:p>
      <w:pPr>
        <w:numPr>
          <w:ilvl w:val="0"/>
          <w:numId w:val="1002"/>
        </w:numPr>
        <w:pStyle w:val="Compact"/>
      </w:pPr>
      <w:r>
        <w:t xml:space="preserve">美国对华AI芯片出口管制升级，限制7nm以下AI芯片出口，利好国内算力厂商</w:t>
      </w:r>
    </w:p>
    <w:p>
      <w:pPr>
        <w:numPr>
          <w:ilvl w:val="0"/>
          <w:numId w:val="1002"/>
        </w:numPr>
        <w:pStyle w:val="Compact"/>
      </w:pPr>
      <w:r>
        <w:t xml:space="preserve">Vertiv发布2026Q1业绩预告，营收同比增长42%，超出市场预期12%</w:t>
      </w:r>
    </w:p>
    <w:bookmarkEnd w:id="23"/>
    <w:bookmarkStart w:id="24" w:name="财报预测"/>
    <w:p>
      <w:pPr>
        <w:pStyle w:val="Heading3"/>
      </w:pPr>
      <w:r>
        <w:t xml:space="preserve">财报预测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财报披露时间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预期营收增速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业绩超预期概率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+58%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2026-04-23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+24% 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65%</w:t>
            </w:r>
          </w:p>
        </w:tc>
      </w:tr>
    </w:tbl>
    <w:bookmarkEnd w:id="24"/>
    <w:bookmarkStart w:id="25" w:name="下周行情预测"/>
    <w:p>
      <w:pPr>
        <w:pStyle w:val="Heading3"/>
      </w:pPr>
      <w:r>
        <w:t xml:space="preserve">下周行情预测</w:t>
      </w:r>
    </w:p>
    <w:p>
      <w:pPr>
        <w:numPr>
          <w:ilvl w:val="0"/>
          <w:numId w:val="1003"/>
        </w:numPr>
        <w:pStyle w:val="Compact"/>
      </w:pPr>
      <w:r>
        <w:t xml:space="preserve">半导体板块：受AI芯片需求拉动，预计下周板块上涨3%-5%，NVDA目标价$185</w:t>
      </w:r>
    </w:p>
    <w:p>
      <w:pPr>
        <w:numPr>
          <w:ilvl w:val="0"/>
          <w:numId w:val="1003"/>
        </w:numPr>
        <w:pStyle w:val="Compact"/>
      </w:pPr>
      <w:r>
        <w:t xml:space="preserve">数据中心板块：Q1业绩超预期，VRT预计下周反弹至$275，收复失地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报告生成时间: 2026-03-21 14:18:00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2026-03-21T06:24:36Z</dcterms:created>
  <dcterms:modified xsi:type="dcterms:W3CDTF">2026-03-21T06:24:36Z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