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2"/>
          <w:szCs w:val="32"/>
        </w:rPr>
        <w:t xml:space="preserve">MANAGEMENT TAKEOVER &amp; EQUITY EARN-IN PROPOSAL</w:t>
      </w:r>
    </w:p>
    <w:p>
      <w:pPr>
        <w:spacing w:after="40"/>
      </w:pPr>
      <w:r>
        <w:rPr>
          <w:rFonts w:ascii="Arial" w:cs="Arial" w:eastAsia="Arial" w:hAnsi="Arial"/>
          <w:b/>
          <w:bCs/>
          <w:i w:val="false"/>
          <w:iCs w:val="false"/>
          <w:sz w:val="24"/>
          <w:szCs w:val="24"/>
        </w:rPr>
        <w:t xml:space="preserve">WRAPCO New Auto Accessories LLC — Al Quoz 1, Dubai</w:t>
      </w:r>
    </w:p>
    <w:p>
      <w:pPr>
        <w:spacing w:after="40"/>
      </w:pPr>
      <w:r>
        <w:rPr>
          <w:rFonts w:ascii="Arial" w:cs="Arial" w:eastAsia="Arial" w:hAnsi="Arial"/>
          <w:b w:val="false"/>
          <w:bCs w:val="false"/>
          <w:i w:val="false"/>
          <w:iCs w:val="false"/>
          <w:color w:val="595959"/>
          <w:sz w:val="21"/>
          <w:szCs w:val="21"/>
        </w:rPr>
        <w:t xml:space="preserve">Prepared by: Sean G. (“the Operator”)   •   For: the Owner, WRAPCO   •   July 2026</w:t>
      </w:r>
    </w:p>
    <w:p>
      <w:pPr>
        <w:spacing w:after="200"/>
      </w:pPr>
      <w:r>
        <w:rPr>
          <w:rFonts w:ascii="Arial" w:cs="Arial" w:eastAsia="Arial" w:hAnsi="Arial"/>
          <w:b w:val="false"/>
          <w:bCs w:val="false"/>
          <w:i/>
          <w:iCs/>
          <w:color w:val="595959"/>
          <w:sz w:val="21"/>
          <w:szCs w:val="21"/>
        </w:rPr>
        <w:t xml:space="preserve">Draft for discussion — non-binding heads of terms. Definitive agreements to be prepared by UAE counsel.</w:t>
      </w:r>
    </w:p>
    <w:p>
      <w:pPr>
        <w:pStyle w:val="Heading1"/>
        <w:spacing w:after="120" w:before="240"/>
      </w:pPr>
      <w:r>
        <w:rPr>
          <w:rFonts w:ascii="Arial" w:cs="Arial" w:eastAsia="Arial" w:hAnsi="Arial"/>
          <w:b/>
          <w:bCs/>
          <w:color w:val="1F3864"/>
          <w:sz w:val="26"/>
          <w:szCs w:val="26"/>
        </w:rPr>
        <w:t xml:space="preserve">1. The Opportunity</w:t>
      </w:r>
    </w:p>
    <w:p>
      <w:pPr>
        <w:spacing w:after="120"/>
      </w:pPr>
      <w:r>
        <w:rPr>
          <w:rFonts w:ascii="Arial" w:cs="Arial" w:eastAsia="Arial" w:hAnsi="Arial"/>
          <w:b w:val="false"/>
          <w:bCs w:val="false"/>
          <w:i w:val="false"/>
          <w:iCs w:val="false"/>
          <w:sz w:val="21"/>
          <w:szCs w:val="21"/>
        </w:rPr>
        <w:t xml:space="preserve">WRAPCO holds one of only 12 XPEL authorizations in Dubai — a network that is now closed to new entrants. Approved centers sell genuine, factory-warranted XPEL at premium pricing (published approved-channel pricing starts at ~AED 15,300 + VAT full body; unauthorized shops advertising “XPEL” at AED 6–11k cannot register an XPEL factory warranty and are frequently selling grey-market or counterfeit film). This makes XPEL PPF the rare product in this market where competition is won on marketing and sales execution — not price.</w:t>
      </w:r>
    </w:p>
    <w:p>
      <w:pPr>
        <w:spacing w:after="200"/>
      </w:pPr>
      <w:r>
        <w:rPr>
          <w:rFonts w:ascii="Arial" w:cs="Arial" w:eastAsia="Arial" w:hAnsi="Arial"/>
          <w:b w:val="false"/>
          <w:bCs w:val="false"/>
          <w:i w:val="false"/>
          <w:iCs w:val="false"/>
          <w:sz w:val="21"/>
          <w:szCs w:val="21"/>
        </w:rPr>
        <w:t xml:space="preserve">That is precisely the capability the Operator brings. The Operator currently generates PPF/tint leads at AED 30–40 per highly qualified lead (vs ~AED 80 for largely unqualified leads under current management), with proven booking funnels, CRM, retargeting systems and a sales process running live today. The plan: focus the full weight of that machine on XPEL PPF at a minimum AED 14,500 average ticket, targeting AED 500k+ in monthly revenue as installer capacity allows.</w:t>
      </w:r>
    </w:p>
    <w:p>
      <w:pPr>
        <w:pStyle w:val="Heading1"/>
        <w:spacing w:after="120" w:before="240"/>
      </w:pPr>
      <w:r>
        <w:rPr>
          <w:rFonts w:ascii="Arial" w:cs="Arial" w:eastAsia="Arial" w:hAnsi="Arial"/>
          <w:b/>
          <w:bCs/>
          <w:color w:val="1F3864"/>
          <w:sz w:val="26"/>
          <w:szCs w:val="26"/>
        </w:rPr>
        <w:t xml:space="preserve">2. Phase 0 — Conditions Precedent (before commencement)</w:t>
      </w:r>
    </w:p>
    <w:p>
      <w:pPr>
        <w:spacing w:after="80"/>
      </w:pPr>
      <w:r>
        <w:rPr>
          <w:rFonts w:ascii="Arial" w:cs="Arial" w:eastAsia="Arial" w:hAnsi="Arial"/>
          <w:b w:val="false"/>
          <w:bCs w:val="false"/>
          <w:i w:val="false"/>
          <w:iCs w:val="false"/>
          <w:sz w:val="21"/>
          <w:szCs w:val="21"/>
        </w:rPr>
        <w:t xml:space="preserve">The following must be satisfied and documented before the Operator commits:</w:t>
      </w:r>
    </w:p>
    <w:p>
      <w:pPr>
        <w:pStyle w:val="ListParagraph"/>
        <w:numPr>
          <w:ilvl w:val="0"/>
          <w:numId w:val="2"/>
        </w:numPr>
        <w:spacing w:after="60"/>
      </w:pPr>
      <w:r>
        <w:rPr>
          <w:rFonts w:ascii="Arial" w:cs="Arial" w:eastAsia="Arial" w:hAnsi="Arial"/>
          <w:b/>
          <w:bCs/>
          <w:sz w:val="21"/>
          <w:szCs w:val="21"/>
        </w:rPr>
        <w:t xml:space="preserve">XPEL locked in — </w:t>
      </w:r>
      <w:r>
        <w:rPr>
          <w:rFonts w:ascii="Arial" w:cs="Arial" w:eastAsia="Arial" w:hAnsi="Arial"/>
          <w:sz w:val="21"/>
          <w:szCs w:val="21"/>
        </w:rPr>
        <w:t xml:space="preserve">Owner provides the XPEL dealer agreement evidencing the minimum retail price (AED 14,500) and confirms the authorization is in good standing (recent XPEL film purchase invoices and/or distributor confirmation). Maintaining the XPEL authorization is, and remains, the Owner’s sole responsibility.</w:t>
      </w:r>
    </w:p>
    <w:p>
      <w:pPr>
        <w:pStyle w:val="ListParagraph"/>
        <w:numPr>
          <w:ilvl w:val="0"/>
          <w:numId w:val="2"/>
        </w:numPr>
        <w:spacing w:after="60"/>
      </w:pPr>
      <w:r>
        <w:rPr>
          <w:rFonts w:ascii="Arial" w:cs="Arial" w:eastAsia="Arial" w:hAnsi="Arial"/>
          <w:b/>
          <w:bCs/>
          <w:sz w:val="21"/>
          <w:szCs w:val="21"/>
        </w:rPr>
        <w:t xml:space="preserve">Clean slate — </w:t>
      </w:r>
      <w:r>
        <w:rPr>
          <w:rFonts w:ascii="Arial" w:cs="Arial" w:eastAsia="Arial" w:hAnsi="Arial"/>
          <w:sz w:val="21"/>
          <w:szCs w:val="21"/>
        </w:rPr>
        <w:t xml:space="preserve">Owner warrants he is the sole 100% shareholder, and discloses all company bank accounts, debts, post-dated cheques and material liabilities. All liabilities arising before commencement remain 100% the Owner’s (full indemnity).</w:t>
      </w:r>
    </w:p>
    <w:p>
      <w:pPr>
        <w:pStyle w:val="ListParagraph"/>
        <w:numPr>
          <w:ilvl w:val="0"/>
          <w:numId w:val="2"/>
        </w:numPr>
        <w:spacing w:after="60"/>
      </w:pPr>
      <w:r>
        <w:rPr>
          <w:rFonts w:ascii="Arial" w:cs="Arial" w:eastAsia="Arial" w:hAnsi="Arial"/>
          <w:b/>
          <w:bCs/>
          <w:sz w:val="21"/>
          <w:szCs w:val="21"/>
        </w:rPr>
        <w:t xml:space="preserve">Financial control — </w:t>
      </w:r>
      <w:r>
        <w:rPr>
          <w:rFonts w:ascii="Arial" w:cs="Arial" w:eastAsia="Arial" w:hAnsi="Arial"/>
          <w:sz w:val="21"/>
          <w:szCs w:val="21"/>
        </w:rPr>
        <w:t xml:space="preserve">A new operational bank account is opened with the Operator as authorized signatory with full oversight. All company revenue is routed through it; withdrawals above an agreed threshold require both signatures. Non-negotiable.</w:t>
      </w:r>
    </w:p>
    <w:p>
      <w:pPr>
        <w:pStyle w:val="Heading1"/>
        <w:spacing w:after="120" w:before="240"/>
      </w:pPr>
      <w:r>
        <w:rPr>
          <w:rFonts w:ascii="Arial" w:cs="Arial" w:eastAsia="Arial" w:hAnsi="Arial"/>
          <w:b/>
          <w:bCs/>
          <w:color w:val="1F3864"/>
          <w:sz w:val="26"/>
          <w:szCs w:val="26"/>
        </w:rPr>
        <w:t xml:space="preserve">3. Phase 1 — Operational Takeover (Months 1–6)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shd w:fill="D9E2F3" w:val="clear"/>
            <w:tcMar>
              <w:top w:type="dxa" w:w="60"/>
              <w:left w:type="dxa" w:w="100"/>
              <w:bottom w:type="dxa" w:w="60"/>
              <w:right w:type="dxa" w:w="100"/>
            </w:tcMar>
          </w:tcPr>
          <w:p>
            <w:pPr>
              <w:spacing w:after="0"/>
            </w:pPr>
            <w:r>
              <w:rPr>
                <w:rFonts w:ascii="Arial" w:cs="Arial" w:eastAsia="Arial" w:hAnsi="Arial"/>
                <w:b/>
                <w:bCs/>
                <w:sz w:val="20"/>
                <w:szCs w:val="20"/>
              </w:rPr>
              <w:t xml:space="preserve">Operator — full commercial control</w:t>
            </w:r>
          </w:p>
        </w:tc>
        <w:tc>
          <w:tcPr>
            <w:tcW w:type="dxa" w:w="4900"/>
            <w:shd w:fill="D9E2F3" w:val="clear"/>
            <w:tcMar>
              <w:top w:type="dxa" w:w="60"/>
              <w:left w:type="dxa" w:w="100"/>
              <w:bottom w:type="dxa" w:w="60"/>
              <w:right w:type="dxa" w:w="100"/>
            </w:tcMar>
          </w:tcPr>
          <w:p>
            <w:pPr>
              <w:spacing w:after="0"/>
            </w:pPr>
            <w:r>
              <w:rPr>
                <w:rFonts w:ascii="Arial" w:cs="Arial" w:eastAsia="Arial" w:hAnsi="Arial"/>
                <w:b/>
                <w:bCs/>
                <w:sz w:val="20"/>
                <w:szCs w:val="20"/>
              </w:rPr>
              <w:t xml:space="preserve">Owner — premises &amp; administration</w:t>
            </w:r>
          </w:p>
        </w:tc>
      </w:tr>
      <w:tr>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All marketing, funnels, ad spend allocation, CRM, booking systems, pricing (within XPEL terms), sales process, job workflow, and staffing input (hiring/scheduling of installers as volume grows).</w:t>
            </w:r>
          </w:p>
        </w:tc>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Lease and landlord relationship, government/PRO and licensing administration, XPEL and key supplier relationships, and all obligations existing before commencement.</w:t>
            </w:r>
          </w:p>
        </w:tc>
      </w:tr>
    </w:tbl>
    <w:p>
      <w:pPr>
        <w:spacing w:after="80"/>
      </w:pPr>
      <w:r>
        <w:rPr>
          <w:rFonts w:ascii="Arial" w:cs="Arial" w:eastAsia="Arial" w:hAnsi="Arial"/>
          <w:b w:val="false"/>
          <w:bCs w:val="false"/>
          <w:i w:val="false"/>
          <w:iCs w:val="false"/>
          <w:sz w:val="21"/>
          <w:szCs w:val="21"/>
        </w:rPr>
        <w:t xml:space="preserve"/>
      </w:r>
    </w:p>
    <w:p>
      <w:pPr>
        <w:spacing w:after="60"/>
      </w:pPr>
      <w:r>
        <w:rPr>
          <w:rFonts w:ascii="Arial" w:cs="Arial" w:eastAsia="Arial" w:hAnsi="Arial"/>
          <w:b/>
          <w:bCs/>
          <w:i w:val="false"/>
          <w:iCs w:val="false"/>
          <w:sz w:val="21"/>
          <w:szCs w:val="21"/>
        </w:rPr>
        <w:t xml:space="preserve">Compensation &amp; attribution:</w:t>
      </w:r>
    </w:p>
    <w:p>
      <w:pPr>
        <w:pStyle w:val="ListParagraph"/>
        <w:numPr>
          <w:ilvl w:val="0"/>
          <w:numId w:val="2"/>
        </w:numPr>
        <w:spacing w:after="60"/>
      </w:pPr>
      <w:r>
        <w:rPr>
          <w:rFonts w:ascii="Arial" w:cs="Arial" w:eastAsia="Arial" w:hAnsi="Arial"/>
          <w:sz w:val="21"/>
          <w:szCs w:val="21"/>
        </w:rPr>
        <w:t xml:space="preserve">Management fee of AED 15,000/month, funded by a 10% set-aside of PPF revenue. If cash flow does not permit payment in a given month, the unpaid amount accrues as a debt of the company — senior to any Owner drawing (no Owner distribution of any kind while Operator fees are outstanding), back-paid from profits, and immediately due on termination. Operator may elect to convert accrued unpaid fees into equity on Phase 2 terms.</w:t>
      </w:r>
    </w:p>
    <w:p>
      <w:pPr>
        <w:pStyle w:val="ListParagraph"/>
        <w:numPr>
          <w:ilvl w:val="0"/>
          <w:numId w:val="2"/>
        </w:numPr>
        <w:spacing w:after="60"/>
      </w:pPr>
      <w:r>
        <w:rPr>
          <w:rFonts w:ascii="Arial" w:cs="Arial" w:eastAsia="Arial" w:hAnsi="Arial"/>
          <w:sz w:val="21"/>
          <w:szCs w:val="21"/>
        </w:rPr>
        <w:t xml:space="preserve">All PPF revenue during the term is attributed to the Operator’s sales and marketing (including walk-ins and repeat customers, who are exposed to the same campaigns and sales process).</w:t>
      </w:r>
    </w:p>
    <w:p>
      <w:pPr>
        <w:pStyle w:val="ListParagraph"/>
        <w:numPr>
          <w:ilvl w:val="0"/>
          <w:numId w:val="2"/>
        </w:numPr>
        <w:spacing w:after="60"/>
      </w:pPr>
      <w:r>
        <w:rPr>
          <w:rFonts w:ascii="Arial" w:cs="Arial" w:eastAsia="Arial" w:hAnsi="Arial"/>
          <w:sz w:val="21"/>
          <w:szCs w:val="21"/>
        </w:rPr>
        <w:t xml:space="preserve">Marketing budget is a company obligation funded from revenue (target 10–15% of monthly revenue, mechanics agreed monthly). The Operator contributes systems and expertise — not cash.</w:t>
      </w:r>
    </w:p>
    <w:p>
      <w:pPr>
        <w:spacing w:after="60"/>
      </w:pPr>
      <w:r>
        <w:rPr>
          <w:rFonts w:ascii="Arial" w:cs="Arial" w:eastAsia="Arial" w:hAnsi="Arial"/>
          <w:b/>
          <w:bCs/>
          <w:i w:val="false"/>
          <w:iCs w:val="false"/>
          <w:sz w:val="21"/>
          <w:szCs w:val="21"/>
        </w:rPr>
        <w:t xml:space="preserve">Intellectual property &amp; exclusivity:</w:t>
      </w:r>
    </w:p>
    <w:p>
      <w:pPr>
        <w:pStyle w:val="ListParagraph"/>
        <w:numPr>
          <w:ilvl w:val="0"/>
          <w:numId w:val="2"/>
        </w:numPr>
        <w:spacing w:after="60"/>
      </w:pPr>
      <w:r>
        <w:rPr>
          <w:rFonts w:ascii="Arial" w:cs="Arial" w:eastAsia="Arial" w:hAnsi="Arial"/>
          <w:sz w:val="21"/>
          <w:szCs w:val="21"/>
        </w:rPr>
        <w:t xml:space="preserve">All funnels, ad accounts, content, creatives, booking pages, website assets and CRM remain the exclusive property of the Operator’s entity and are licensed to the company for the duration of this agreement only. If the Operator exits or is removed, the license — and the pipeline it generates — ends with it.</w:t>
      </w:r>
    </w:p>
    <w:p>
      <w:pPr>
        <w:pStyle w:val="ListParagraph"/>
        <w:numPr>
          <w:ilvl w:val="0"/>
          <w:numId w:val="2"/>
        </w:numPr>
        <w:spacing w:after="60"/>
      </w:pPr>
      <w:r>
        <w:rPr>
          <w:rFonts w:ascii="Arial" w:cs="Arial" w:eastAsia="Arial" w:hAnsi="Arial"/>
          <w:sz w:val="21"/>
          <w:szCs w:val="21"/>
        </w:rPr>
        <w:t xml:space="preserve">In return, the Operator markets PPF exclusively for WRAPCO (carve-out: the Operator’s existing tint/lower-segment business continues under separate management and does not compete for XPEL-tier PPF work).</w:t>
      </w:r>
    </w:p>
    <w:p>
      <w:pPr>
        <w:spacing w:after="60"/>
      </w:pPr>
      <w:r>
        <w:rPr>
          <w:rFonts w:ascii="Arial" w:cs="Arial" w:eastAsia="Arial" w:hAnsi="Arial"/>
          <w:b/>
          <w:bCs/>
          <w:i w:val="false"/>
          <w:iCs w:val="false"/>
          <w:sz w:val="21"/>
          <w:szCs w:val="21"/>
        </w:rPr>
        <w:t xml:space="preserve">Reporting, exit &amp; protection:</w:t>
      </w:r>
    </w:p>
    <w:p>
      <w:pPr>
        <w:pStyle w:val="ListParagraph"/>
        <w:numPr>
          <w:ilvl w:val="0"/>
          <w:numId w:val="2"/>
        </w:numPr>
        <w:spacing w:after="60"/>
      </w:pPr>
      <w:r>
        <w:rPr>
          <w:rFonts w:ascii="Arial" w:cs="Arial" w:eastAsia="Arial" w:hAnsi="Arial"/>
          <w:sz w:val="21"/>
          <w:szCs w:val="21"/>
        </w:rPr>
        <w:t xml:space="preserve">Shared live dashboard; monthly P&amp;L reconciled from garage-management software and bank statements. All jobs logged with source attribution.</w:t>
      </w:r>
    </w:p>
    <w:p>
      <w:pPr>
        <w:pStyle w:val="ListParagraph"/>
        <w:numPr>
          <w:ilvl w:val="0"/>
          <w:numId w:val="2"/>
        </w:numPr>
        <w:spacing w:after="60"/>
      </w:pPr>
      <w:r>
        <w:rPr>
          <w:rFonts w:ascii="Arial" w:cs="Arial" w:eastAsia="Arial" w:hAnsi="Arial"/>
          <w:sz w:val="21"/>
          <w:szCs w:val="21"/>
        </w:rPr>
        <w:t xml:space="preserve">Either party may terminate on 30 days’ notice. If the Owner terminates without cause: all accrued fees plus a break fee equal to 3 months’ fees become due, and the IP license ends immediately.</w:t>
      </w:r>
    </w:p>
    <w:p>
      <w:pPr>
        <w:pStyle w:val="ListParagraph"/>
        <w:numPr>
          <w:ilvl w:val="0"/>
          <w:numId w:val="2"/>
        </w:numPr>
        <w:spacing w:after="60"/>
      </w:pPr>
      <w:r>
        <w:rPr>
          <w:rFonts w:ascii="Arial" w:cs="Arial" w:eastAsia="Arial" w:hAnsi="Arial"/>
          <w:sz w:val="21"/>
          <w:szCs w:val="21"/>
        </w:rPr>
        <w:t xml:space="preserve">Loss or suspension of the XPEL authorization is a trigger event: all accrued amounts fall due and the Operator may exit or renegotiate.</w:t>
      </w:r>
    </w:p>
    <w:p>
      <w:pPr>
        <w:pStyle w:val="Heading1"/>
        <w:spacing w:after="120" w:before="240"/>
      </w:pPr>
      <w:r>
        <w:rPr>
          <w:rFonts w:ascii="Arial" w:cs="Arial" w:eastAsia="Arial" w:hAnsi="Arial"/>
          <w:b/>
          <w:bCs/>
          <w:color w:val="1F3864"/>
          <w:sz w:val="26"/>
          <w:szCs w:val="26"/>
        </w:rPr>
        <w:t xml:space="preserve">4. Phase 2 — Equity Earn-In (Months 7–24, headline terms)</w:t>
      </w:r>
    </w:p>
    <w:p>
      <w:pPr>
        <w:pStyle w:val="ListParagraph"/>
        <w:numPr>
          <w:ilvl w:val="0"/>
          <w:numId w:val="2"/>
        </w:numPr>
        <w:spacing w:after="60"/>
      </w:pPr>
      <w:r>
        <w:rPr>
          <w:rFonts w:ascii="Arial" w:cs="Arial" w:eastAsia="Arial" w:hAnsi="Arial"/>
          <w:sz w:val="21"/>
          <w:szCs w:val="21"/>
        </w:rPr>
        <w:t xml:space="preserve">Operator earns up to 50% of the company in quarterly tranches against pre-agreed KPIs — indicatively: bank-verified revenue targets; XPEL PPF units at ≥ AED 14,500 average ticket; a gross-margin floor; Google-review growth and CRM discipline.</w:t>
      </w:r>
    </w:p>
    <w:p>
      <w:pPr>
        <w:pStyle w:val="ListParagraph"/>
        <w:numPr>
          <w:ilvl w:val="0"/>
          <w:numId w:val="2"/>
        </w:numPr>
        <w:spacing w:after="60"/>
      </w:pPr>
      <w:r>
        <w:rPr>
          <w:rFonts w:ascii="Arial" w:cs="Arial" w:eastAsia="Arial" w:hAnsi="Arial"/>
          <w:sz w:val="21"/>
          <w:szCs w:val="21"/>
        </w:rPr>
        <w:t xml:space="preserve">Definitive earn-in terms to be negotiated in good faith during Month 5–6, with share-transfer documents pre-signed and held in escrow, executed per UAE notarization requirements as each tranche is certified.</w:t>
      </w:r>
    </w:p>
    <w:p>
      <w:pPr>
        <w:pStyle w:val="ListParagraph"/>
        <w:numPr>
          <w:ilvl w:val="0"/>
          <w:numId w:val="2"/>
        </w:numPr>
        <w:spacing w:after="60"/>
      </w:pPr>
      <w:r>
        <w:rPr>
          <w:rFonts w:ascii="Arial" w:cs="Arial" w:eastAsia="Arial" w:hAnsi="Arial"/>
          <w:sz w:val="21"/>
          <w:szCs w:val="21"/>
        </w:rPr>
        <w:t xml:space="preserve">Call option: the Operator receives the right to acquire the remaining 50% at a pre-agreed valuation formula, exercisable between months 18–36.</w:t>
      </w:r>
    </w:p>
    <w:p>
      <w:pPr>
        <w:pStyle w:val="Heading1"/>
        <w:spacing w:after="120" w:before="240"/>
      </w:pPr>
      <w:r>
        <w:rPr>
          <w:rFonts w:ascii="Arial" w:cs="Arial" w:eastAsia="Arial" w:hAnsi="Arial"/>
          <w:b/>
          <w:bCs/>
          <w:color w:val="1F3864"/>
          <w:sz w:val="26"/>
          <w:szCs w:val="26"/>
        </w:rPr>
        <w:t xml:space="preserve">5. What the Owner Gains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900"/>
        <w:gridCol w:w="4900"/>
      </w:tblGrid>
      <w:tr>
        <w:tc>
          <w:tcPr>
            <w:tcW w:type="dxa" w:w="4900"/>
            <w:shd w:fill="D9E2F3" w:val="clear"/>
            <w:tcMar>
              <w:top w:type="dxa" w:w="60"/>
              <w:left w:type="dxa" w:w="100"/>
              <w:bottom w:type="dxa" w:w="60"/>
              <w:right w:type="dxa" w:w="100"/>
            </w:tcMar>
          </w:tcPr>
          <w:p>
            <w:pPr>
              <w:spacing w:after="0"/>
            </w:pPr>
            <w:r>
              <w:rPr>
                <w:rFonts w:ascii="Arial" w:cs="Arial" w:eastAsia="Arial" w:hAnsi="Arial"/>
                <w:b/>
                <w:bCs/>
                <w:sz w:val="20"/>
                <w:szCs w:val="20"/>
              </w:rPr>
              <w:t xml:space="preserve">Today</w:t>
            </w:r>
          </w:p>
        </w:tc>
        <w:tc>
          <w:tcPr>
            <w:tcW w:type="dxa" w:w="4900"/>
            <w:shd w:fill="D9E2F3" w:val="clear"/>
            <w:tcMar>
              <w:top w:type="dxa" w:w="60"/>
              <w:left w:type="dxa" w:w="100"/>
              <w:bottom w:type="dxa" w:w="60"/>
              <w:right w:type="dxa" w:w="100"/>
            </w:tcMar>
          </w:tcPr>
          <w:p>
            <w:pPr>
              <w:spacing w:after="0"/>
            </w:pPr>
            <w:r>
              <w:rPr>
                <w:rFonts w:ascii="Arial" w:cs="Arial" w:eastAsia="Arial" w:hAnsi="Arial"/>
                <w:b/>
                <w:bCs/>
                <w:sz w:val="20"/>
                <w:szCs w:val="20"/>
              </w:rPr>
              <w:t xml:space="preserve">With this agreement</w:t>
            </w:r>
          </w:p>
        </w:tc>
      </w:tr>
      <w:tr>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~AED 140k/month banked revenue; account effectively flat across FY2025</w:t>
            </w:r>
          </w:p>
        </w:tc>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Proven demand engine targeting AED 500k+/month at protected XPEL pricing</w:t>
            </w:r>
          </w:p>
        </w:tc>
      </w:tr>
      <w:tr>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~AED 80 CPL, largely unqualified leads</w:t>
            </w:r>
          </w:p>
        </w:tc>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AED 30–40 CPL, highly qualified, with booking-page sales process and retargeting</w:t>
            </w:r>
          </w:p>
        </w:tc>
      </w:tr>
      <w:tr>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No management cost headroom</w:t>
            </w:r>
          </w:p>
        </w:tc>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Senior operator whose fee is self-funded from new PPF revenue — zero cash risk</w:t>
            </w:r>
          </w:p>
        </w:tc>
      </w:tr>
      <w:tr>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Informal records</w:t>
            </w:r>
          </w:p>
        </w:tc>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Clean, auditable books — which is what makes the Owner’s retained 50% bankable and sellable</w:t>
            </w:r>
          </w:p>
        </w:tc>
      </w:tr>
      <w:tr>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100% of a business that retains no cash</w:t>
            </w:r>
          </w:p>
        </w:tc>
        <w:tc>
          <w:tcPr>
            <w:tcW w:type="dxa" w:w="4900"/>
            <w:tcMar>
              <w:top w:type="dxa" w:w="60"/>
              <w:left w:type="dxa" w:w="100"/>
              <w:bottom w:type="dxa" w:w="60"/>
              <w:right w:type="dxa" w:w="100"/>
            </w:tcMar>
          </w:tcPr>
          <w:p>
            <w:pPr>
              <w:spacing w:after="0"/>
            </w:pPr>
            <w:r>
              <w:rPr>
                <w:rFonts w:ascii="Arial" w:cs="Arial" w:eastAsia="Arial" w:hAnsi="Arial"/>
                <w:b w:val="false"/>
                <w:bCs w:val="false"/>
                <w:sz w:val="20"/>
                <w:szCs w:val="20"/>
              </w:rPr>
              <w:t xml:space="preserve">50% of a scaled, price-protected XPEL operation — equity transfers only after banked, verified growth</w:t>
            </w:r>
          </w:p>
        </w:tc>
      </w:tr>
    </w:tbl>
    <w:p>
      <w:pPr>
        <w:spacing w:after="80"/>
      </w:pPr>
      <w:r>
        <w:rPr>
          <w:rFonts w:ascii="Arial" w:cs="Arial" w:eastAsia="Arial" w:hAnsi="Arial"/>
          <w:b w:val="false"/>
          <w:bCs w:val="false"/>
          <w:i w:val="false"/>
          <w:iCs w:val="false"/>
          <w:sz w:val="21"/>
          <w:szCs w:val="21"/>
        </w:rPr>
        <w:t xml:space="preserve"/>
      </w:r>
    </w:p>
    <w:p>
      <w:pPr>
        <w:spacing w:after="200"/>
      </w:pPr>
      <w:r>
        <w:rPr>
          <w:rFonts w:ascii="Arial" w:cs="Arial" w:eastAsia="Arial" w:hAnsi="Arial"/>
          <w:b w:val="false"/>
          <w:bCs w:val="false"/>
          <w:i/>
          <w:iCs/>
          <w:sz w:val="21"/>
          <w:szCs w:val="21"/>
        </w:rPr>
        <w:t xml:space="preserve">Every percentage point of equity the Operator earns is paid for in advance by verified revenue already banked in the company’s account. The Owner keeps half of something big instead of all of something stuck.</w:t>
      </w:r>
    </w:p>
    <w:p>
      <w:pPr>
        <w:pStyle w:val="Heading1"/>
        <w:spacing w:after="120" w:before="240"/>
      </w:pPr>
      <w:r>
        <w:rPr>
          <w:rFonts w:ascii="Arial" w:cs="Arial" w:eastAsia="Arial" w:hAnsi="Arial"/>
          <w:b/>
          <w:bCs/>
          <w:color w:val="1F3864"/>
          <w:sz w:val="26"/>
          <w:szCs w:val="26"/>
        </w:rPr>
        <w:t xml:space="preserve">6. Next Steps</w:t>
      </w:r>
    </w:p>
    <w:p>
      <w:pPr>
        <w:pStyle w:val="ListParagraph"/>
        <w:numPr>
          <w:ilvl w:val="0"/>
          <w:numId w:val="2"/>
        </w:numPr>
        <w:spacing w:after="60"/>
      </w:pPr>
      <w:r>
        <w:rPr>
          <w:rFonts w:ascii="Arial" w:cs="Arial" w:eastAsia="Arial" w:hAnsi="Arial"/>
          <w:sz w:val="21"/>
          <w:szCs w:val="21"/>
        </w:rPr>
        <w:t xml:space="preserve">Owner confirms intent and delivers the Phase 0 documents (XPEL agreement &amp; standing, ownership warranty, accounts disclosure).</w:t>
      </w:r>
    </w:p>
    <w:p>
      <w:pPr>
        <w:pStyle w:val="ListParagraph"/>
        <w:numPr>
          <w:ilvl w:val="0"/>
          <w:numId w:val="2"/>
        </w:numPr>
        <w:spacing w:after="60"/>
      </w:pPr>
      <w:r>
        <w:rPr>
          <w:rFonts w:ascii="Arial" w:cs="Arial" w:eastAsia="Arial" w:hAnsi="Arial"/>
          <w:sz w:val="21"/>
          <w:szCs w:val="21"/>
        </w:rPr>
        <w:t xml:space="preserve">Parties instruct UAE counsel to draft the management agreement and shareholders’/option agreement.</w:t>
      </w:r>
    </w:p>
    <w:p>
      <w:pPr>
        <w:pStyle w:val="ListParagraph"/>
        <w:numPr>
          <w:ilvl w:val="0"/>
          <w:numId w:val="2"/>
        </w:numPr>
        <w:spacing w:after="60"/>
      </w:pPr>
      <w:r>
        <w:rPr>
          <w:rFonts w:ascii="Arial" w:cs="Arial" w:eastAsia="Arial" w:hAnsi="Arial"/>
          <w:sz w:val="21"/>
          <w:szCs w:val="21"/>
        </w:rPr>
        <w:t xml:space="preserve">Operational account opened; systems onboarding; campaign launch within 14 days of signature.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2026-07-13T14:29:25.930Z</dcterms:created>
  <dcterms:modified xsi:type="dcterms:W3CDTF">2026-07-13T14:29:25.932Z</dcterms:modified>
</cp:coreProperties>
</file>

<file path=docProps/custom.xml><?xml version="1.0" encoding="utf-8"?>
<Properties xmlns="http://schemas.openxmlformats.org/officeDocument/2006/custom-properties" xmlns:vt="http://schemas.openxmlformats.org/officeDocument/2006/docPropsVTypes"/>
</file>