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a6703765ff7fe708e21fe7bfa8785cf58170a5f"/>
    <w:p>
      <w:pPr>
        <w:pStyle w:val="Heading1"/>
        <w:keepNext/>
      </w:pPr>
      <w:r>
        <w:t xml:space="preserve">2.5 Algebraische Struktur und Konsistenz des Funktionalen Raum-Zeit-Kohärenzsystems</w:t>
      </w:r>
    </w:p>
    <w:bookmarkStart w:id="20" w:name="algebra-lokaler-funktionskeime"/>
    <w:p>
      <w:pPr>
        <w:pStyle w:val="Heading2"/>
        <w:keepNext/>
      </w:pPr>
      <w:r>
        <w:t xml:space="preserve">2.5.1 Algebra lokaler Funktionskeime</w:t>
      </w:r>
    </w:p>
    <w:p>
      <w:pPr>
        <w:pStyle w:val="FirstParagraph"/>
      </w:pPr>
      <w:r>
        <w:t xml:space="preserve">Die vier gerichteten FRZK-Grenzsymbole erlauben es, positive und negative Nullannäherungen sowie positive und negative Unendlichkeiten innerhalb festgelegter Grenzbereiche zu unterscheiden. In den vorausgehenden Abschnitten habe ich diese qualitative Einordnung um asymptotische Leitordnungen und um Verfahren zur Auswertung zusammengesetzter Ausdrücke erweitert. Damit stellt sich die grundlegende Frage, welche algebraischen Gesetze ich auf der reduzierten Symbolebene tatsächlich verwenden darf. Die Richtigkeit einzelner Rechentafeln genügt für einen solchen Nachweis nicht: Entscheidend ist, ob sämtliche erlaubten Rechenwege mit der gewöhnlichen Funktionsebene vereinbar bleiben.</w:t>
      </w:r>
    </w:p>
    <w:p>
      <w:pPr>
        <w:pStyle w:val="BodyText"/>
      </w:pPr>
      <w:r>
        <w:t xml:space="preserve">Ich nehme hierfür eine mathematisch eindeutig bestimmte Basis an. Der Grenzparameter liegt in einem positiven Intervall und nähert sich von rechts der Null. Alle beteiligten reellwertigen Funktionen sind auf einem gegebenenfalls verkleinerten Intervall definiert. Zwei Funktionen gelten lokal als gleich, sobald sie auf einem hinreichend kleinen gemeinsamen Intervall identisch übereinstimmen. Diese Konstruktion entspricht dem in der lokalen Analysis eingeführten Begriff des Funktionskeims. {[Encyclopedia of Mathematics: „Germ“; Begriff des Funktionskeims und Vererbung algebraischer Operationen.]}[[9]]</w:t>
      </w:r>
    </w:p>
    <w:p>
      <w:pPr>
        <w:pStyle w:val="BodyText"/>
        <w:keepNext/>
        <w:spacing w:before="140" w:after="40"/>
        <w:jc w:val="center"/>
      </w:pPr>
      <w:r>
        <w:drawing>
          <wp:inline>
            <wp:extent cx="1878330" cy="247649"/>
            <wp:docPr id="1" name="Picture 1"/>
            <wp:cNvGraphicFramePr>
              <a:graphicFrameLocks noChangeAspect="1"/>
            </wp:cNvGraphicFramePr>
            <a:graphic>
              <a:graphicData uri="http://schemas.openxmlformats.org/drawingml/2006/picture">
                <pic:pic>
                  <pic:nvPicPr>
                    <pic:cNvPr id="0" name="math_01.png"/>
                    <pic:cNvPicPr/>
                  </pic:nvPicPr>
                  <pic:blipFill>
                    <a:blip r:embed="rId9"/>
                    <a:stretch>
                      <a:fillRect/>
                    </a:stretch>
                  </pic:blipFill>
                  <pic:spPr>
                    <a:xfrm>
                      <a:off x="0" y="0"/>
                      <a:ext cx="1878330" cy="247649"/>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t\in(0,\varepsilon),\quad t\to0^{+},\quad\varepsilon&gt;0</w:t>
      </w:r>
    </w:p>
    <w:p>
      <w:pPr>
        <w:pStyle w:val="BodyText"/>
        <w:keepNext/>
        <w:spacing w:before="140" w:after="40"/>
        <w:jc w:val="center"/>
      </w:pPr>
      <w:r>
        <w:drawing>
          <wp:inline>
            <wp:extent cx="3070860" cy="228600"/>
            <wp:docPr id="2" name="Picture 2"/>
            <wp:cNvGraphicFramePr>
              <a:graphicFrameLocks noChangeAspect="1"/>
            </wp:cNvGraphicFramePr>
            <a:graphic>
              <a:graphicData uri="http://schemas.openxmlformats.org/drawingml/2006/picture">
                <pic:pic>
                  <pic:nvPicPr>
                    <pic:cNvPr id="0" name="math_02.png"/>
                    <pic:cNvPicPr/>
                  </pic:nvPicPr>
                  <pic:blipFill>
                    <a:blip r:embed="rId10"/>
                    <a:stretch>
                      <a:fillRect/>
                    </a:stretch>
                  </pic:blipFill>
                  <pic:spPr>
                    <a:xfrm>
                      <a:off x="0" y="0"/>
                      <a:ext cx="307086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u\sim_{\mathrm{lok}}v\ \Longleftrightarrow\ \exists\delta&gt;0\ \forall t\in(0,\delta):\ u(t)=v(t)</w:t>
      </w:r>
    </w:p>
    <w:p>
      <w:pPr>
        <w:pStyle w:val="BodyText"/>
      </w:pPr>
      <w:r>
        <w:t xml:space="preserve">Die Relation lokaler Gleichheit ist reflexiv, symmetrisch und transitiv. Die zugehörigen Äquivalenzklassen werden durch eckige Klammern gekennzeichnet. Auf ihnen definiere ich Addition und Multiplikation über Repräsentanten. Weil lokal gleiche Funktionen unter punktweiser Addition und Multiplikation lokal gleiche Ergebnisse liefern, hängen die so erhaltenen Klassen nicht von der Wahl eines konkreten Repräsentanten ab.</w:t>
      </w:r>
    </w:p>
    <w:p>
      <w:pPr>
        <w:pStyle w:val="BodyText"/>
        <w:keepNext/>
        <w:spacing w:before="140" w:after="40"/>
        <w:jc w:val="center"/>
      </w:pPr>
      <w:r>
        <w:drawing>
          <wp:inline>
            <wp:extent cx="2377440" cy="228600"/>
            <wp:docPr id="3" name="Picture 3"/>
            <wp:cNvGraphicFramePr>
              <a:graphicFrameLocks noChangeAspect="1"/>
            </wp:cNvGraphicFramePr>
            <a:graphic>
              <a:graphicData uri="http://schemas.openxmlformats.org/drawingml/2006/picture">
                <pic:pic>
                  <pic:nvPicPr>
                    <pic:cNvPr id="0" name="math_03.png"/>
                    <pic:cNvPicPr/>
                  </pic:nvPicPr>
                  <pic:blipFill>
                    <a:blip r:embed="rId11"/>
                    <a:stretch>
                      <a:fillRect/>
                    </a:stretch>
                  </pic:blipFill>
                  <pic:spPr>
                    <a:xfrm>
                      <a:off x="0" y="0"/>
                      <a:ext cx="237744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[u]+[v]=[u+v],\qquad [u]\,[v]=[uv]</w:t>
      </w:r>
    </w:p>
    <w:p>
      <w:pPr>
        <w:pStyle w:val="BodyText"/>
      </w:pPr>
      <w:r>
        <w:t xml:space="preserve">Die Gesamtheit reellwertiger Funktionskeime bildet unter diesen Operationen einen kommutativen Ring mit Einselement. Hier gelten die gewöhnlichen Gesetze der Addition und Multiplikation, weil sie bereits punktweise in den reellen Zahlen gelten. Eine Division durch einen Funktionskeim kann ich dagegen nicht in jedem Fall ausführen. Ein Kehrwert existiert auf dieser Ebene genau dann, wenn der betreffende Keim durch eine auf einem hinreichend kleinen Intervall nirgends verschwindende Funktion dargestellt wird. Ein von der Nullklasse verschiedener Keim kann dennoch Nullstellen besitzen, die sich am Grenzpunkt häufen; der Keimring ist deshalb im Allgemeinen kein Körper.</w:t>
      </w:r>
    </w:p>
    <w:p>
      <w:pPr>
        <w:pStyle w:val="BodyText"/>
      </w:pPr>
      <w:r>
        <w:t xml:space="preserve">Von der lokalen Gleichheit unterscheide ich die FRZK-Grenzklassifikation. Diese ordnet einer zulässigen Funktion lediglich ihren qualifizierten Grenzzustand zu. Zwei lokal verschiedene Funktionen können folglich dasselbe FRZK-Symbol besitzen. Das ist beabsichtigt, denn die Symbolik verdichtet das Grenzverhalten. Mit der Verdichtung kann jedoch Information verloren gehen, die für die Auswertung späterer Differenzen oder Quotienten notwendig ist.</w:t>
      </w:r>
    </w:p>
    <w:p>
      <w:pPr>
        <w:pStyle w:val="BodyText"/>
        <w:keepNext/>
        <w:spacing w:before="140" w:after="40"/>
        <w:jc w:val="center"/>
      </w:pPr>
      <w:r>
        <w:drawing>
          <wp:inline>
            <wp:extent cx="1367790" cy="266700"/>
            <wp:docPr id="4" name="Picture 4"/>
            <wp:cNvGraphicFramePr>
              <a:graphicFrameLocks noChangeAspect="1"/>
            </wp:cNvGraphicFramePr>
            <a:graphic>
              <a:graphicData uri="http://schemas.openxmlformats.org/drawingml/2006/picture">
                <pic:pic>
                  <pic:nvPicPr>
                    <pic:cNvPr id="0" name="math_04.png"/>
                    <pic:cNvPicPr/>
                  </pic:nvPicPr>
                  <pic:blipFill>
                    <a:blip r:embed="rId12"/>
                    <a:stretch>
                      <a:fillRect/>
                    </a:stretch>
                  </pic:blipFill>
                  <pic:spPr>
                    <a:xfrm>
                      <a:off x="0" y="0"/>
                      <a:ext cx="1367790" cy="2667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\sigma_{\mathsf{F}}(t)=\sigma_{\mathsf{F}}(t^{2})=0_{+}^{\mathsf{F}}</w:t>
      </w:r>
    </w:p>
    <w:p>
      <w:pPr>
        <w:pStyle w:val="BodyText"/>
      </w:pPr>
      <w:r>
        <w:t xml:space="preserve">Die beiden Funktionen dieses Beispiels sind lokal nicht gleich. Ihre Differenzen zu einer dritten Funktion können verschiedene Grenzrichtungen besitzen. Damit kann die Übereinstimmung einer FRZK-Klassifikation nicht als uneingeschränkte algebraische Gleichheit der zugrunde liegenden Funktionskeime gelesen werden. Dies ist die erste notwendige Abgrenzung der FRZK-Symbolrechnung.</w:t>
      </w:r>
    </w:p>
    <w:p>
      <w:pPr>
        <w:pStyle w:val="BodyText"/>
        <w:keepNext/>
        <w:spacing w:before="140" w:after="40"/>
        <w:jc w:val="center"/>
      </w:pPr>
      <w:r>
        <w:drawing>
          <wp:inline>
            <wp:extent cx="2286000" cy="266700"/>
            <wp:docPr id="5" name="Picture 5"/>
            <wp:cNvGraphicFramePr>
              <a:graphicFrameLocks noChangeAspect="1"/>
            </wp:cNvGraphicFramePr>
            <a:graphic>
              <a:graphicData uri="http://schemas.openxmlformats.org/drawingml/2006/picture">
                <pic:pic>
                  <pic:nvPicPr>
                    <pic:cNvPr id="0" name="math_05.png"/>
                    <pic:cNvPicPr/>
                  </pic:nvPicPr>
                  <pic:blipFill>
                    <a:blip r:embed="rId13"/>
                    <a:stretch>
                      <a:fillRect/>
                    </a:stretch>
                  </pic:blipFill>
                  <pic:spPr>
                    <a:xfrm>
                      <a:off x="0" y="0"/>
                      <a:ext cx="2286000" cy="2667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\sigma_{\mathsf{F}}(t-t)=0,\qquad\sigma_{\mathsf{F}}(t^{2}-t)=0_{-}^{\mathsf{F}}</w:t>
      </w:r>
    </w:p>
    <w:p>
      <w:pPr>
        <w:pStyle w:val="BodyText"/>
      </w:pPr>
      <w:r>
        <w:t xml:space="preserve">Auch ein endlicher gewöhnlicher Grenzwert darf nicht pauschal mit einer exakt konstanten Funktion identifiziert werden. Zwei Funktionen können denselben endlichen Grenzwert besitzen, sich ihm jedoch von unterschiedlichen Seiten nähern. Nach Subtraktion des gemeinsamen Grenzwerts liegen dann unterschiedliche gerichtete Nullzustände vor. Für meine Konstruktion folgt daraus, dass eine endliche Grenzwertangabe ebenfalls nur eine Klassifikation und keine vollständige funktionale Identität ist.</w:t>
      </w:r>
    </w:p>
    <w:p>
      <w:pPr>
        <w:pStyle w:val="BodyText"/>
        <w:keepNext/>
        <w:spacing w:before="140" w:after="40"/>
        <w:jc w:val="center"/>
      </w:pPr>
      <w:r>
        <w:drawing>
          <wp:inline>
            <wp:extent cx="2000250" cy="316230"/>
            <wp:docPr id="6" name="Picture 6"/>
            <wp:cNvGraphicFramePr>
              <a:graphicFrameLocks noChangeAspect="1"/>
            </wp:cNvGraphicFramePr>
            <a:graphic>
              <a:graphicData uri="http://schemas.openxmlformats.org/drawingml/2006/picture">
                <pic:pic>
                  <pic:nvPicPr>
                    <pic:cNvPr id="0" name="math_06.png"/>
                    <pic:cNvPicPr/>
                  </pic:nvPicPr>
                  <pic:blipFill>
                    <a:blip r:embed="rId14"/>
                    <a:stretch>
                      <a:fillRect/>
                    </a:stretch>
                  </pic:blipFill>
                  <pic:spPr>
                    <a:xfrm>
                      <a:off x="0" y="0"/>
                      <a:ext cx="2000250" cy="31623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\lim_{t\to0^{+}}(1+t)=\lim_{t\to0^{+}}(1-t)=1</w:t>
      </w:r>
    </w:p>
    <w:p>
      <w:pPr>
        <w:pStyle w:val="BodyText"/>
        <w:keepNext/>
        <w:spacing w:before="140" w:after="40"/>
        <w:jc w:val="center"/>
      </w:pPr>
      <w:r>
        <w:drawing>
          <wp:inline>
            <wp:extent cx="2960370" cy="266700"/>
            <wp:docPr id="7" name="Picture 7"/>
            <wp:cNvGraphicFramePr>
              <a:graphicFrameLocks noChangeAspect="1"/>
            </wp:cNvGraphicFramePr>
            <a:graphic>
              <a:graphicData uri="http://schemas.openxmlformats.org/drawingml/2006/picture">
                <pic:pic>
                  <pic:nvPicPr>
                    <pic:cNvPr id="0" name="math_07.png"/>
                    <pic:cNvPicPr/>
                  </pic:nvPicPr>
                  <pic:blipFill>
                    <a:blip r:embed="rId15"/>
                    <a:stretch>
                      <a:fillRect/>
                    </a:stretch>
                  </pic:blipFill>
                  <pic:spPr>
                    <a:xfrm>
                      <a:off x="0" y="0"/>
                      <a:ext cx="2960370" cy="2667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\sigma_{\mathsf{F}}((1+t)-1)=0_{+}^{\mathsf{F}},\quad\sigma_{\mathsf{F}}((1-t)-1)=0_{-}^{\mathsf{F}}</w:t>
      </w:r>
    </w:p>
    <w:p>
      <w:pPr>
        <w:pStyle w:val="BodyText"/>
      </w:pPr>
      <w:r>
        <w:t xml:space="preserve">Das FRZK verwendet daher zwei deutlich getrennte Ebenen. Auf der funktionalen Ebene bleiben die punktweisen reellen Operationen und ihre algebraischen Gesetze maßgeblich. Auf der Symbolebene stehen kompakte Klassifikationen zur Verfügung, deren Verrechenbarkeit an eine gesonderte Wohldefiniertheitsprüfung gebunden ist. Eine Vermischung dieser Ebenen würde die nachfolgenden Konsistenzfragen bereits im Ausgangspunkt unentscheidbar machen.</w:t>
      </w:r>
    </w:p>
    <w:bookmarkEnd w:id="20"/>
    <w:bookmarkStart w:id="21" w:name="partielle-symbolische-operationen"/>
    <w:p>
      <w:pPr>
        <w:pStyle w:val="Heading2"/>
        <w:keepNext/>
      </w:pPr>
      <w:r>
        <w:t xml:space="preserve">2.5.2 Partielle symbolische Operationen</w:t>
      </w:r>
    </w:p>
    <w:p>
      <w:pPr>
        <w:pStyle w:val="FirstParagraph"/>
      </w:pPr>
      <w:r>
        <w:t xml:space="preserve">Eine FRZK-Rechenoperation darf ich nur dann allgemein definieren, wenn sie für alle im betrachteten Geltungsbereich zulässigen Funktionsrepräsentanten zum selben klassifizierten Ergebnis führt. Die zugrunde liegende punktweise Operation muss dabei auf einem gemeinsamen lokalen Definitionsbereich zulässig sein. Bei einer Division sind insbesondere schließlich von null verschiedene Nenner erforderlich. Das Ergebnis muss außerdem in einer der vorgesehenen Klassen liegen, damit die Klassifikationsabbildung überhaupt angewendet werden kann.</w:t>
      </w:r>
    </w:p>
    <w:p>
      <w:pPr>
        <w:pStyle w:val="BodyText"/>
      </w:pPr>
      <w:r>
        <w:t xml:space="preserve">Zur formalen Beschreibung verwende ich ein eigenes Symbol für die FRZK-Operation. Ein Paar von Grenzsymbolen erhält genau dann ein allgemeines Ergebnis, wenn die Klassifikation der zugehörigen Funktionsverknüpfung gegenüber der Wahl der Repräsentanten invariant ist. Andernfalls bleibt die Operation auf dieser Informationsstufe nicht definiert. Eine nicht definierte Symboloperation ist kein Beweis dafür, dass die vollständige Funktionsrechnung keinen Grenzwert besitzt.</w:t>
      </w:r>
    </w:p>
    <w:p>
      <w:pPr>
        <w:pStyle w:val="BodyText"/>
        <w:keepNext/>
        <w:spacing w:before="140" w:after="40"/>
        <w:jc w:val="center"/>
      </w:pPr>
      <w:r>
        <w:drawing>
          <wp:inline>
            <wp:extent cx="3844290" cy="266700"/>
            <wp:docPr id="8" name="Picture 8"/>
            <wp:cNvGraphicFramePr>
              <a:graphicFrameLocks noChangeAspect="1"/>
            </wp:cNvGraphicFramePr>
            <a:graphic>
              <a:graphicData uri="http://schemas.openxmlformats.org/drawingml/2006/picture">
                <pic:pic>
                  <pic:nvPicPr>
                    <pic:cNvPr id="0" name="math_08.png"/>
                    <pic:cNvPicPr/>
                  </pic:nvPicPr>
                  <pic:blipFill>
                    <a:blip r:embed="rId16"/>
                    <a:stretch>
                      <a:fillRect/>
                    </a:stretch>
                  </pic:blipFill>
                  <pic:spPr>
                    <a:xfrm>
                      <a:off x="0" y="0"/>
                      <a:ext cx="3844290" cy="2667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a\,\widehat\circ_{\mathsf{F}}\,b=c\ \Longleftrightarrow\ \forall u\in\sigma_{\mathsf{F}}^{-1}(a),\ \forall v\in\sigma_{\mathsf{F}}^{-1}(b):\ \sigma_{\mathsf{F}}(u\circ v)=c</w:t>
      </w:r>
    </w:p>
    <w:p>
      <w:pPr>
        <w:pStyle w:val="BodyText"/>
      </w:pPr>
      <w:r>
        <w:t xml:space="preserve">Die vorstehende Bedingung wird nur für den Teilbereich herangezogen, in dem alle vorkommenden Funktionsoperationen und Klassifikationen definiert sind. Sie enthält keinen Anspruch auf eine überall definierte Algebra. Genau diese Beschränkung macht es möglich, einzelne Rechenregeln mathematisch abzuleiten, ohne unbestimmten Formen künstlich einen Wert zuzuweisen.</w:t>
      </w:r>
    </w:p>
    <w:p>
      <w:pPr>
        <w:pStyle w:val="BodyText"/>
      </w:pPr>
      <w:r>
        <w:t xml:space="preserve">Als allgemeines Beispiel betrachte ich die Addition zweier positiver gerichteter Nullwerte. Beide Repräsentanten sind schließlich strikt positiv und konvergieren gegen null. Ihre Summe besitzt deshalb dieselben beiden Eigenschaften. Die Regel ist unabhängig von den Annäherungsgeschwindigkeiten und damit unmittelbar zulässig.</w:t>
      </w:r>
    </w:p>
    <w:p>
      <w:pPr>
        <w:pStyle w:val="BodyText"/>
        <w:keepNext/>
        <w:spacing w:before="140" w:after="40"/>
        <w:jc w:val="center"/>
      </w:pPr>
      <w:r>
        <w:drawing>
          <wp:inline>
            <wp:extent cx="975360" cy="266700"/>
            <wp:docPr id="9" name="Picture 9"/>
            <wp:cNvGraphicFramePr>
              <a:graphicFrameLocks noChangeAspect="1"/>
            </wp:cNvGraphicFramePr>
            <a:graphic>
              <a:graphicData uri="http://schemas.openxmlformats.org/drawingml/2006/picture">
                <pic:pic>
                  <pic:nvPicPr>
                    <pic:cNvPr id="0" name="math_09.png"/>
                    <pic:cNvPicPr/>
                  </pic:nvPicPr>
                  <pic:blipFill>
                    <a:blip r:embed="rId17"/>
                    <a:stretch>
                      <a:fillRect/>
                    </a:stretch>
                  </pic:blipFill>
                  <pic:spPr>
                    <a:xfrm>
                      <a:off x="0" y="0"/>
                      <a:ext cx="975360" cy="2667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0_{+}^{\mathsf{F}}+0_{+}^{\mathsf{F}}=0_{+}^{\mathsf{F}}</w:t>
      </w:r>
    </w:p>
    <w:p>
      <w:pPr>
        <w:pStyle w:val="BodyText"/>
      </w:pPr>
      <w:r>
        <w:t xml:space="preserve">Entsprechend liefert das Produkt zweier negativer Unendlichkeitsklassen ein positiv unbegrenztes Ergebnis. Die unbeschränkten Beträge werden miteinander multipliziert; das Vorzeichen ergibt sich aus den gewöhnlichen Vorzeichenregeln. Auch der gerichtete Kehrwert ist unter der Voraussetzung eines schließlich von null verschiedenen Repräsentanten eindeutig.</w:t>
      </w:r>
    </w:p>
    <w:p>
      <w:pPr>
        <w:pStyle w:val="BodyText"/>
        <w:keepNext/>
        <w:spacing w:before="140" w:after="40"/>
        <w:jc w:val="center"/>
      </w:pPr>
      <w:r>
        <w:drawing>
          <wp:inline>
            <wp:extent cx="1135380" cy="266700"/>
            <wp:docPr id="10" name="Picture 10"/>
            <wp:cNvGraphicFramePr>
              <a:graphicFrameLocks noChangeAspect="1"/>
            </wp:cNvGraphicFramePr>
            <a:graphic>
              <a:graphicData uri="http://schemas.openxmlformats.org/drawingml/2006/picture">
                <pic:pic>
                  <pic:nvPicPr>
                    <pic:cNvPr id="0" name="math_10.png"/>
                    <pic:cNvPicPr/>
                  </pic:nvPicPr>
                  <pic:blipFill>
                    <a:blip r:embed="rId18"/>
                    <a:stretch>
                      <a:fillRect/>
                    </a:stretch>
                  </pic:blipFill>
                  <pic:spPr>
                    <a:xfrm>
                      <a:off x="0" y="0"/>
                      <a:ext cx="1135380" cy="2667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\infty_{-}^{\mathsf{F}}\cdot\infty_{-}^{\mathsf{F}}=\infty_{+}^{\mathsf{F}}</w:t>
      </w:r>
    </w:p>
    <w:p>
      <w:pPr>
        <w:pStyle w:val="BodyText"/>
        <w:keepNext/>
        <w:spacing w:before="140" w:after="40"/>
        <w:jc w:val="center"/>
      </w:pPr>
      <w:r>
        <w:drawing>
          <wp:inline>
            <wp:extent cx="727710" cy="445770"/>
            <wp:docPr id="11" name="Picture 11"/>
            <wp:cNvGraphicFramePr>
              <a:graphicFrameLocks noChangeAspect="1"/>
            </wp:cNvGraphicFramePr>
            <a:graphic>
              <a:graphicData uri="http://schemas.openxmlformats.org/drawingml/2006/picture">
                <pic:pic>
                  <pic:nvPicPr>
                    <pic:cNvPr id="0" name="math_11.png"/>
                    <pic:cNvPicPr/>
                  </pic:nvPicPr>
                  <pic:blipFill>
                    <a:blip r:embed="rId19"/>
                    <a:stretch>
                      <a:fillRect/>
                    </a:stretch>
                  </pic:blipFill>
                  <pic:spPr>
                    <a:xfrm>
                      <a:off x="0" y="0"/>
                      <a:ext cx="727710" cy="44577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\frac{1}{0_{-}^{\mathsf{F}}}=\infty_{-}^{\mathsf{F}}</w:t>
      </w:r>
    </w:p>
    <w:p>
      <w:pPr>
        <w:pStyle w:val="BodyText"/>
      </w:pPr>
      <w:r>
        <w:t xml:space="preserve">Demgegenüber ist die Summe einer positiven und einer negativen Unendlichkeit durch die beiden Grenzsymbole nicht bestimmt. Das Ergebnis hängt davon ab, welche Funktion betragsmäßig überwiegt oder ob sich ihre führenden Beiträge aufheben. Dasselbe gilt für den Quotienten zweier gerichteter Nullwerte sowie für das Produkt einer gerichteten Nullannäherung mit einer unendlich wachsenden Größe. Diese Ausdrücke dürfen deshalb nicht mit gewöhnlichen reellen Zahlenoperationen gleichgesetzt werden. {[Encyclopedia of Mathematics: „Infinity“; Unterschiede zwischen endlicher und erweiterter reeller Arithmetik.]}[[8]]</w:t>
      </w:r>
    </w:p>
    <w:p>
      <w:pPr>
        <w:pStyle w:val="BodyText"/>
        <w:keepNext/>
        <w:spacing w:before="140" w:after="40"/>
        <w:jc w:val="center"/>
      </w:pPr>
      <w:r>
        <w:drawing>
          <wp:inline>
            <wp:extent cx="2476500" cy="266700"/>
            <wp:docPr id="12" name="Picture 12"/>
            <wp:cNvGraphicFramePr>
              <a:graphicFrameLocks noChangeAspect="1"/>
            </wp:cNvGraphicFramePr>
            <a:graphic>
              <a:graphicData uri="http://schemas.openxmlformats.org/drawingml/2006/picture">
                <pic:pic>
                  <pic:nvPicPr>
                    <pic:cNvPr id="0" name="math_12.png"/>
                    <pic:cNvPicPr/>
                  </pic:nvPicPr>
                  <pic:blipFill>
                    <a:blip r:embed="rId20"/>
                    <a:stretch>
                      <a:fillRect/>
                    </a:stretch>
                  </pic:blipFill>
                  <pic:spPr>
                    <a:xfrm>
                      <a:off x="0" y="0"/>
                      <a:ext cx="2476500" cy="2667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\infty_{+}^{\mathsf{F}}+\infty_{-}^{\mathsf{F}}\quad\text{nicht allgemein definiert}</w:t>
      </w:r>
    </w:p>
    <w:p>
      <w:pPr>
        <w:pStyle w:val="BodyText"/>
        <w:keepNext/>
        <w:spacing w:before="140" w:after="40"/>
        <w:jc w:val="center"/>
      </w:pPr>
      <w:r>
        <w:drawing>
          <wp:inline>
            <wp:extent cx="1996439" cy="491490"/>
            <wp:docPr id="13" name="Picture 13"/>
            <wp:cNvGraphicFramePr>
              <a:graphicFrameLocks noChangeAspect="1"/>
            </wp:cNvGraphicFramePr>
            <a:graphic>
              <a:graphicData uri="http://schemas.openxmlformats.org/drawingml/2006/picture">
                <pic:pic>
                  <pic:nvPicPr>
                    <pic:cNvPr id="0" name="math_13.png"/>
                    <pic:cNvPicPr/>
                  </pic:nvPicPr>
                  <pic:blipFill>
                    <a:blip r:embed="rId21"/>
                    <a:stretch>
                      <a:fillRect/>
                    </a:stretch>
                  </pic:blipFill>
                  <pic:spPr>
                    <a:xfrm>
                      <a:off x="0" y="0"/>
                      <a:ext cx="1996439" cy="49149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\frac{0_{+}^{\mathsf{F}}}{0_{+}^{\mathsf{F}}}\quad\text{nicht allgemein definiert}</w:t>
      </w:r>
    </w:p>
    <w:p>
      <w:pPr>
        <w:pStyle w:val="BodyText"/>
      </w:pPr>
      <w:r>
        <w:t xml:space="preserve">Die Richtungsinformation allein bestimmt auch die Subtraktion zweier positiver Nullwerte nicht. Bereits ein Paar einfacher Gegenbeispiele zeigt die möglichen Unterschiede. Ich kann damit jede vorgeschlagene allgemeine Regel, die ausschließlich aus der Gleichheit der Ausgangssymbole ein Ergebnis ableiten möchte, widerlegen.</w:t>
      </w:r>
    </w:p>
    <w:p>
      <w:pPr>
        <w:pStyle w:val="BodyText"/>
        <w:keepNext/>
        <w:spacing w:before="140" w:after="40"/>
        <w:jc w:val="center"/>
      </w:pPr>
      <w:r>
        <w:drawing>
          <wp:inline>
            <wp:extent cx="2247900" cy="266700"/>
            <wp:docPr id="14" name="Picture 14"/>
            <wp:cNvGraphicFramePr>
              <a:graphicFrameLocks noChangeAspect="1"/>
            </wp:cNvGraphicFramePr>
            <a:graphic>
              <a:graphicData uri="http://schemas.openxmlformats.org/drawingml/2006/picture">
                <pic:pic>
                  <pic:nvPicPr>
                    <pic:cNvPr id="0" name="math_14.png"/>
                    <pic:cNvPicPr/>
                  </pic:nvPicPr>
                  <pic:blipFill>
                    <a:blip r:embed="rId22"/>
                    <a:stretch>
                      <a:fillRect/>
                    </a:stretch>
                  </pic:blipFill>
                  <pic:spPr>
                    <a:xfrm>
                      <a:off x="0" y="0"/>
                      <a:ext cx="2247900" cy="2667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t-t=0,\qquad t-2t=-t\longrightarrow0_{-}^{\mathsf{F}}</w:t>
      </w:r>
    </w:p>
    <w:p>
      <w:pPr>
        <w:pStyle w:val="BodyText"/>
      </w:pPr>
      <w:r>
        <w:t xml:space="preserve">Für die FRZK-Rechenstruktur folgt daraus eine präzise Abgrenzung: Die reelle Funktionsebene besitzt definierte Operationen mit ihren bekannten algebraischen Eigenschaften. Die abgeleiteten FRZK-Operationen sind lediglich dort verfügbar, wo die benötigte Ergebnisinformation bereits aus den Symbolklassen folgt. Eine über diesen Bereich hinausgehende Operation kann nach Hinzunahme asymptotischer Daten oder erhaltener funktionaler Identitäten zulässig werden; sie gehört dann jedoch zu einem engeren Geltungsbereich und nicht zur universellen Basistafel.</w:t>
      </w:r>
    </w:p>
    <w:bookmarkEnd w:id="21"/>
    <w:bookmarkStart w:id="22" w:name="kommutativität-und-assoziativität"/>
    <w:p>
      <w:pPr>
        <w:pStyle w:val="Heading2"/>
        <w:keepNext/>
      </w:pPr>
      <w:r>
        <w:t xml:space="preserve">2.5.3 Kommutativität und Assoziativität</w:t>
      </w:r>
    </w:p>
    <w:p>
      <w:pPr>
        <w:pStyle w:val="FirstParagraph"/>
      </w:pPr>
      <w:r>
        <w:t xml:space="preserve">Die reelle Addition und Multiplikation sind kommutativ. Daraus folgt unmittelbar, dass jede bereits wohldefinierte FRZK-Addition oder FRZK-Multiplikation mit vertauschten Operanden dasselbe Ergebnis besitzen muss. Die Reihenfolge der Repräsentanten verändert ihre punktweise Verknüpfung nicht, sodass auch deren Grenzklassifikation unverändert bleibt. Das Kommutativgesetz erweitert allerdings nicht den Definitionsbereich der partiellen Operation: Eine unbestimmte Summe entgegengesetzter Unendlichkeiten bleibt bei Vertauschung unbestimmt.</w:t>
      </w:r>
    </w:p>
    <w:p>
      <w:pPr>
        <w:pStyle w:val="BodyText"/>
        <w:keepNext/>
        <w:spacing w:before="140" w:after="40"/>
        <w:jc w:val="center"/>
      </w:pPr>
      <w:r>
        <w:drawing>
          <wp:inline>
            <wp:extent cx="2800350" cy="228600"/>
            <wp:docPr id="15" name="Picture 15"/>
            <wp:cNvGraphicFramePr>
              <a:graphicFrameLocks noChangeAspect="1"/>
            </wp:cNvGraphicFramePr>
            <a:graphic>
              <a:graphicData uri="http://schemas.openxmlformats.org/drawingml/2006/picture">
                <pic:pic>
                  <pic:nvPicPr>
                    <pic:cNvPr id="0" name="math_15.png"/>
                    <pic:cNvPicPr/>
                  </pic:nvPicPr>
                  <pic:blipFill>
                    <a:blip r:embed="rId23"/>
                    <a:stretch>
                      <a:fillRect/>
                    </a:stretch>
                  </pic:blipFill>
                  <pic:spPr>
                    <a:xfrm>
                      <a:off x="0" y="0"/>
                      <a:ext cx="280035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\sigma_{\mathsf{F}}(u+v)=\sigma_{\mathsf{F}}(v+u),\quad\sigma_{\mathsf{F}}(uv)=\sigma_{\mathsf{F}}(vu)</w:t>
      </w:r>
    </w:p>
    <w:p>
      <w:pPr>
        <w:pStyle w:val="BodyText"/>
      </w:pPr>
      <w:r>
        <w:t xml:space="preserve">Das Assoziativgesetz ist differenzierter zu beurteilen. Auf der funktionalen Ebene kann ich Summen und Produkte beliebig umklammern, solange die punktweisen Operationen definiert bleiben. Nach einer vorzeitigen Reduktion auf FRZK-Grenzsymbole kann hingegen eine Zwischenoperation nicht mehr eindeutig sein. Dadurch wird ein symbolischer Rechenweg blockiert, obwohl der vollständige funktionale Ausdruck algebraisch umgeformt werden kann.</w:t>
      </w:r>
    </w:p>
    <w:p>
      <w:pPr>
        <w:pStyle w:val="BodyText"/>
        <w:keepNext/>
        <w:spacing w:before="140" w:after="40"/>
        <w:jc w:val="center"/>
      </w:pPr>
      <w:r>
        <w:drawing>
          <wp:inline>
            <wp:extent cx="3124200" cy="228600"/>
            <wp:docPr id="16" name="Picture 16"/>
            <wp:cNvGraphicFramePr>
              <a:graphicFrameLocks noChangeAspect="1"/>
            </wp:cNvGraphicFramePr>
            <a:graphic>
              <a:graphicData uri="http://schemas.openxmlformats.org/drawingml/2006/picture">
                <pic:pic>
                  <pic:nvPicPr>
                    <pic:cNvPr id="0" name="math_16.png"/>
                    <pic:cNvPicPr/>
                  </pic:nvPicPr>
                  <pic:blipFill>
                    <a:blip r:embed="rId24"/>
                    <a:stretch>
                      <a:fillRect/>
                    </a:stretch>
                  </pic:blipFill>
                  <pic:spPr>
                    <a:xfrm>
                      <a:off x="0" y="0"/>
                      <a:ext cx="312420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(u+v)+w=u+(v+w),\qquad (uv)w=u(vw)</w:t>
      </w:r>
    </w:p>
    <w:p>
      <w:pPr>
        <w:pStyle w:val="BodyText"/>
      </w:pPr>
      <w:r>
        <w:t xml:space="preserve">Ich untersuche dazu drei konkrete Funktionen mit demselben positiven Grenzparameter. Ihre vollständige Summe kann unmittelbar vereinfacht werden. Werden zunächst nur die Grenzklassen der beiden unbeschränkt wachsenden Beiträge verwendet, tritt eine unbestimmte Zwischenform auf; das ist kein Widerspruch gegen die Assoziativität der Funktionen, sondern eine Grenze der reduzierten Darstellung.</w:t>
      </w:r>
    </w:p>
    <w:p>
      <w:pPr>
        <w:pStyle w:val="BodyText"/>
        <w:keepNext/>
        <w:spacing w:before="140" w:after="40"/>
        <w:jc w:val="center"/>
      </w:pPr>
      <w:r>
        <w:drawing>
          <wp:inline>
            <wp:extent cx="2499360" cy="251460"/>
            <wp:docPr id="17" name="Picture 17"/>
            <wp:cNvGraphicFramePr>
              <a:graphicFrameLocks noChangeAspect="1"/>
            </wp:cNvGraphicFramePr>
            <a:graphic>
              <a:graphicData uri="http://schemas.openxmlformats.org/drawingml/2006/picture">
                <pic:pic>
                  <pic:nvPicPr>
                    <pic:cNvPr id="0" name="math_17.png"/>
                    <pic:cNvPicPr/>
                  </pic:nvPicPr>
                  <pic:blipFill>
                    <a:blip r:embed="rId25"/>
                    <a:stretch>
                      <a:fillRect/>
                    </a:stretch>
                  </pic:blipFill>
                  <pic:spPr>
                    <a:xfrm>
                      <a:off x="0" y="0"/>
                      <a:ext cx="2499360" cy="25146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u(t)=t^{-1},\quad v(t)=-t^{-1},\quad w(t)=2</w:t>
      </w:r>
    </w:p>
    <w:p>
      <w:pPr>
        <w:pStyle w:val="BodyText"/>
        <w:keepNext/>
        <w:spacing w:before="140" w:after="40"/>
        <w:jc w:val="center"/>
      </w:pPr>
      <w:r>
        <w:drawing>
          <wp:inline>
            <wp:extent cx="2061210" cy="228600"/>
            <wp:docPr id="18" name="Picture 18"/>
            <wp:cNvGraphicFramePr>
              <a:graphicFrameLocks noChangeAspect="1"/>
            </wp:cNvGraphicFramePr>
            <a:graphic>
              <a:graphicData uri="http://schemas.openxmlformats.org/drawingml/2006/picture">
                <pic:pic>
                  <pic:nvPicPr>
                    <pic:cNvPr id="0" name="math_18.png"/>
                    <pic:cNvPicPr/>
                  </pic:nvPicPr>
                  <pic:blipFill>
                    <a:blip r:embed="rId26"/>
                    <a:stretch>
                      <a:fillRect/>
                    </a:stretch>
                  </pic:blipFill>
                  <pic:spPr>
                    <a:xfrm>
                      <a:off x="0" y="0"/>
                      <a:ext cx="206121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(u+v)+w=2=u+(v+w)</w:t>
      </w:r>
    </w:p>
    <w:p>
      <w:pPr>
        <w:pStyle w:val="BodyText"/>
      </w:pPr>
      <w:r>
        <w:t xml:space="preserve">Beide funktionalen Klammerungen liefern dasselbe Ergebnis. Eine rein symbolische Auswertung kann hingegen schon an der Teiladdition der entgegengesetzten Unendlichkeiten scheitern. Aus der Unbestimmbarkeit eines Zwischenschritts folgt nicht, dass die algebraische Gleichheit aufgehoben wäre. Die Unbestimmbarkeit zeigt lediglich an, dass die vorherige Symbolreduktion zu früh erfolgt ist.</w:t>
      </w:r>
    </w:p>
    <w:p>
      <w:pPr>
        <w:pStyle w:val="BodyText"/>
      </w:pPr>
      <w:r>
        <w:t xml:space="preserve">Ich formuliere deshalb eine bedingte symbolische Assoziativität. Sind beide möglichen symbolischen Klammerungen vollständig definiert und beruhen sie auf zulässigen Repräsentanten desselben funktionalen Ausdrucks, stimmen ihre Ergebnisse überein. Die Existenz des Ergebnisses einer Klammerung impliziert dagegen nicht, dass sämtliche Zwischenoperationen jeder anderen Klammerung ebenfalls auf der reduzierten Symbolebene durchführbar sind.</w:t>
      </w:r>
    </w:p>
    <w:p>
      <w:pPr>
        <w:pStyle w:val="BodyText"/>
      </w:pPr>
      <w:r>
        <w:t xml:space="preserve">Für die wissenschaftliche Anwendung ist diese Unterscheidung wesentlich. Sie verhindert insbesondere den Fehlschluss, dass ein mathematisch identischer Ausdruck aufgrund unterschiedlicher symbolischer Zwischenformen verschiedene Grenzwerte annehmen könnte. Zulässige algebraische Umformungen bleiben Teil der vollständigen Funktionsrechnung; die Symbolklassifikation darf sie lediglich insoweit verkürzen, als die dafür nötigen Beziehungen weiterhin erkennbar sind.</w:t>
      </w:r>
    </w:p>
    <w:bookmarkEnd w:id="22"/>
    <w:bookmarkStart w:id="23" w:name="distributivität-und-neutralität"/>
    <w:p>
      <w:pPr>
        <w:pStyle w:val="Heading2"/>
        <w:keepNext/>
      </w:pPr>
      <w:r>
        <w:t xml:space="preserve">2.5.4 Distributivität und Neutralität</w:t>
      </w:r>
    </w:p>
    <w:p>
      <w:pPr>
        <w:pStyle w:val="FirstParagraph"/>
      </w:pPr>
      <w:r>
        <w:t xml:space="preserve">Das Distributivgesetz verknüpft die Addition mit der Multiplikation. Auf der funktionalen Ebene handelt es sich um eine punktweise Identität. Wird der Ausdruck jedoch vor der Auswertung einzelner Summen oder Produkte auf FRZK-Grenzklassen reduziert, können entscheidende Abhängigkeiten verloren gehen. Die formale Gleichwertigkeit der zugrunde liegenden Ausdrücke besteht dann weiterhin, auch wenn die reduzierte Symbolebene eine oder mehrere Teiloperationen nicht ausführen kann.</w:t>
      </w:r>
    </w:p>
    <w:p>
      <w:pPr>
        <w:pStyle w:val="BodyText"/>
        <w:keepNext/>
        <w:spacing w:before="140" w:after="40"/>
        <w:jc w:val="center"/>
      </w:pPr>
      <w:r>
        <w:drawing>
          <wp:inline>
            <wp:extent cx="1390650" cy="228600"/>
            <wp:docPr id="19" name="Picture 19"/>
            <wp:cNvGraphicFramePr>
              <a:graphicFrameLocks noChangeAspect="1"/>
            </wp:cNvGraphicFramePr>
            <a:graphic>
              <a:graphicData uri="http://schemas.openxmlformats.org/drawingml/2006/picture">
                <pic:pic>
                  <pic:nvPicPr>
                    <pic:cNvPr id="0" name="math_19.png"/>
                    <pic:cNvPicPr/>
                  </pic:nvPicPr>
                  <pic:blipFill>
                    <a:blip r:embed="rId27"/>
                    <a:stretch>
                      <a:fillRect/>
                    </a:stretch>
                  </pic:blipFill>
                  <pic:spPr>
                    <a:xfrm>
                      <a:off x="0" y="0"/>
                      <a:ext cx="139065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u(v+w)=uv+uw</w:t>
      </w:r>
    </w:p>
    <w:p>
      <w:pPr>
        <w:pStyle w:val="BodyText"/>
      </w:pPr>
      <w:r>
        <w:t xml:space="preserve">Ein einfaches Beispiel entsteht durch die Multiplikation einer unbeschränkt wachsenden Funktion mit der exakten Null, die innerhalb der Klammer als Differenz identischer Konstanten entsteht. Auf Funktionsebene ist das Ergebnis exakt null. Werden die beiden Produkte auf der rechten Seite des Distributivgesetzes dagegen vorzeitig getrennt als positive und negative Unendlichkeit klassifiziert, kann ihre anschließende Summe nicht allgemein bestimmt werden.</w:t>
      </w:r>
    </w:p>
    <w:p>
      <w:pPr>
        <w:pStyle w:val="BodyText"/>
        <w:keepNext/>
        <w:spacing w:before="140" w:after="40"/>
        <w:jc w:val="center"/>
      </w:pPr>
      <w:r>
        <w:drawing>
          <wp:inline>
            <wp:extent cx="906780" cy="381000"/>
            <wp:docPr id="20" name="Picture 20"/>
            <wp:cNvGraphicFramePr>
              <a:graphicFrameLocks noChangeAspect="1"/>
            </wp:cNvGraphicFramePr>
            <a:graphic>
              <a:graphicData uri="http://schemas.openxmlformats.org/drawingml/2006/picture">
                <pic:pic>
                  <pic:nvPicPr>
                    <pic:cNvPr id="0" name="math_20.png"/>
                    <pic:cNvPicPr/>
                  </pic:nvPicPr>
                  <pic:blipFill>
                    <a:blip r:embed="rId28"/>
                    <a:stretch>
                      <a:fillRect/>
                    </a:stretch>
                  </pic:blipFill>
                  <pic:spPr>
                    <a:xfrm>
                      <a:off x="0" y="0"/>
                      <a:ext cx="906780" cy="3810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\frac{1}{t}(1-1)=0</w:t>
      </w:r>
    </w:p>
    <w:p>
      <w:pPr>
        <w:pStyle w:val="BodyText"/>
        <w:keepNext/>
        <w:spacing w:before="140" w:after="40"/>
        <w:jc w:val="center"/>
      </w:pPr>
      <w:r>
        <w:drawing>
          <wp:inline>
            <wp:extent cx="1344930" cy="381000"/>
            <wp:docPr id="21" name="Picture 21"/>
            <wp:cNvGraphicFramePr>
              <a:graphicFrameLocks noChangeAspect="1"/>
            </wp:cNvGraphicFramePr>
            <a:graphic>
              <a:graphicData uri="http://schemas.openxmlformats.org/drawingml/2006/picture">
                <pic:pic>
                  <pic:nvPicPr>
                    <pic:cNvPr id="0" name="math_21.png"/>
                    <pic:cNvPicPr/>
                  </pic:nvPicPr>
                  <pic:blipFill>
                    <a:blip r:embed="rId29"/>
                    <a:stretch>
                      <a:fillRect/>
                    </a:stretch>
                  </pic:blipFill>
                  <pic:spPr>
                    <a:xfrm>
                      <a:off x="0" y="0"/>
                      <a:ext cx="1344930" cy="3810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\frac{1}{t}\cdot1+\frac{1}{t}\cdot(-1)=0</w:t>
      </w:r>
    </w:p>
    <w:p>
      <w:pPr>
        <w:pStyle w:val="BodyText"/>
      </w:pPr>
      <w:r>
        <w:t xml:space="preserve">Diese beiden Gleichungen sind funktional identisch. Das Beispiel darf nicht als Regel interpretiert werden, wonach sich zwei beliebige entgegengesetzte FRZK-Unendlichkeiten gegenseitig aufheben. Es zeigt vielmehr, dass die Identität der beiden ursprünglichen Terme erhalten werden muss, wenn sie für die Auswertung entscheidend ist. Damit wird das Distributivgesetz nicht abgeschwächt; eingeschränkt ist allein seine Umsetzung auf einer Informationsstufe, auf der die notwendige funktionale Beziehung nicht mehr dargestellt wird.</w:t>
      </w:r>
    </w:p>
    <w:p>
      <w:pPr>
        <w:pStyle w:val="BodyText"/>
      </w:pPr>
      <w:r>
        <w:t xml:space="preserve">Für die Neutralität der Addition muss ich die exakte Null ausdrücklich von den gerichteten Nullsymbolen unterscheiden. Die exakte Null bezeichnet hier die lokal identisch verschwindende Funktion. Die beiden gerichteten Nullsymbole kennzeichnen hingegen schließlich strikt positive beziehungsweise schließlich strikt negative Funktionen, deren Werte nur im Grenzübergang verschwinden. Ihre bloße Grenzgleichheit mit null begründet keine vollständige algebraische Identität.</w:t>
      </w:r>
    </w:p>
    <w:p>
      <w:pPr>
        <w:pStyle w:val="BodyText"/>
        <w:keepNext/>
        <w:spacing w:before="140" w:after="40"/>
        <w:jc w:val="center"/>
      </w:pPr>
      <w:r>
        <w:drawing>
          <wp:inline>
            <wp:extent cx="1337310" cy="266700"/>
            <wp:docPr id="22" name="Picture 22"/>
            <wp:cNvGraphicFramePr>
              <a:graphicFrameLocks noChangeAspect="1"/>
            </wp:cNvGraphicFramePr>
            <a:graphic>
              <a:graphicData uri="http://schemas.openxmlformats.org/drawingml/2006/picture">
                <pic:pic>
                  <pic:nvPicPr>
                    <pic:cNvPr id="0" name="math_22.png"/>
                    <pic:cNvPicPr/>
                  </pic:nvPicPr>
                  <pic:blipFill>
                    <a:blip r:embed="rId30"/>
                    <a:stretch>
                      <a:fillRect/>
                    </a:stretch>
                  </pic:blipFill>
                  <pic:spPr>
                    <a:xfrm>
                      <a:off x="0" y="0"/>
                      <a:ext cx="1337310" cy="2667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0\not\equiv 0_{+}^{\mathsf{F}},\qquad 0\not\equiv 0_{-}^{\mathsf{F}}</w:t>
      </w:r>
    </w:p>
    <w:p>
      <w:pPr>
        <w:pStyle w:val="BodyText"/>
      </w:pPr>
      <w:r>
        <w:t xml:space="preserve">Bei Addition der exakt verschwindenden Funktion zu einer positiven gerichteten Nullannäherung bleibt diese Funktion unverändert. Diese spezielle symbolische Neutralitätsregel ist durch die funktionale Herkunft der exakten Null abgesichert.</w:t>
      </w:r>
    </w:p>
    <w:p>
      <w:pPr>
        <w:pStyle w:val="BodyText"/>
        <w:keepNext/>
        <w:spacing w:before="140" w:after="40"/>
        <w:jc w:val="center"/>
      </w:pPr>
      <w:r>
        <w:drawing>
          <wp:inline>
            <wp:extent cx="1771650" cy="266700"/>
            <wp:docPr id="23" name="Picture 23"/>
            <wp:cNvGraphicFramePr>
              <a:graphicFrameLocks noChangeAspect="1"/>
            </wp:cNvGraphicFramePr>
            <a:graphic>
              <a:graphicData uri="http://schemas.openxmlformats.org/drawingml/2006/picture">
                <pic:pic>
                  <pic:nvPicPr>
                    <pic:cNvPr id="0" name="math_23.png"/>
                    <pic:cNvPicPr/>
                  </pic:nvPicPr>
                  <pic:blipFill>
                    <a:blip r:embed="rId31"/>
                    <a:stretch>
                      <a:fillRect/>
                    </a:stretch>
                  </pic:blipFill>
                  <pic:spPr>
                    <a:xfrm>
                      <a:off x="0" y="0"/>
                      <a:ext cx="1771650" cy="2667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0+0_{+}^{\mathsf{F}}=0_{+}^{\mathsf{F}}\qquad(0\ \text{exakt})</w:t>
      </w:r>
    </w:p>
    <w:p>
      <w:pPr>
        <w:pStyle w:val="BodyText"/>
      </w:pPr>
      <w:r>
        <w:t xml:space="preserve">Dagegen wird eine positive gerichtete Nullannäherung durch Addition einer zweiten positiven gerichteten Nullfunktion im Allgemeinen verändert. Ihre qualitative Klassifikation bleibt zwar positiv und verschwindend; die neue Funktion braucht aber weder identisch noch asymptotisch äquivalent zur ursprünglichen Funktion zu sein. Deshalb können die gerichteten Nullsymbole nicht als gewöhnliche additive Neutralwerte eines vollständigen Rings verstanden werden.</w:t>
      </w:r>
    </w:p>
    <w:p>
      <w:pPr>
        <w:pStyle w:val="BodyText"/>
      </w:pPr>
      <w:r>
        <w:t xml:space="preserve">Bei der Multiplikation besteht eine entsprechende Differenz. Der exakte Nullkeim absorbiert jede gewöhnliche reellwertige Funktion bei der punktweisen Multiplikation. Selbst wenn der zweite Faktor unbeschränkt wächst, bleibt das Produkt für jeden Parameterwert exakt null. Diese Aussage ist ausdrücklich funktionsbasiert und keine pauschale Regel der üblichen erweiterten reellen Arithmetik.</w:t>
      </w:r>
    </w:p>
    <w:p>
      <w:pPr>
        <w:pStyle w:val="BodyText"/>
        <w:keepNext/>
        <w:spacing w:before="140" w:after="40"/>
        <w:jc w:val="center"/>
      </w:pPr>
      <w:r>
        <w:drawing>
          <wp:inline>
            <wp:extent cx="2327910" cy="228600"/>
            <wp:docPr id="24" name="Picture 24"/>
            <wp:cNvGraphicFramePr>
              <a:graphicFrameLocks noChangeAspect="1"/>
            </wp:cNvGraphicFramePr>
            <a:graphic>
              <a:graphicData uri="http://schemas.openxmlformats.org/drawingml/2006/picture">
                <pic:pic>
                  <pic:nvPicPr>
                    <pic:cNvPr id="0" name="math_24.png"/>
                    <pic:cNvPicPr/>
                  </pic:nvPicPr>
                  <pic:blipFill>
                    <a:blip r:embed="rId32"/>
                    <a:stretch>
                      <a:fillRect/>
                    </a:stretch>
                  </pic:blipFill>
                  <pic:spPr>
                    <a:xfrm>
                      <a:off x="0" y="0"/>
                      <a:ext cx="232791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0\cdot u(t)=0\quad\text{fuer alle zulaessigen }t</w:t>
      </w:r>
    </w:p>
    <w:p>
      <w:pPr>
        <w:pStyle w:val="BodyText"/>
      </w:pPr>
      <w:r>
        <w:t xml:space="preserve">Die Multiplikation einer gerichteten Nullannäherung mit einer gerichteten Unendlichkeit ist dagegen nicht allgemein festgelegt. Hier besitzt der verschwindende Faktor gerade keinen für alle Parameterwerte exakt nullwertigen Repräsentanten. Die zusätzliche Richtungsinformation ersetzt die Kenntnis der relativen Größenordnung nicht.</w:t>
      </w:r>
    </w:p>
    <w:p>
      <w:pPr>
        <w:pStyle w:val="BodyText"/>
        <w:keepNext/>
        <w:spacing w:before="140" w:after="40"/>
        <w:jc w:val="center"/>
      </w:pPr>
      <w:r>
        <w:drawing>
          <wp:inline>
            <wp:extent cx="2327910" cy="266700"/>
            <wp:docPr id="25" name="Picture 25"/>
            <wp:cNvGraphicFramePr>
              <a:graphicFrameLocks noChangeAspect="1"/>
            </wp:cNvGraphicFramePr>
            <a:graphic>
              <a:graphicData uri="http://schemas.openxmlformats.org/drawingml/2006/picture">
                <pic:pic>
                  <pic:nvPicPr>
                    <pic:cNvPr id="0" name="math_25.png"/>
                    <pic:cNvPicPr/>
                  </pic:nvPicPr>
                  <pic:blipFill>
                    <a:blip r:embed="rId33"/>
                    <a:stretch>
                      <a:fillRect/>
                    </a:stretch>
                  </pic:blipFill>
                  <pic:spPr>
                    <a:xfrm>
                      <a:off x="0" y="0"/>
                      <a:ext cx="2327910" cy="2667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0_{+}^{\mathsf{F}}\cdot\infty_{+}^{\mathsf{F}}\quad\text{nicht allgemein definiert}</w:t>
      </w:r>
    </w:p>
    <w:p>
      <w:pPr>
        <w:pStyle w:val="BodyText"/>
      </w:pPr>
      <w:r>
        <w:t xml:space="preserve">Aus diesen Ergebnissen folgt eine typisierte Sicht auf die Neutralwerte: Die exakte Zahl null bleibt das additive neutrale und für die punktweise Multiplikation absorbierende Funktionselement. Die gerichteten Nullsymbole behalten ihre gesonderte Rolle als Grenzklassen. Dieselbe typisierte Trennung gilt gegenüber dem Nullvektor eines Vektorraums, dessen algebraische Bedeutung durch die Vektoraddition und nicht durch die skalare FRZK-Grenzklassifikation definiert ist.</w:t>
      </w:r>
    </w:p>
    <w:bookmarkEnd w:id="23"/>
    <w:bookmarkStart w:id="24" w:name="X3072bf1229977e833e029a9a35f48cfaadcd843"/>
    <w:p>
      <w:pPr>
        <w:pStyle w:val="Heading2"/>
        <w:keepNext/>
      </w:pPr>
      <w:r>
        <w:t xml:space="preserve">2.5.5 Inverse Elemente und algebraische Einschränkungen</w:t>
      </w:r>
    </w:p>
    <w:p>
      <w:pPr>
        <w:pStyle w:val="FirstParagraph"/>
      </w:pPr>
      <w:r>
        <w:t xml:space="preserve">In der gewöhnlichen reellen Algebra besitzt jede Zahl ein additives Gegenstück und jede von null verschiedene Zahl einen multiplikativen Kehrwert. Auf der Ebene lokaler Funktionskeime gelten entsprechende Aussagen mit der Voraussetzung, dass ein multiplikativ zu invertierender Funktionskeim schließlich nirgends null ist. Die Reduktion auf gerichtete Grenzsymbole bewahrt diese algebraischen Beziehungen jedoch nicht in vollem Umfang.</w:t>
      </w:r>
    </w:p>
    <w:p>
      <w:pPr>
        <w:pStyle w:val="BodyText"/>
      </w:pPr>
      <w:r>
        <w:t xml:space="preserve">Zunächst ist die Negation einer schließlich positiven Nullfunktion eindeutig. Sie führt auf eine schließlich negative Nullfunktion. Daher kann ich die richtungsbezogene Negation als allgemeine Operation auf den entsprechenden Grenzklassen verwenden.</w:t>
      </w:r>
    </w:p>
    <w:p>
      <w:pPr>
        <w:pStyle w:val="BodyText"/>
        <w:keepNext/>
        <w:spacing w:before="140" w:after="40"/>
        <w:jc w:val="center"/>
      </w:pPr>
      <w:r>
        <w:drawing>
          <wp:inline>
            <wp:extent cx="1920240" cy="266700"/>
            <wp:docPr id="26" name="Picture 26"/>
            <wp:cNvGraphicFramePr>
              <a:graphicFrameLocks noChangeAspect="1"/>
            </wp:cNvGraphicFramePr>
            <a:graphic>
              <a:graphicData uri="http://schemas.openxmlformats.org/drawingml/2006/picture">
                <pic:pic>
                  <pic:nvPicPr>
                    <pic:cNvPr id="0" name="math_26.png"/>
                    <pic:cNvPicPr/>
                  </pic:nvPicPr>
                  <pic:blipFill>
                    <a:blip r:embed="rId34"/>
                    <a:stretch>
                      <a:fillRect/>
                    </a:stretch>
                  </pic:blipFill>
                  <pic:spPr>
                    <a:xfrm>
                      <a:off x="0" y="0"/>
                      <a:ext cx="1920240" cy="2667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-0_{+}^{\mathsf{F}}=0_{-}^{\mathsf{F}},\qquad-\infty_{+}^{\mathsf{F}}=\infty_{-}^{\mathsf{F}}</w:t>
      </w:r>
    </w:p>
    <w:p>
      <w:pPr>
        <w:pStyle w:val="BodyText"/>
      </w:pPr>
      <w:r>
        <w:t xml:space="preserve">Das bedeutet jedoch nicht, dass eine unabhängig gewählte negative Nullfunktion automatisch die konkrete Gegenfunktion einer positiven Nullfunktion darstellt. Nur eine erhaltene exakte Negationsbeziehung liefert die exakt verschwindende Summe. Zwei lediglich gegensinnig klassifizierte Funktionen können eine positive, negative oder exakt verschwindende Summe erzeugen. Eine additive Gruppenstruktur der bloßen Grenzsymbole folgt daraus nicht.</w:t>
      </w:r>
    </w:p>
    <w:p>
      <w:pPr>
        <w:pStyle w:val="BodyText"/>
        <w:keepNext/>
        <w:spacing w:before="140" w:after="40"/>
        <w:jc w:val="center"/>
      </w:pPr>
      <w:r>
        <w:drawing>
          <wp:inline>
            <wp:extent cx="1276350" cy="228600"/>
            <wp:docPr id="27" name="Picture 27"/>
            <wp:cNvGraphicFramePr>
              <a:graphicFrameLocks noChangeAspect="1"/>
            </wp:cNvGraphicFramePr>
            <a:graphic>
              <a:graphicData uri="http://schemas.openxmlformats.org/drawingml/2006/picture">
                <pic:pic>
                  <pic:nvPicPr>
                    <pic:cNvPr id="0" name="math_27.png"/>
                    <pic:cNvPicPr/>
                  </pic:nvPicPr>
                  <pic:blipFill>
                    <a:blip r:embed="rId35"/>
                    <a:stretch>
                      <a:fillRect/>
                    </a:stretch>
                  </pic:blipFill>
                  <pic:spPr>
                    <a:xfrm>
                      <a:off x="0" y="0"/>
                      <a:ext cx="127635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u(t)+(-u(t))=0</w:t>
      </w:r>
    </w:p>
    <w:p>
      <w:pPr>
        <w:pStyle w:val="BodyText"/>
      </w:pPr>
      <w:r>
        <w:t xml:space="preserve">Bei der Kehrwertbildung ist die Situation ähnlich. Eine schließlich positive, von null verschiedene Funktion, deren Werte gegen null streben, besitzt einen schließlich positiven, unbeschränkt wachsenden Kehrwert. Diese Richtungszuordnung lässt sich unabhängig von der konkreten Annäherungsgeschwindigkeit angeben.</w:t>
      </w:r>
    </w:p>
    <w:p>
      <w:pPr>
        <w:pStyle w:val="BodyText"/>
        <w:keepNext/>
        <w:spacing w:before="140" w:after="40"/>
        <w:jc w:val="center"/>
      </w:pPr>
      <w:r>
        <w:drawing>
          <wp:inline>
            <wp:extent cx="1744980" cy="445770"/>
            <wp:docPr id="28" name="Picture 28"/>
            <wp:cNvGraphicFramePr>
              <a:graphicFrameLocks noChangeAspect="1"/>
            </wp:cNvGraphicFramePr>
            <a:graphic>
              <a:graphicData uri="http://schemas.openxmlformats.org/drawingml/2006/picture">
                <pic:pic>
                  <pic:nvPicPr>
                    <pic:cNvPr id="0" name="math_28.png"/>
                    <pic:cNvPicPr/>
                  </pic:nvPicPr>
                  <pic:blipFill>
                    <a:blip r:embed="rId36"/>
                    <a:stretch>
                      <a:fillRect/>
                    </a:stretch>
                  </pic:blipFill>
                  <pic:spPr>
                    <a:xfrm>
                      <a:off x="0" y="0"/>
                      <a:ext cx="1744980" cy="44577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\frac{1}{0_{+}^{\mathsf{F}}}=\infty_{+}^{\mathsf{F}},\qquad\frac{1}{\infty_{-}^{\mathsf{F}}}=0_{-}^{\mathsf{F}}</w:t>
      </w:r>
    </w:p>
    <w:p>
      <w:pPr>
        <w:pStyle w:val="BodyText"/>
      </w:pPr>
      <w:r>
        <w:t xml:space="preserve">Die Kehrwertbeziehung ist jedoch nicht dasselbe wie eine allgemeine multiplikative Inverseneigenschaft zweier voneinander unabhängig gewählter Grenzklassen. Für die konkrete Funktion und ihren tatsächlichen Kehrwert gilt die gewöhnliche Identität. Werden die beiden Faktoren hingegen getrennt klassifiziert, kann ihre Verbindung nicht mehr allein aus der Grenzklasse rekonstruiert werden.</w:t>
      </w:r>
    </w:p>
    <w:p>
      <w:pPr>
        <w:pStyle w:val="BodyText"/>
        <w:keepNext/>
        <w:spacing w:before="140" w:after="40"/>
        <w:jc w:val="center"/>
      </w:pPr>
      <w:r>
        <w:drawing>
          <wp:inline>
            <wp:extent cx="1577340" cy="438150"/>
            <wp:docPr id="29" name="Picture 29"/>
            <wp:cNvGraphicFramePr>
              <a:graphicFrameLocks noChangeAspect="1"/>
            </wp:cNvGraphicFramePr>
            <a:graphic>
              <a:graphicData uri="http://schemas.openxmlformats.org/drawingml/2006/picture">
                <pic:pic>
                  <pic:nvPicPr>
                    <pic:cNvPr id="0" name="math_29.png"/>
                    <pic:cNvPicPr/>
                  </pic:nvPicPr>
                  <pic:blipFill>
                    <a:blip r:embed="rId37"/>
                    <a:stretch>
                      <a:fillRect/>
                    </a:stretch>
                  </pic:blipFill>
                  <pic:spPr>
                    <a:xfrm>
                      <a:off x="0" y="0"/>
                      <a:ext cx="1577340" cy="43815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\frac{u(t)}{u(t)}=1\qquad(u(t)\ne0)</w:t>
      </w:r>
    </w:p>
    <w:p>
      <w:pPr>
        <w:pStyle w:val="BodyText"/>
        <w:keepNext/>
        <w:spacing w:before="140" w:after="40"/>
        <w:jc w:val="center"/>
      </w:pPr>
      <w:r>
        <w:drawing>
          <wp:inline>
            <wp:extent cx="2186940" cy="266700"/>
            <wp:docPr id="30" name="Picture 30"/>
            <wp:cNvGraphicFramePr>
              <a:graphicFrameLocks noChangeAspect="1"/>
            </wp:cNvGraphicFramePr>
            <a:graphic>
              <a:graphicData uri="http://schemas.openxmlformats.org/drawingml/2006/picture">
                <pic:pic>
                  <pic:nvPicPr>
                    <pic:cNvPr id="0" name="math_30.png"/>
                    <pic:cNvPicPr/>
                  </pic:nvPicPr>
                  <pic:blipFill>
                    <a:blip r:embed="rId38"/>
                    <a:stretch>
                      <a:fillRect/>
                    </a:stretch>
                  </pic:blipFill>
                  <pic:spPr>
                    <a:xfrm>
                      <a:off x="0" y="0"/>
                      <a:ext cx="2186940" cy="2667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t\cdot t^{-1}=1,\qquad t^{2}\cdot t^{-1}=t\to0_{+}^{\mathsf{F}}</w:t>
      </w:r>
    </w:p>
    <w:p>
      <w:pPr>
        <w:pStyle w:val="BodyText"/>
      </w:pPr>
      <w:r>
        <w:t xml:space="preserve">Beide Produkte besitzen auf der reduzierten Ebene die Ausgangsklassen einer positiven Nullannäherung und einer positiven Unendlichkeit. Die Resultate sind dennoch verschieden. Die von mir eingeführte FRZK-Kehrwertregel ist daher eine gesicherte Regel zur Klassifikation des Kehrwerts einer Funktion; sie rechtfertigt keine beliebige Kürzung bereits klassifizierter symbolischer Faktoren.</w:t>
      </w:r>
    </w:p>
    <w:p>
      <w:pPr>
        <w:pStyle w:val="BodyText"/>
      </w:pPr>
      <w:r>
        <w:t xml:space="preserve">Die gewöhnliche Algebra kennt die Unterscheidung zwischen einem Ring, einem Integritätsbereich und einem Körper. Für die vorliegende FRZK-Rechnung muss ich solche Bezeichnungen mit besonderer Sorgfalt verwenden. Der Ring lokaler reellwertiger Funktionskeime bildet die funktionale Ausgangsebene, besitzt aber im Allgemeinen Nullteiler und nicht zu jedem von null verschiedenen Keim ein multiplikatives Inverses. Die gerichteten Grenzsymbole bilden ihrerseits weder einen gewöhnlichen Ring noch einen Körper, weil grundlegende Operationen nur partiell definiert sind.</w:t>
      </w:r>
    </w:p>
    <w:p>
      <w:pPr>
        <w:pStyle w:val="BodyText"/>
      </w:pPr>
      <w:r>
        <w:t xml:space="preserve">Daraus ergibt sich ein wichtiger methodischer Vorteil der expliziten Typisierung. Ich kann eindeutig unterscheiden, ob eine Rechnung eine gewöhnliche reelle Zahl, eine exakte funktionale Identität, eine gerichtete Grenzklasse oder eine asymptotische Signatur verwendet. Die algebraisch zulässigen Schritte ergeben sich aus dem Typ der beteiligten Objekte und aus dem dokumentierten Grenzbereich. Ein Rechenzeichen allein berechtigt nicht dazu, die damit verbundenen üblichen Körpergesetze auf einen völlig anderen Objekttyp zu übertragen.</w:t>
      </w:r>
    </w:p>
    <w:bookmarkEnd w:id="24"/>
    <w:bookmarkStart w:id="25" w:name="konsistenzsätze-und-gegenbeweise"/>
    <w:p>
      <w:pPr>
        <w:pStyle w:val="Heading2"/>
        <w:keepNext/>
      </w:pPr>
      <w:r>
        <w:t xml:space="preserve">2.5.6 Konsistenzsätze und Gegenbeweise</w:t>
      </w:r>
    </w:p>
    <w:p>
      <w:pPr>
        <w:pStyle w:val="FirstParagraph"/>
      </w:pPr>
      <w:r>
        <w:t xml:space="preserve">Aus den vorausgehenden Untersuchungen leite ich ein allgemeines Kriterium für die Konsistenz der FRZK-Grundrechnung ab. Die symbolischen Operationen werden aus reellwertigen Funktionen abgeleitet, nicht umgekehrt. Ich fordere für jede als allgemeingültig beanspruchte Regel die Übereinstimmung sämtlicher zulässiger Repräsentanten. Die notwendige Aussage ist damit keine Behauptung über einen vollständig neuen Zahlenkörper, sondern ein Satz über die Verträglichkeit partieller Abstraktionen mit den gewöhnlichen Funktionsoperationen.</w:t>
      </w:r>
    </w:p>
    <w:p>
      <w:pPr>
        <w:pStyle w:val="BodyText"/>
      </w:pPr>
      <w:r>
        <w:t xml:space="preserve">Der erste Konsistenzsatz betrifft eine einzelne symbolische Operation. Sind deren Definitionsbedingungen erfüllt und führen alle zulässigen Funktionsrepräsentanten zu derselben klassifizierbaren Ergebnisklasse, ist die Operation auf dem angegebenen Symbolpaar wohldefiniert. Ihre Ergebnisbestimmung hängt dann nicht von der willkürlichen Wahl eines Repräsentanten ab. Dieser Satz ergibt sich unmittelbar aus der Definition der symbolischen Operation in Abschnitt 2.5.2.</w:t>
      </w:r>
    </w:p>
    <w:p>
      <w:pPr>
        <w:pStyle w:val="BodyText"/>
        <w:keepNext/>
        <w:spacing w:before="140" w:after="40"/>
        <w:jc w:val="center"/>
      </w:pPr>
      <w:r>
        <w:drawing>
          <wp:inline>
            <wp:extent cx="2712720" cy="266700"/>
            <wp:docPr id="31" name="Picture 31"/>
            <wp:cNvGraphicFramePr>
              <a:graphicFrameLocks noChangeAspect="1"/>
            </wp:cNvGraphicFramePr>
            <a:graphic>
              <a:graphicData uri="http://schemas.openxmlformats.org/drawingml/2006/picture">
                <pic:pic>
                  <pic:nvPicPr>
                    <pic:cNvPr id="0" name="math_31.png"/>
                    <pic:cNvPicPr/>
                  </pic:nvPicPr>
                  <pic:blipFill>
                    <a:blip r:embed="rId39"/>
                    <a:stretch>
                      <a:fillRect/>
                    </a:stretch>
                  </pic:blipFill>
                  <pic:spPr>
                    <a:xfrm>
                      <a:off x="0" y="0"/>
                      <a:ext cx="2712720" cy="2667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\forall u\in\sigma_{\mathsf{F}}^{-1}(a)\ \forall v\in\sigma_{\mathsf{F}}^{-1}(b):\ \sigma_{\mathsf{F}}(u\circ v)=c</w:t>
      </w:r>
    </w:p>
    <w:p>
      <w:pPr>
        <w:pStyle w:val="BodyText"/>
      </w:pPr>
      <w:r>
        <w:t xml:space="preserve">Der zweite Konsistenzsatz betrifft zusammengesetzte Ausdrücke. Werden sie durch ausschließlich gültige algebraische Umformungen auf Funktionsebene und durch wohldefinierte symbolische Operationen ausgewertet, so stimmt das endgültige klassifizierte Ergebnis mit der Klassifikation des vollständigen ursprünglichen Funktionsterms überein. Hierbei müssen die Bedingungen jeder Teiloperation vorliegen, und die verwendete Funktionsrepräsentation darf keine für spätere Schritte benötigten Abhängigkeiten verlieren.</w:t>
      </w:r>
    </w:p>
    <w:p>
      <w:pPr>
        <w:pStyle w:val="BodyText"/>
        <w:keepNext/>
        <w:spacing w:before="140" w:after="40"/>
        <w:jc w:val="center"/>
      </w:pPr>
      <w:r>
        <w:drawing>
          <wp:inline>
            <wp:extent cx="3265170" cy="228600"/>
            <wp:docPr id="32" name="Picture 32"/>
            <wp:cNvGraphicFramePr>
              <a:graphicFrameLocks noChangeAspect="1"/>
            </wp:cNvGraphicFramePr>
            <a:graphic>
              <a:graphicData uri="http://schemas.openxmlformats.org/drawingml/2006/picture">
                <pic:pic>
                  <pic:nvPicPr>
                    <pic:cNvPr id="0" name="math_32.png"/>
                    <pic:cNvPicPr/>
                  </pic:nvPicPr>
                  <pic:blipFill>
                    <a:blip r:embed="rId40"/>
                    <a:stretch>
                      <a:fillRect/>
                    </a:stretch>
                  </pic:blipFill>
                  <pic:spPr>
                    <a:xfrm>
                      <a:off x="0" y="0"/>
                      <a:ext cx="326517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\sigma_{\mathsf{F}}(\operatorname{Eval}_{\mathrm{fun}}(E))=\operatorname{Eval}_{\mathsf{F}}(E)\quad\text{falls rechts definiert}</w:t>
      </w:r>
    </w:p>
    <w:p>
      <w:pPr>
        <w:pStyle w:val="BodyText"/>
      </w:pPr>
      <w:r>
        <w:t xml:space="preserve">Der Nachweis erfolgt schrittweise. Eine gültige funktionale Umformung verändert den Ausdruck auf seinem zulässigen Definitionsbereich nicht. Eine wohldefinierte symbolische Operation liefert per Definition dieselbe Ergebnisklasse wie die zugehörige funktionale Verknüpfung. Durch endliche Verkettung solcher erlaubten Schritte bleibt die Klassifikation erhalten. Ist dagegen eine symbolische Teiloperation nicht definiert, kann ich aus diesem Satz keine Aussage über die weitere symbolische Rechnung ableiten. Der Funktionsausdruck selbst kann dennoch einen eindeutigen Grenzwert besitzen.</w:t>
      </w:r>
    </w:p>
    <w:p>
      <w:pPr>
        <w:pStyle w:val="BodyText"/>
      </w:pPr>
      <w:r>
        <w:t xml:space="preserve">Ein dritter Befund betrifft die Unmöglichkeit einer allgemeinen algebraischen Quotientenstruktur auf Grundlage bloßer Grenzklassifikation. Zur Widerlegung einer solchen Konstruktion genügt ein Gegenbeispiel, in dem zwei Funktionen dieselbe Symbolklasse besitzen, die Addition derselben dritten Funktion jedoch unterschiedliche Symbolklassen erzeugt. Das in Abschnitt 2.5.1 untersuchte Beispiel liefert genau einen solchen Fall. Damit ist die FRZK-Grenzklassifikation keine Kongruenzrelation für uneingeschränkte Funktionsaddition.</w:t>
      </w:r>
    </w:p>
    <w:p>
      <w:pPr>
        <w:pStyle w:val="BodyText"/>
        <w:keepNext/>
        <w:spacing w:before="140" w:after="40"/>
        <w:jc w:val="center"/>
      </w:pPr>
      <w:r>
        <w:drawing>
          <wp:inline>
            <wp:extent cx="2907030" cy="228600"/>
            <wp:docPr id="33" name="Picture 33"/>
            <wp:cNvGraphicFramePr>
              <a:graphicFrameLocks noChangeAspect="1"/>
            </wp:cNvGraphicFramePr>
            <a:graphic>
              <a:graphicData uri="http://schemas.openxmlformats.org/drawingml/2006/picture">
                <pic:pic>
                  <pic:nvPicPr>
                    <pic:cNvPr id="0" name="math_33.png"/>
                    <pic:cNvPicPr/>
                  </pic:nvPicPr>
                  <pic:blipFill>
                    <a:blip r:embed="rId41"/>
                    <a:stretch>
                      <a:fillRect/>
                    </a:stretch>
                  </pic:blipFill>
                  <pic:spPr>
                    <a:xfrm>
                      <a:off x="0" y="0"/>
                      <a:ext cx="290703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\sigma_{\mathsf{F}}(u)=\sigma_{\mathsf{F}}(v)\ \not\Longrightarrow\ \sigma_{\mathsf{F}}(u+w)=\sigma_{\mathsf{F}}(v+w)</w:t>
      </w:r>
    </w:p>
    <w:p>
      <w:pPr>
        <w:pStyle w:val="BodyText"/>
      </w:pPr>
      <w:r>
        <w:t xml:space="preserve">Der vierte Befund betrifft die Grenze asymptotischer Signaturen. Gleiche Leitkoeffizienten und gleiche Potenzordnungen garantieren noch keine Gleichheit der nachgeordneten Terme. Deshalb kann nach der Auslöschung führender Beiträge das Ergebnis aus den Leitdaten allein nicht bestimmt sein. Das Problem ist nicht durch eine neue Rechentafel zu beseitigen; vielmehr muss die Informationsbasis um weitere asymptotische Terme oder die vollständige Funktion erweitert werden. Diese Anforderung entspricht den etablierten Eigenschaften asymptotischer Entwicklungen. {[National Institute of Standards and Technology: Digital Library of Mathematical Functions, § 2.1(iii) „Asymptotic Expansions“.]}[[6]]</w:t>
      </w:r>
    </w:p>
    <w:p>
      <w:pPr>
        <w:pStyle w:val="BodyText"/>
        <w:keepNext/>
        <w:spacing w:before="140" w:after="40"/>
        <w:jc w:val="center"/>
      </w:pPr>
      <w:r>
        <w:drawing>
          <wp:inline>
            <wp:extent cx="2270760" cy="251460"/>
            <wp:docPr id="34" name="Picture 34"/>
            <wp:cNvGraphicFramePr>
              <a:graphicFrameLocks noChangeAspect="1"/>
            </wp:cNvGraphicFramePr>
            <a:graphic>
              <a:graphicData uri="http://schemas.openxmlformats.org/drawingml/2006/picture">
                <pic:pic>
                  <pic:nvPicPr>
                    <pic:cNvPr id="0" name="math_34.png"/>
                    <pic:cNvPicPr/>
                  </pic:nvPicPr>
                  <pic:blipFill>
                    <a:blip r:embed="rId42"/>
                    <a:stretch>
                      <a:fillRect/>
                    </a:stretch>
                  </pic:blipFill>
                  <pic:spPr>
                    <a:xfrm>
                      <a:off x="0" y="0"/>
                      <a:ext cx="2270760" cy="25146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\mathcal{A}_{\mathsf{F}}(t^{2}+t^{3})=\mathcal{A}_{\mathsf{F}}(t^{2}-t^{3})=(1,2)</w:t>
      </w:r>
    </w:p>
    <w:p>
      <w:pPr>
        <w:pStyle w:val="BodyText"/>
        <w:keepNext/>
        <w:spacing w:before="140" w:after="40"/>
        <w:jc w:val="center"/>
      </w:pPr>
      <w:r>
        <w:drawing>
          <wp:inline>
            <wp:extent cx="2792730" cy="266700"/>
            <wp:docPr id="35" name="Picture 35"/>
            <wp:cNvGraphicFramePr>
              <a:graphicFrameLocks noChangeAspect="1"/>
            </wp:cNvGraphicFramePr>
            <a:graphic>
              <a:graphicData uri="http://schemas.openxmlformats.org/drawingml/2006/picture">
                <pic:pic>
                  <pic:nvPicPr>
                    <pic:cNvPr id="0" name="math_35.png"/>
                    <pic:cNvPicPr/>
                  </pic:nvPicPr>
                  <pic:blipFill>
                    <a:blip r:embed="rId43"/>
                    <a:stretch>
                      <a:fillRect/>
                    </a:stretch>
                  </pic:blipFill>
                  <pic:spPr>
                    <a:xfrm>
                      <a:off x="0" y="0"/>
                      <a:ext cx="2792730" cy="2667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(t^{2}+t^{3})-t^{2}\to0_{+}^{\mathsf{F}},\quad(t^{2}-t^{3})-t^{2}\to0_{-}^{\mathsf{F}}</w:t>
      </w:r>
    </w:p>
    <w:p>
      <w:pPr>
        <w:pStyle w:val="BodyText"/>
      </w:pPr>
      <w:r>
        <w:t xml:space="preserve">Aus den vier Befunden erhalte ich ein verbindliches Prüfverfahren für die Erweiterung der FRZK-Rechenregeln. Zunächst lege ich den Grenzparameter und den gemeinsamen lokalen Definitionsbereich fest. Anschließend prüfe ich die Klassifizierbarkeit der Ausgangsfunktionen sowie die Zulässigkeit ihrer punktweisen Operation. Darauf folgt die Prüfung der Repräsentantenunabhängigkeit. Ist sie nicht erfüllt, werden erhaltene Identitäten, Leitordnungen oder weitere asymptotische Informationen berücksichtigt. Schließlich erfolgt eine Vergleichsprüfung der berechneten Ergebnisklasse mit dem ursprünglichen vollständigen Funktionsterm.</w:t>
      </w:r>
    </w:p>
    <w:p>
      <w:pPr>
        <w:pStyle w:val="BodyText"/>
      </w:pPr>
      <w:r>
        <w:t xml:space="preserve">Für diesen Ablauf unterscheide ich ausdrücklich die Zustände „gültig und eindeutig“, „auf der vorhandenen Informationsebene nicht bestimmbar“, „außerhalb des Definitionsbereichs“ und „durch Gegenbeispiel widerlegt“. Diese Unterscheidung ist wissenschaftlich erforderlich: Ein nicht berechneter symbolischer Ausdruck ist nicht schon ein mathematischer Widerspruch. Eine widersprüchliche Regel liegt erst dann vor, wenn dieselben behaupteten Geltungsbedingungen unterschiedliche Ergebnisse zulassen oder eine Regel mit einer nachgewiesenen funktionalen Identität unvereinbar ist.</w:t>
      </w:r>
    </w:p>
    <w:p>
      <w:pPr>
        <w:pStyle w:val="BodyText"/>
      </w:pPr>
      <w:r>
        <w:t xml:space="preserve">Die Aufgabe eines formalen Prüfsystems kann darin bestehen, die Voraussetzungen bereits bewiesener Regeln für konkrete Ausdrücke zu kontrollieren und Abweichungen nachvollziehbar zu dokumentieren. Eine endliche Anzahl erfolgreich getesteter Einzelbeispiele ersetzt dagegen keinen Allgemeinbeweis. Umgekehrt genügt ein einziges zulässiges Gegenbeispiel, um eine unbeschränkt formulierte Regel zu widerlegen. Daher verwende ich positive Beispiele zur Erläuterung, allgemeine mathematische Argumente zum Nachweis und Gegenbeispiele zur Begrenzung von Gültigkeitsansprüchen.</w:t>
      </w:r>
    </w:p>
    <w:p>
      <w:pPr>
        <w:pStyle w:val="BodyText"/>
      </w:pPr>
      <w:r>
        <w:t xml:space="preserve">Als Ergebnis halte ich fest, dass die grundlegende FRZK-Symbolrechnung innerhalb der ausgewiesenen Funktionsklassen als partielle, repräsentantenunabhängig definierte Rechenstruktur formuliert werden kann. Die eigentliche Algebra verbleibt auf der Ebene der reellen Funktionskeime. Ihre Reduktion auf gerichtete Grenzklassen ist nur für solche Teiloperationen zulässig, deren Ergebnis durch die verfügbare Information bestimmt wird. Die im FRZK angestrebte Einfachheit der Darstellung darf deshalb nie mit der mathematischen Vollständigkeit der Funktionsrepräsentation verwechselt werden.</w:t>
      </w:r>
    </w:p>
    <w:p>
      <w:pPr>
        <w:pStyle w:val="BodyText"/>
      </w:pPr>
      <w:r>
        <w:t xml:space="preserve">Für den methodisch-didaktischen Einsatz ist gerade diese Trennung von Bedeutung. Die gerichteten Symbole geben Lernenden eine explizite Orientierung über Vorzeichen und Grenzrichtung. Gleichzeitig kennzeichnet eine unbestimmte Symboloperation nachvollziehbar den Bedarf an weiteren funktionalen Informationen. Ob das zu einer verbesserten Fehlererkennung oder zu kürzeren Bearbeitungswegen führt, bleibt einer eigenen empirischen Untersuchung vorbehalten. Die mathematische Konsistenz stellt hierfür die notwendige, aber noch nicht hinreichende Voraussetzung dar.</w:t>
      </w:r>
    </w:p>
    <w:p>
      <w:pPr>
        <w:pStyle w:val="BodyText"/>
      </w:pPr>
      <w:r>
        <w:t xml:space="preserve">In Abschnitt 2.6 werde ich auf dieser Grundlage die hierarchischen Rechenebenen des FRZK und eine kontrollierte Auswertungsfolge entwickeln. Die funktionale Herkunft, die gerichtete Grenzklassifikation, die asymptotische Verfeinerung und die Prüfung der Geltungsbedingungen werden dort zu einem einheitlichen Verfahren verbunden. Diese Folge muss sicherstellen, dass jede zulässige symbolische Vereinfachung nachvollziehbar bleibt und bei fehlender Eindeutigkeit auf eine hinreichend informative mathematische Ebene zurückgeführt wird.</w:t>
      </w:r>
    </w:p>
    <w:bookmarkEnd w:id="25"/>
    <w:bookmarkStart w:id="26" w:name="literatur-zu-abschnitt-2.5"/>
    <w:p>
      <w:pPr>
        <w:pStyle w:val="Heading2"/>
        <w:keepNext/>
      </w:pPr>
      <w:r>
        <w:t xml:space="preserve">Literatur zu Abschnitt 2.5</w:t>
      </w:r>
    </w:p>
    <w:p>
      <w:pPr>
        <w:pStyle w:val="FirstParagraph"/>
      </w:pPr>
      <w:r>
        <w:rPr>
          <w:sz w:val="18"/>
        </w:rPr>
        <w:t xml:space="preserve">[[6]] National Institute of Standards and Technology (NIST): Digital Library of Mathematical Functions. Kapitel 2 „Asymptotic Approximations“, Abschnitt 2.1 „Definitions and Elementary Properties“, insbesondere § 2.1(iii). Herausgegeben von F. W. J. Olver, A. B. Olde Daalhuis, D. W. Lozier und weiteren Mitwirkenden.</w:t>
      </w:r>
    </w:p>
    <w:p>
      <w:pPr>
        <w:pStyle w:val="BodyText"/>
      </w:pPr>
      <w:r>
        <w:rPr>
          <w:sz w:val="18"/>
        </w:rPr>
        <w:t xml:space="preserve">[[8]] Encyclopedia of Mathematics: „Infinity“. Darstellung des Unendlichkeitsbegriffs und der in der erweiterten reellen Zahlengeraden nur teilweise definierten Rechenoperationen.</w:t>
      </w:r>
    </w:p>
    <w:p>
      <w:pPr>
        <w:pStyle w:val="BodyText"/>
      </w:pPr>
      <w:r>
        <w:rPr>
          <w:sz w:val="18"/>
        </w:rPr>
        <w:t xml:space="preserve">[[9]] Encyclopedia of Mathematics: „Germ“. Definition lokaler Funktionskeime und Übertragung algebraischer Operationen auf die entsprechenden Äquivalenzklassen. Ursprünglicher Beitrag von E. M. Chirka.</w:t>
      </w:r>
    </w:p>
    <w:bookmarkEnd w:id="26"/>
    <w:bookmarkEnd w:id="27"/>
    <w:sectPr>
      <w:headerReference w:type="default" r:id="rId44"/>
      <w:footerReference w:type="default" r:id="rId45"/>
      <w:pgMar w:top="1389" w:bottom="1304" w:left="1616" w:right="1502" w:header="680" w:footer="6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64737E"/>
        <w:sz w:val="16"/>
      </w:rPr>
      <w:t xml:space="preserve">FRZK · Abschnitt 2.5    |    Seite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64737E"/>
        <w:sz w:val="16"/>
      </w:rPr>
      <w:t>FRZK  |  KAPITEL 2  ·  ALGEBRAISCHE STRUKTUR UND KONSISTENZ</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69" w:lineRule="auto" w:after="90"/>
    </w:pPr>
    <w:rPr>
      <w:rFonts w:ascii="Cambria" w:hAnsi="Cambria"/>
      <w:color w:val="1D242B"/>
      <w:sz w:val="21"/>
    </w:rPr>
  </w:style>
  <w:style w:styleId="BodyText" w:type="paragraph">
    <w:name w:val="Body Text"/>
    <w:basedOn w:val="Normal"/>
    <w:link w:val="BodyTextChar"/>
    <w:qFormat/>
    <w:pPr>
      <w:spacing w:after="90" w:before="180" w:line="269" w:lineRule="auto"/>
    </w:pPr>
    <w:rPr>
      <w:rFonts w:ascii="Cambria" w:hAnsi="Cambria"/>
      <w:color w:val="1D242B"/>
      <w:sz w:val="21"/>
    </w:rPr>
  </w:style>
  <w:style w:customStyle="1" w:styleId="FirstParagraph" w:type="paragraph">
    <w:name w:val="First Paragraph"/>
    <w:basedOn w:val="BodyText"/>
    <w:next w:val="BodyText"/>
    <w:qFormat/>
    <w:pPr>
      <w:spacing w:line="269" w:lineRule="auto" w:after="90"/>
    </w:pPr>
    <w:rPr>
      <w:rFonts w:ascii="Cambria" w:hAnsi="Cambria"/>
      <w:color w:val="1D242B"/>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00" w:before="0"/>
      <w:outlineLvl w:val="0"/>
    </w:pPr>
    <w:rPr>
      <w:rFonts w:asciiTheme="majorHAnsi" w:cstheme="majorBidi" w:eastAsiaTheme="majorEastAsia" w:hAnsiTheme="majorHAnsi" w:ascii="Cambria" w:hAnsi="Cambria"/>
      <w:b/>
      <w:bCs/>
      <w:color w:val="193044"/>
      <w:sz w:val="31"/>
      <w:szCs w:val="32"/>
    </w:rPr>
  </w:style>
  <w:style w:styleId="Heading2" w:type="paragraph">
    <w:name w:val="Heading 2"/>
    <w:basedOn w:val="Normal"/>
    <w:next w:val="BodyText"/>
    <w:uiPriority w:val="9"/>
    <w:unhideWhenUsed/>
    <w:qFormat/>
    <w:pPr>
      <w:keepNext/>
      <w:keepLines/>
      <w:spacing w:after="140" w:before="280"/>
      <w:outlineLvl w:val="1"/>
    </w:pPr>
    <w:rPr>
      <w:rFonts w:asciiTheme="majorHAnsi" w:cstheme="majorBidi" w:eastAsiaTheme="majorEastAsia" w:hAnsiTheme="majorHAnsi" w:ascii="Cambria" w:hAnsi="Cambria"/>
      <w:b/>
      <w:bCs/>
      <w:color w:val="193044"/>
      <w:sz w:val="25"/>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header" Target="header1.xml"/><Relationship Id="rId4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Algebraische Struktur und Konsistenz des FRZK</dc:title>
  <dc:creator/>
  <cp:keywords>FRZK, Funktionskeime, Konsistenz, Grenzwerte, partielle Algebra</cp:keywords>
  <dcterms:created xsi:type="dcterms:W3CDTF">2026-10-20T08:20:09Z</dcterms:created>
  <dcterms:modified xsi:type="dcterms:W3CDTF">2026-10-20T08:20:09Z</dcterms:modified>
  <dc:subject>Funktionskeime, partielle Rechenoperationen, Konsistenz, algebraische Gesetze</dc:subject>
  <cp:lastModifiedBy/>
</cp:coreProperties>
</file>

<file path=docProps/custom.xml><?xml version="1.0" encoding="utf-8"?>
<Properties xmlns="http://schemas.openxmlformats.org/officeDocument/2006/custom-properties" xmlns:vt="http://schemas.openxmlformats.org/officeDocument/2006/docPropsVTypes"/>
</file>