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3c52571ad1df864896ac210f0ff997ebe3b3f9"/>
    <w:p>
      <w:pPr>
        <w:pStyle w:val="Heading1"/>
        <w:keepNext/>
      </w:pPr>
      <w:r>
        <w:t xml:space="preserve">2.6 Hierarchisches FRZK-Rechenverfahren und kontrollierte Symbolauswertung</w:t>
      </w:r>
    </w:p>
    <w:bookmarkStart w:id="20" w:name="X8c36c0d4af9d129402a474d2962a5b435b64d08"/>
    <w:p>
      <w:pPr>
        <w:pStyle w:val="Heading2"/>
        <w:keepNext/>
      </w:pPr>
      <w:r>
        <w:t xml:space="preserve">2.6.1 Hierarchie der mathematischen Informationsebenen</w:t>
      </w:r>
    </w:p>
    <w:p>
      <w:pPr>
        <w:pStyle w:val="FirstParagraph"/>
      </w:pPr>
      <w:r>
        <w:t xml:space="preserve">Die bisher entwickelten Regeln des Funktionalen Raum-Zeit-Kohärenzsystems ermöglichen eine gerichtete Beschreibung positiver und negativer Nullannäherungen sowie positiver und negativer Unendlichkeiten. Gleichzeitig haben die Konsistenzprüfungen gezeigt, dass eine bloße Grenzklassifikation nicht mit dem ursprünglichen Funktionsterm gleichgesetzt werden darf. Vor allem Differenzen, Quotienten und gegenläufige Produkte können Informationen benötigen, die nach der Reduktion auf eines der vier gerichteten Symbole nicht mehr vorhanden sind. Um diesen Zusammenhang für längere Rechnungen beherrschbar zu machen, führe ich eine Hierarchie von Informationsebenen ein. Sie soll nicht neue Grenzwertsätze ersetzen, sondern für jeden Rechenschritt ausweisen, welche mathematischen Daten vorhanden sind und welche Operationen daraus verlässlich folgen.</w:t>
      </w:r>
    </w:p>
    <w:p>
      <w:pPr>
        <w:pStyle w:val="BodyText"/>
      </w:pPr>
      <w:r>
        <w:t xml:space="preserve">Die Rechenhierarchie beruht auf vier sachlich unterscheidbaren Ebenen. Die funktionale Ebene bewahrt den vollständigen Ausdruck, seinen Definitionsbereich und den Grenzprozess. Die gerichtete Symbolebene enthält die qualitative Grenzklassifikation. Die asymptotische Ebene ergänzt führende Koeffizienten und Ordnungen, soweit sie bestimmbar sind. Eine weitere, bei Bedarf benötigte Ebene verwaltet mehrgliedrige Entwicklungen, Restinformationen und algebraische Identitäten. Die Darstellung der Informationen ist damit gestuft; die ursprüngliche funktionale Bedeutung wird jedoch nicht durch eine der reduzierten Ebenen ersetzt.</w:t>
      </w:r>
    </w:p>
    <w:p>
      <w:pPr>
        <w:pStyle w:val="BodyText"/>
        <w:keepNext/>
        <w:spacing w:before="140" w:after="40"/>
        <w:jc w:val="center"/>
      </w:pPr>
      <w:r>
        <w:drawing>
          <wp:inline>
            <wp:extent cx="1638300" cy="266700"/>
            <wp:docPr id="1" name="Picture 1"/>
            <wp:cNvGraphicFramePr>
              <a:graphicFrameLocks noChangeAspect="1"/>
            </wp:cNvGraphicFramePr>
            <a:graphic>
              <a:graphicData uri="http://schemas.openxmlformats.org/drawingml/2006/picture">
                <pic:pic>
                  <pic:nvPicPr>
                    <pic:cNvPr id="0" name="math_01.png"/>
                    <pic:cNvPicPr/>
                  </pic:nvPicPr>
                  <pic:blipFill>
                    <a:blip r:embed="rId9"/>
                    <a:stretch>
                      <a:fillRect/>
                    </a:stretch>
                  </pic:blipFill>
                  <pic:spPr>
                    <a:xfrm>
                      <a:off x="0" y="0"/>
                      <a:ext cx="163830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\mathcal{S}_{\mathsf{F}}=\{0_{+}^{\mathsf{F}},0_{-}^{\mathsf{F}},\infty_{+}^{\mathsf{F}},\infty_{-}^{\mathsf{F}}\}</w:t>
      </w:r>
    </w:p>
    <w:p>
      <w:pPr>
        <w:pStyle w:val="BodyText"/>
      </w:pPr>
      <w:r>
        <w:t xml:space="preserve">Das hochgestellte aufrechte serifenlose F kennzeichnet ein FRZK-Symbol und ist keine Potenz. Die beiden gerichteten Nullsymbole stehen für schließlich strikt positive beziehungsweise negative Funktionswerte, deren Betrag gegen null strebt. Die Unendlichkeitssymbole erfassen die beiden gerichteten Arten unbegrenzten Wachstums. Endliche Grenzwerte, die exakte Null und nicht klassifizierbare Verläufe müssen ergänzend erfasst werden. Insbesondere darf eine Funktion mit häufigem Vorzeichenwechsel nicht willkürlich einer gerichteten Nullklasse zugeschlagen werden.</w:t>
      </w:r>
    </w:p>
    <w:p>
      <w:pPr>
        <w:pStyle w:val="BodyText"/>
        <w:keepNext/>
        <w:spacing w:before="140" w:after="40"/>
        <w:jc w:val="center"/>
      </w:pPr>
      <w:r>
        <w:drawing>
          <wp:inline>
            <wp:extent cx="1325880" cy="236220"/>
            <wp:docPr id="2" name="Picture 2"/>
            <wp:cNvGraphicFramePr>
              <a:graphicFrameLocks noChangeAspect="1"/>
            </wp:cNvGraphicFramePr>
            <a:graphic>
              <a:graphicData uri="http://schemas.openxmlformats.org/drawingml/2006/picture">
                <pic:pic>
                  <pic:nvPicPr>
                    <pic:cNvPr id="0" name="math_02.png"/>
                    <pic:cNvPicPr/>
                  </pic:nvPicPr>
                  <pic:blipFill>
                    <a:blip r:embed="rId10"/>
                    <a:stretch>
                      <a:fillRect/>
                    </a:stretch>
                  </pic:blipFill>
                  <pic:spPr>
                    <a:xfrm>
                      <a:off x="0" y="0"/>
                      <a:ext cx="1325880" cy="23622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\mathcal{K}_{\mathsf{F}}=\mathbb{R}\,\dot\cup\,\mathcal{S}_{\mathsf{F}}\,\dot\cup\,\{\bot\}</w:t>
      </w:r>
    </w:p>
    <w:p>
      <w:pPr>
        <w:pStyle w:val="BodyText"/>
      </w:pPr>
      <w:r>
        <w:t xml:space="preserve">Die disjunkte Vereinigung in dieser Schreibweise ist eine Typfestlegung: Die reelle Null, die vier gerichteten Grenzsymbole und der besondere Ausgabestatus für eine fehlende Klassifikation sind auseinanderzuhalten. Das Zeichen für eine fehlende Klassifikation ist kein mathematischer Grenzwert. Es dient lediglich dazu, ein negatives oder unvollständiges Prüfergebnis kenntlich zu machen. Die Zusammenführung aller Arten von Ergebnissen in einer Repräsentation verhindert, dass beispielsweise eine exakte Null und eine positive Nullannäherung versehentlich als derselbe algebraische Operand behandelt werden.</w:t>
      </w:r>
    </w:p>
    <w:p>
      <w:pPr>
        <w:pStyle w:val="BodyText"/>
      </w:pPr>
      <w:r>
        <w:t xml:space="preserve">Die Reihenfolge der Ebenen ist eine Ordnung nach verfügbarem Informationsgehalt und keine Behauptung, jede Funktion besitze stets eine asymptotische Potenz- oder Logarithmussignatur. Eine Funktion kann auf der funktionalen Ebene vollständig vorliegen, eine gerichtete Grenzklasse besitzen und dennoch keine der in Abschnitt 2.4 eingeführten einfachen asymptotischen Signaturen erfüllen. Umgekehrt kann eine endliche algebraische Identität eine Rechnung entscheiden, obwohl ihre Zwischenwerte symbolisch unbestimmt erscheinen. Deshalb bildet die funktionale Ebene den unverzichtbaren Bezugspunkt aller späteren Auswertungsschritte.</w:t>
      </w:r>
    </w:p>
    <w:p>
      <w:pPr>
        <w:pStyle w:val="BodyText"/>
      </w:pPr>
      <w:r>
        <w:t xml:space="preserve">Bei der hierarchischen Rechnung wird eine vorhandene Informationsebene nicht blind durch die nächsthöhere ersetzt. Stattdessen prüfe ich zunächst, ob die einfachste für den jeweiligen Schritt ausreichende Darstellung das Resultat eindeutig bestimmt. Wenn sie dafür nicht genügt, greife ich gezielt auf die vorhandenen weiteren Informationen zurück. Dieses Vorgehen entspricht der elementaren Einsicht der asymptotischen Analysis, dass verschiedene Größenordnungen nur im Rahmen ihrer jeweils nachgewiesenen Gültigkeit verrechnet werden dürfen. {[National Institute of Standards and Technology: Digital Library of Mathematical Functions, § 2.1 „Definitions and Elementary Properties“, insbesondere asymptotische Ordnungssymbole und Entwicklungen.]}[[6]]</w:t>
      </w:r>
    </w:p>
    <w:bookmarkEnd w:id="20"/>
    <w:bookmarkStart w:id="21" w:name="X23aecdeb3f5c3821b04aaf2d901c6d6767564c3"/>
    <w:p>
      <w:pPr>
        <w:pStyle w:val="Heading2"/>
        <w:keepNext/>
      </w:pPr>
      <w:r>
        <w:t xml:space="preserve">2.6.2 Funktionale Rechenrepräsentation und Informationserhalt</w:t>
      </w:r>
    </w:p>
    <w:p>
      <w:pPr>
        <w:pStyle w:val="FirstParagraph"/>
      </w:pPr>
      <w:r>
        <w:t xml:space="preserve">Die formale Grundlage des Verfahrens bildet ein Recheneintrag, der nicht nur ein sichtbares Symbol, sondern dessen überprüfbare Herkunft enthält. Ich definiere ihn zunächst als mathematisch beschreibbare Struktur mit vier Bestandteilen: dem Funktionsterm, dem lokalen Grenzbereich, einer gegebenenfalls vorhandenen Grenzklassifikation und einer Menge nachgewiesener Zusatzinformationen. Diese Struktur ist keine neue physikalische Größe und keine durch die FRZK-Symbole erzeugte Zahl. Sie ist eine disziplinierte Beschreibung der für die Rechnung verfügbaren Daten.</w:t>
      </w:r>
    </w:p>
    <w:p>
      <w:pPr>
        <w:pStyle w:val="BodyText"/>
        <w:keepNext/>
        <w:spacing w:before="140" w:after="40"/>
        <w:jc w:val="center"/>
      </w:pPr>
      <w:r>
        <w:drawing>
          <wp:inline>
            <wp:extent cx="1733550" cy="228600"/>
            <wp:docPr id="3" name="Picture 3"/>
            <wp:cNvGraphicFramePr>
              <a:graphicFrameLocks noChangeAspect="1"/>
            </wp:cNvGraphicFramePr>
            <a:graphic>
              <a:graphicData uri="http://schemas.openxmlformats.org/drawingml/2006/picture">
                <pic:pic>
                  <pic:nvPicPr>
                    <pic:cNvPr id="0" name="math_03.png"/>
                    <pic:cNvPicPr/>
                  </pic:nvPicPr>
                  <pic:blipFill>
                    <a:blip r:embed="rId11"/>
                    <a:stretch>
                      <a:fillRect/>
                    </a:stretch>
                  </pic:blipFill>
                  <pic:spPr>
                    <a:xfrm>
                      <a:off x="0" y="0"/>
                      <a:ext cx="173355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\mathcal{R}_{\mathsf{F}}(u)=(u,D,\sigma_{\mathsf{F}}(u),P_u)</w:t>
      </w:r>
    </w:p>
    <w:p>
      <w:pPr>
        <w:pStyle w:val="BodyText"/>
      </w:pPr>
      <w:r>
        <w:t xml:space="preserve">Der Grenzbereich D enthält den gemeinsamen Grenzparameter, die Annäherungsrichtung und den für die betreffende Rechnung benötigten Definitionsbereich. Die Zusatzinformationen P können beispielsweise eine algebraische Identität, eine asymptotische Leitsignatur, Restabschätzungen oder eine Beziehung zu einem anderen Ausdruck enthalten. Liegt eine bestimmte Klassifikation noch nicht vor, bleibt ihr Platz ausdrücklich offen. Ich fordere nicht, aus einer unzureichenden Informationslage einen symbolischen Grenzwert zu erzeugen.</w:t>
      </w:r>
    </w:p>
    <w:p>
      <w:pPr>
        <w:pStyle w:val="BodyText"/>
        <w:keepNext/>
        <w:spacing w:before="140" w:after="40"/>
        <w:jc w:val="center"/>
      </w:pPr>
      <w:r>
        <w:drawing>
          <wp:inline>
            <wp:extent cx="2209800" cy="247649"/>
            <wp:docPr id="4" name="Picture 4"/>
            <wp:cNvGraphicFramePr>
              <a:graphicFrameLocks noChangeAspect="1"/>
            </wp:cNvGraphicFramePr>
            <a:graphic>
              <a:graphicData uri="http://schemas.openxmlformats.org/drawingml/2006/picture">
                <pic:pic>
                  <pic:nvPicPr>
                    <pic:cNvPr id="0" name="math_04.png"/>
                    <pic:cNvPicPr/>
                  </pic:nvPicPr>
                  <pic:blipFill>
                    <a:blip r:embed="rId12"/>
                    <a:stretch>
                      <a:fillRect/>
                    </a:stretch>
                  </pic:blipFill>
                  <pic:spPr>
                    <a:xfrm>
                      <a:off x="0" y="0"/>
                      <a:ext cx="2209800" cy="247649"/>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D=(0,\varepsilon),\qquad t\longrightarrow0^{+},\quad\varepsilon&gt;0</w:t>
      </w:r>
    </w:p>
    <w:p>
      <w:pPr>
        <w:pStyle w:val="BodyText"/>
      </w:pPr>
      <w:r>
        <w:t xml:space="preserve">Die Rechenrepräsentation muss die Unterscheidung zwischen zwei Informationen ermöglichen: der Aussage, dass zwei Terme denselben Grenzzustand besitzen, und der stärkeren Aussage, dass sie auf einem gemeinsamen lokalen Intervall identisch sind. Im ersten Fall können ihre Differenzen unterschiedliche Vorzeichen annehmen. Im zweiten Fall lässt sich die Differenz exakt vereinfachen. Diese Unterscheidung ist deshalb als eigenes Erhaltungsprinzip aufzunehmen.</w:t>
      </w:r>
    </w:p>
    <w:p>
      <w:pPr>
        <w:pStyle w:val="BodyText"/>
        <w:keepNext/>
        <w:spacing w:before="140" w:after="40"/>
        <w:jc w:val="center"/>
      </w:pPr>
      <w:r>
        <w:drawing>
          <wp:inline>
            <wp:extent cx="1775460" cy="228600"/>
            <wp:docPr id="5" name="Picture 5"/>
            <wp:cNvGraphicFramePr>
              <a:graphicFrameLocks noChangeAspect="1"/>
            </wp:cNvGraphicFramePr>
            <a:graphic>
              <a:graphicData uri="http://schemas.openxmlformats.org/drawingml/2006/picture">
                <pic:pic>
                  <pic:nvPicPr>
                    <pic:cNvPr id="0" name="math_05.png"/>
                    <pic:cNvPicPr/>
                  </pic:nvPicPr>
                  <pic:blipFill>
                    <a:blip r:embed="rId13"/>
                    <a:stretch>
                      <a:fillRect/>
                    </a:stretch>
                  </pic:blipFill>
                  <pic:spPr>
                    <a:xfrm>
                      <a:off x="0" y="0"/>
                      <a:ext cx="177546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\sigma_{\mathsf{F}}(u)=\sigma_{\mathsf{F}}(v)\ \not\Longrightarrow\ u=v</w:t>
      </w:r>
    </w:p>
    <w:p>
      <w:pPr>
        <w:pStyle w:val="BodyText"/>
      </w:pPr>
      <w:r>
        <w:t xml:space="preserve">Ein weiteres Erhaltungsprinzip betrifft gemeinsame Parameter. Eine Rechenoperation mit zwei Grenzsymbolen ist nur dann über ihre ursprünglichen Funktionen auswertbar, wenn die beteiligten Grenzprozesse miteinander verträglich sind. Beispielsweise dürfen unabhängig parametrisierte Annäherungen nicht ohne zusätzliche Festlegung so behandelt werden, als besäßen sie ein bereits bestimmtes Wachstumsverhältnis. Deshalb müssen gemeinsame Parameterbindungen, Substitutionen und relevante Abhängigkeitsbeziehungen in der funktionalen Rechenrepräsentation erhalten bleiben.</w:t>
      </w:r>
    </w:p>
    <w:p>
      <w:pPr>
        <w:pStyle w:val="BodyText"/>
      </w:pPr>
      <w:r>
        <w:t xml:space="preserve">Für die mathematische Bearbeitung genügt dabei eine lokale Darstellung. Zwei Funktionen, die ab einem hinreichend kleinen positiven Parameterwert übereinstimmen, erzeugen denselben lokalen Funktionskeim. Addition und Multiplikation auf solchen Keimen erben ihre Wohldefiniertheit von den gewöhnlichen reellen Funktionen. Die FRZK-Klassifikation bleibt davon verschieden, weil sie mehrere unterschiedliche Keime auf dasselbe Grenzsymbol abbilden kann. {[Encyclopedia of Mathematics: „Germ“, Definition und algebraische Operationen auf lokalen Funktionskeimen.]}[[9]]</w:t>
      </w:r>
    </w:p>
    <w:p>
      <w:pPr>
        <w:pStyle w:val="BodyText"/>
        <w:keepNext/>
        <w:spacing w:before="140" w:after="40"/>
        <w:jc w:val="center"/>
      </w:pPr>
      <w:r>
        <w:drawing>
          <wp:inline>
            <wp:extent cx="3070860" cy="228600"/>
            <wp:docPr id="6" name="Picture 6"/>
            <wp:cNvGraphicFramePr>
              <a:graphicFrameLocks noChangeAspect="1"/>
            </wp:cNvGraphicFramePr>
            <a:graphic>
              <a:graphicData uri="http://schemas.openxmlformats.org/drawingml/2006/picture">
                <pic:pic>
                  <pic:nvPicPr>
                    <pic:cNvPr id="0" name="math_06.png"/>
                    <pic:cNvPicPr/>
                  </pic:nvPicPr>
                  <pic:blipFill>
                    <a:blip r:embed="rId14"/>
                    <a:stretch>
                      <a:fillRect/>
                    </a:stretch>
                  </pic:blipFill>
                  <pic:spPr>
                    <a:xfrm>
                      <a:off x="0" y="0"/>
                      <a:ext cx="307086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u\sim_{\mathrm{lok}}v\ \Longleftrightarrow\ \exists\delta&gt;0\ \forall t\in(0,\delta):\ u(t)=v(t)</w:t>
      </w:r>
    </w:p>
    <w:p>
      <w:pPr>
        <w:pStyle w:val="BodyText"/>
      </w:pPr>
      <w:r>
        <w:t xml:space="preserve">Für die Berechnung eines zusammengesetzten Ausdrucks ist außerdem die Herkunft mehrfach vorkommender Teilfunktionen zu verfolgen. Wenn derselbe Term an zwei Stellen erscheint, ist dies eine algebraische Identität und nicht bloß die Übereinstimmung zweier unabhängig klassifizierter Grenzwerte. Wird nur das Endsymbol gespeichert, geht diese Information verloren. Die Rechenrepräsentation darf deshalb bei einer symbolischen Reduktion die zugehörige Quelle nicht löschen, solange spätere Rechenschritte auf sie angewiesen sein könnten.</w:t>
      </w:r>
    </w:p>
    <w:p>
      <w:pPr>
        <w:pStyle w:val="BodyText"/>
        <w:keepNext/>
        <w:spacing w:before="140" w:after="40"/>
        <w:jc w:val="center"/>
      </w:pPr>
      <w:r>
        <w:drawing>
          <wp:inline>
            <wp:extent cx="2053589" cy="438150"/>
            <wp:docPr id="7" name="Picture 7"/>
            <wp:cNvGraphicFramePr>
              <a:graphicFrameLocks noChangeAspect="1"/>
            </wp:cNvGraphicFramePr>
            <a:graphic>
              <a:graphicData uri="http://schemas.openxmlformats.org/drawingml/2006/picture">
                <pic:pic>
                  <pic:nvPicPr>
                    <pic:cNvPr id="0" name="math_07.png"/>
                    <pic:cNvPicPr/>
                  </pic:nvPicPr>
                  <pic:blipFill>
                    <a:blip r:embed="rId15"/>
                    <a:stretch>
                      <a:fillRect/>
                    </a:stretch>
                  </pic:blipFill>
                  <pic:spPr>
                    <a:xfrm>
                      <a:off x="0" y="0"/>
                      <a:ext cx="2053589"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\frac{u(t)}{u(t)}=1\quad\text{falls }u(t)\ne0\text{ auf }D</w:t>
      </w:r>
    </w:p>
    <w:p>
      <w:pPr>
        <w:pStyle w:val="BodyText"/>
      </w:pPr>
      <w:r>
        <w:t xml:space="preserve">Die Aussage setzt voraus, dass die ursprüngliche Funktion auf dem betrachteten lokalen Bereich nicht verschwindet. Sie folgt aus der exakten funktionalen Identität. Sie darf nicht in eine universelle Rechenregel für den Quotienten zweier beliebiger gleichgerichteter Nullsymbole umgedeutet werden. Damit ist eine klare Grenze zwischen der Vereinfachung eines bekannten Ausdrucks und der Anwendung einer repräsentantenunabhängigen FRZK-Rechenregel gezogen.</w:t>
      </w:r>
    </w:p>
    <w:bookmarkEnd w:id="21"/>
    <w:bookmarkStart w:id="22" w:name="kontrollierte-symbolische-auswertung"/>
    <w:p>
      <w:pPr>
        <w:pStyle w:val="Heading2"/>
        <w:keepNext/>
      </w:pPr>
      <w:r>
        <w:t xml:space="preserve">2.6.3 Kontrollierte symbolische Auswertung</w:t>
      </w:r>
    </w:p>
    <w:p>
      <w:pPr>
        <w:pStyle w:val="FirstParagraph"/>
      </w:pPr>
      <w:r>
        <w:t xml:space="preserve">Für jede Teiloperation untersuche ich zunächst, ob das Ergebnis aus den bekannten Grenzklassen eindeutig folgt. Eine reine FRZK-Operation ist genau dann zulässig, wenn die zugrunde liegende Funktionaloperation für alle zulässigen Repräsentanten definiert und ihre resultierende Klassifikation unabhängig von deren Wahl ist. Das Verfahren verwendet damit nicht eine möglichst umfangreiche Rechentafel, sondern eine nur dort definierte symbolische Operation, wo ihre Anwendung mathematisch abgesichert ist.</w:t>
      </w:r>
    </w:p>
    <w:p>
      <w:pPr>
        <w:pStyle w:val="BodyText"/>
        <w:keepNext/>
        <w:spacing w:before="140" w:after="40"/>
        <w:jc w:val="center"/>
      </w:pPr>
      <w:r>
        <w:drawing>
          <wp:inline>
            <wp:extent cx="3044190" cy="262890"/>
            <wp:docPr id="8" name="Picture 8"/>
            <wp:cNvGraphicFramePr>
              <a:graphicFrameLocks noChangeAspect="1"/>
            </wp:cNvGraphicFramePr>
            <a:graphic>
              <a:graphicData uri="http://schemas.openxmlformats.org/drawingml/2006/picture">
                <pic:pic>
                  <pic:nvPicPr>
                    <pic:cNvPr id="0" name="math_08.png"/>
                    <pic:cNvPicPr/>
                  </pic:nvPicPr>
                  <pic:blipFill>
                    <a:blip r:embed="rId16"/>
                    <a:stretch>
                      <a:fillRect/>
                    </a:stretch>
                  </pic:blipFill>
                  <pic:spPr>
                    <a:xfrm>
                      <a:off x="0" y="0"/>
                      <a:ext cx="3044190" cy="26289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a\,\widehat\circ_{\mathsf{F}}\,b=c\ \Longleftrightarrow\ \forall(u,v)\in\mathcal{D}_{a,b}^{\circ}:\ \sigma_{\mathsf{F}}(u\circ v)=c</w:t>
      </w:r>
    </w:p>
    <w:p>
      <w:pPr>
        <w:pStyle w:val="BodyText"/>
      </w:pPr>
      <w:r>
        <w:t xml:space="preserve">Die Menge der zugelassenen Funktionspaare ist hierbei ausdrücklich durch den gemeinsamen Grenzbereich, die zugehörigen Symbolklassen und die Definitionsbedingungen der Operation bestimmt. Diese Festlegung verhindert, dass eine Operation allein deshalb für zulässig erklärt wird, weil ein einzelnes Beispiel ein bestimmtes Ergebnis liefert. Für die Kehrwertbildung einer positiven gerichteten Null ist die Unabhängigkeit von der konkreten Annäherungsgeschwindigkeit gegeben.</w:t>
      </w:r>
    </w:p>
    <w:p>
      <w:pPr>
        <w:pStyle w:val="BodyText"/>
        <w:keepNext/>
        <w:spacing w:before="140" w:after="40"/>
        <w:jc w:val="center"/>
      </w:pPr>
      <w:r>
        <w:drawing>
          <wp:inline>
            <wp:extent cx="727710" cy="445770"/>
            <wp:docPr id="9" name="Picture 9"/>
            <wp:cNvGraphicFramePr>
              <a:graphicFrameLocks noChangeAspect="1"/>
            </wp:cNvGraphicFramePr>
            <a:graphic>
              <a:graphicData uri="http://schemas.openxmlformats.org/drawingml/2006/picture">
                <pic:pic>
                  <pic:nvPicPr>
                    <pic:cNvPr id="0" name="math_09.png"/>
                    <pic:cNvPicPr/>
                  </pic:nvPicPr>
                  <pic:blipFill>
                    <a:blip r:embed="rId17"/>
                    <a:stretch>
                      <a:fillRect/>
                    </a:stretch>
                  </pic:blipFill>
                  <pic:spPr>
                    <a:xfrm>
                      <a:off x="0" y="0"/>
                      <a:ext cx="727710" cy="44577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\frac{1}{0_{+}^{\mathsf{F}}}=\infty_{+}^{\mathsf{F}}</w:t>
      </w:r>
    </w:p>
    <w:p>
      <w:pPr>
        <w:pStyle w:val="BodyText"/>
      </w:pPr>
      <w:r>
        <w:t xml:space="preserve">Die Gleichung ist als symbolische FRZK-Grenzwertregel zu verstehen. Ihr Geltungsbereich umfasst schließlich strikt positive Funktionen, die gegen null streben und deshalb auf dem relevanten lokalen Intervall einen wohldefinierten Kehrwert besitzen. Die Gleichung ist keine gewöhnliche Division durch den reellen Wert null.</w:t>
      </w:r>
    </w:p>
    <w:p>
      <w:pPr>
        <w:pStyle w:val="BodyText"/>
      </w:pPr>
      <w:r>
        <w:t xml:space="preserve">Genauso kann die Addition gleichgerichteter Nullwerte unmittelbar erfolgen. Die resultierende Richtung ergibt sich ohne Kenntnis einer konkreten Potenzordnung, weil die Summe schließlich positiver und gegen null strebender Funktionen wiederum schließlich positiv ist und gegen null strebt.</w:t>
      </w:r>
    </w:p>
    <w:p>
      <w:pPr>
        <w:pStyle w:val="BodyText"/>
        <w:keepNext/>
        <w:spacing w:before="140" w:after="40"/>
        <w:jc w:val="center"/>
      </w:pPr>
      <w:r>
        <w:drawing>
          <wp:inline>
            <wp:extent cx="975360" cy="266700"/>
            <wp:docPr id="10" name="Picture 10"/>
            <wp:cNvGraphicFramePr>
              <a:graphicFrameLocks noChangeAspect="1"/>
            </wp:cNvGraphicFramePr>
            <a:graphic>
              <a:graphicData uri="http://schemas.openxmlformats.org/drawingml/2006/picture">
                <pic:pic>
                  <pic:nvPicPr>
                    <pic:cNvPr id="0" name="math_10.png"/>
                    <pic:cNvPicPr/>
                  </pic:nvPicPr>
                  <pic:blipFill>
                    <a:blip r:embed="rId18"/>
                    <a:stretch>
                      <a:fillRect/>
                    </a:stretch>
                  </pic:blipFill>
                  <pic:spPr>
                    <a:xfrm>
                      <a:off x="0" y="0"/>
                      <a:ext cx="97536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0_{+}^{\mathsf{F}}+0_{+}^{\mathsf{F}}=0_{+}^{\mathsf{F}}</w:t>
      </w:r>
    </w:p>
    <w:p>
      <w:pPr>
        <w:pStyle w:val="BodyText"/>
      </w:pPr>
      <w:r>
        <w:t xml:space="preserve">Anders verhält es sich bei der Differenz zweier positiver gerichteter Nullwerte. Schon einfachste Funktionspaare erzeugen verschiedene Richtungen oder die exakte Null. Der symbolische Ausdruck besitzt deshalb auf dieser Ebene keinen allgemein festgelegten Wert.</w:t>
      </w:r>
    </w:p>
    <w:p>
      <w:pPr>
        <w:pStyle w:val="BodyText"/>
        <w:keepNext/>
        <w:spacing w:before="140" w:after="40"/>
        <w:jc w:val="center"/>
      </w:pPr>
      <w:r>
        <w:drawing>
          <wp:inline>
            <wp:extent cx="2247900" cy="266700"/>
            <wp:docPr id="11" name="Picture 11"/>
            <wp:cNvGraphicFramePr>
              <a:graphicFrameLocks noChangeAspect="1"/>
            </wp:cNvGraphicFramePr>
            <a:graphic>
              <a:graphicData uri="http://schemas.openxmlformats.org/drawingml/2006/picture">
                <pic:pic>
                  <pic:nvPicPr>
                    <pic:cNvPr id="0" name="math_11.png"/>
                    <pic:cNvPicPr/>
                  </pic:nvPicPr>
                  <pic:blipFill>
                    <a:blip r:embed="rId19"/>
                    <a:stretch>
                      <a:fillRect/>
                    </a:stretch>
                  </pic:blipFill>
                  <pic:spPr>
                    <a:xfrm>
                      <a:off x="0" y="0"/>
                      <a:ext cx="224790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t-t=0,\qquad t-2t=-t\longrightarrow0_{-}^{\mathsf{F}}</w:t>
      </w:r>
    </w:p>
    <w:p>
      <w:pPr>
        <w:pStyle w:val="BodyText"/>
      </w:pPr>
      <w:r>
        <w:t xml:space="preserve">Ein zusätzlicher Unterschied ergibt sich zwischen einem nicht bestimmbaren Ausdruck und einem innerhalb der reellen Funktionen nicht definierten Ausdruck. Die symbolische Unbestimmtheit eines Quotienten zweier positiver Nullannäherungen besagt lediglich, dass die vorhandenen Grenzklassen dessen Ergebnis nicht bestimmen. Eine konkrete Division kann sehr wohl zulässig sein, sofern der Nenner schließlich ungleich null ist. Bei einer gewöhnlichen Division durch die exakte Null ist dagegen die betreffende Funktionaloperation nicht definiert. Diese Fälle darf ich nicht unter einem gemeinsamen Fehlerstatus zusammenfassen.</w:t>
      </w:r>
    </w:p>
    <w:p>
      <w:pPr>
        <w:pStyle w:val="BodyText"/>
      </w:pPr>
      <w:r>
        <w:t xml:space="preserve">Für die Anwendung auf komplexe Terme folgt daraus die Regel der kontrollierten Ersetzung. Ein Teilausdruck darf auf eine reine Symbolklasse reduziert werden, wenn die nachfolgend ausgeführte Operation auf dieser Klasse wohldefiniert bleibt oder eine hinreichend vollständige funktionale Herkunft verfügbar ist. Andernfalls bleibt die symbolische Klassifikation eine zusätzliche Anzeigeinformation; der eigentliche Rechenoperand wird nicht verworfen.</w:t>
      </w:r>
    </w:p>
    <w:bookmarkEnd w:id="22"/>
    <w:bookmarkStart w:id="23" w:name="X2e5531571f62fd18d5b6209392616a750eec034"/>
    <w:p>
      <w:pPr>
        <w:pStyle w:val="Heading2"/>
        <w:keepNext/>
      </w:pPr>
      <w:r>
        <w:t xml:space="preserve">2.6.4 Hierarchische Behandlung unbestimmter Formen</w:t>
      </w:r>
    </w:p>
    <w:p>
      <w:pPr>
        <w:pStyle w:val="FirstParagraph"/>
      </w:pPr>
      <w:r>
        <w:t xml:space="preserve">Reicht die qualitative Grenzklassifikation für eine Operation nicht aus, wird die Auswertung auf einer informationsreicheren Ebene fortgesetzt. Zunächst suche ich nach exakten algebraischen Beziehungen. Erst wenn diese das Ergebnis nicht entscheiden, werden gegebenenfalls asymptotische Ordnungen bestimmt. Diese Reihenfolge ist zweckmäßig, weil eine gültige Identität stärkere Information liefern kann als jede nur führende asymptotische Näherung. Die Reihenfolge bildet ein methodisches Verfahren und keine universelle Aussage über die Effizienz aller Rechenstrategien.</w:t>
      </w:r>
    </w:p>
    <w:p>
      <w:pPr>
        <w:pStyle w:val="BodyText"/>
      </w:pPr>
      <w:r>
        <w:t xml:space="preserve">Als erstes Beispiel betrachte ich einen Quotienten, dessen Zähler und Nenner bei Annäherung an dieselbe Stelle gegen null streben. Die bloße Klassifikation beider Teilausdrücke ergäbe eine unbestimmte Symbolform. Auf der funktionalen Ebene lässt sich der Quotient jedoch vereinfachen.</w:t>
      </w:r>
    </w:p>
    <w:p>
      <w:pPr>
        <w:pStyle w:val="BodyText"/>
        <w:keepNext/>
        <w:spacing w:before="140" w:after="40"/>
        <w:jc w:val="center"/>
      </w:pPr>
      <w:r>
        <w:drawing>
          <wp:inline>
            <wp:extent cx="1684020" cy="426720"/>
            <wp:docPr id="12" name="Picture 12"/>
            <wp:cNvGraphicFramePr>
              <a:graphicFrameLocks noChangeAspect="1"/>
            </wp:cNvGraphicFramePr>
            <a:graphic>
              <a:graphicData uri="http://schemas.openxmlformats.org/drawingml/2006/picture">
                <pic:pic>
                  <pic:nvPicPr>
                    <pic:cNvPr id="0" name="math_12.png"/>
                    <pic:cNvPicPr/>
                  </pic:nvPicPr>
                  <pic:blipFill>
                    <a:blip r:embed="rId20"/>
                    <a:stretch>
                      <a:fillRect/>
                    </a:stretch>
                  </pic:blipFill>
                  <pic:spPr>
                    <a:xfrm>
                      <a:off x="0" y="0"/>
                      <a:ext cx="1684020" cy="42672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\frac{x^{2}-1}{x-1}=x+1\quad(x\ne1)</w:t>
      </w:r>
    </w:p>
    <w:p>
      <w:pPr>
        <w:pStyle w:val="BodyText"/>
        <w:keepNext/>
        <w:spacing w:before="140" w:after="40"/>
        <w:jc w:val="center"/>
      </w:pPr>
      <w:r>
        <w:drawing>
          <wp:inline>
            <wp:extent cx="1135380" cy="434340"/>
            <wp:docPr id="13" name="Picture 13"/>
            <wp:cNvGraphicFramePr>
              <a:graphicFrameLocks noChangeAspect="1"/>
            </wp:cNvGraphicFramePr>
            <a:graphic>
              <a:graphicData uri="http://schemas.openxmlformats.org/drawingml/2006/picture">
                <pic:pic>
                  <pic:nvPicPr>
                    <pic:cNvPr id="0" name="math_13.png"/>
                    <pic:cNvPicPr/>
                  </pic:nvPicPr>
                  <pic:blipFill>
                    <a:blip r:embed="rId21"/>
                    <a:stretch>
                      <a:fillRect/>
                    </a:stretch>
                  </pic:blipFill>
                  <pic:spPr>
                    <a:xfrm>
                      <a:off x="0" y="0"/>
                      <a:ext cx="1135380" cy="43434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\lim_{x\to1^{+}}\frac{x^{2}-1}{x-1}=2</w:t>
      </w:r>
    </w:p>
    <w:p>
      <w:pPr>
        <w:pStyle w:val="BodyText"/>
      </w:pPr>
      <w:r>
        <w:t xml:space="preserve">Die Vereinfachung wird auf dem ursprünglichen Definitionsbereich durchgeführt. Der ausgeschlossene Punkt selbst muss nicht nachträglich als zulässiger Funktionswert behandelt werden. Hier ergibt sich das Grenzergebnis aus einer lokalen Identität und der Stetigkeit des vereinfachten Terms. Das Beispiel entspricht der klassischen Technik, vor der Grenzwertbildung auf dem zulässigen punktierten Bereich algebraisch zu kürzen. {[Strang, Gilbert; Herman, Edwin: Calculus Volume 1. OpenStax, § 2.3 „The Limit Laws“.]}[[4]]</w:t>
      </w:r>
    </w:p>
    <w:p>
      <w:pPr>
        <w:pStyle w:val="BodyText"/>
      </w:pPr>
      <w:r>
        <w:t xml:space="preserve">Als zweites Beispiel untersuche ich zwei positiv gegen null strebende Funktionen mit verschiedenen Potenzordnungen. Ihre alleinigen FRZK-Klassen bestimmen den Quotienten nicht. Sind jedoch die Leitterme asymptotisch nachgewiesen, kann die zusätzliche Ordnungsinformation unmittelbar verwendet werden.</w:t>
      </w:r>
    </w:p>
    <w:p>
      <w:pPr>
        <w:pStyle w:val="BodyText"/>
        <w:keepNext/>
        <w:spacing w:before="140" w:after="40"/>
        <w:jc w:val="center"/>
      </w:pPr>
      <w:r>
        <w:drawing>
          <wp:inline>
            <wp:extent cx="2887980" cy="228600"/>
            <wp:docPr id="14" name="Picture 14"/>
            <wp:cNvGraphicFramePr>
              <a:graphicFrameLocks noChangeAspect="1"/>
            </wp:cNvGraphicFramePr>
            <a:graphic>
              <a:graphicData uri="http://schemas.openxmlformats.org/drawingml/2006/picture">
                <pic:pic>
                  <pic:nvPicPr>
                    <pic:cNvPr id="0" name="math_14.png"/>
                    <pic:cNvPicPr/>
                  </pic:nvPicPr>
                  <pic:blipFill>
                    <a:blip r:embed="rId22"/>
                    <a:stretch>
                      <a:fillRect/>
                    </a:stretch>
                  </pic:blipFill>
                  <pic:spPr>
                    <a:xfrm>
                      <a:off x="0" y="0"/>
                      <a:ext cx="288798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u(t)=a\,t^{p}(1+o(1)),\quad v(t)=b\,t^{q}(1+o(1))</w:t>
      </w:r>
    </w:p>
    <w:p>
      <w:pPr>
        <w:pStyle w:val="BodyText"/>
        <w:keepNext/>
        <w:spacing w:before="140" w:after="40"/>
        <w:jc w:val="center"/>
      </w:pPr>
      <w:r>
        <w:drawing>
          <wp:inline>
            <wp:extent cx="2228850" cy="438150"/>
            <wp:docPr id="15" name="Picture 15"/>
            <wp:cNvGraphicFramePr>
              <a:graphicFrameLocks noChangeAspect="1"/>
            </wp:cNvGraphicFramePr>
            <a:graphic>
              <a:graphicData uri="http://schemas.openxmlformats.org/drawingml/2006/picture">
                <pic:pic>
                  <pic:nvPicPr>
                    <pic:cNvPr id="0" name="math_15.png"/>
                    <pic:cNvPicPr/>
                  </pic:nvPicPr>
                  <pic:blipFill>
                    <a:blip r:embed="rId23"/>
                    <a:stretch>
                      <a:fillRect/>
                    </a:stretch>
                  </pic:blipFill>
                  <pic:spPr>
                    <a:xfrm>
                      <a:off x="0" y="0"/>
                      <a:ext cx="2228850" cy="43815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\frac{u(t)}{v(t)}=\frac{a}{b}\,t^{p-q}(1+o(1)),\quad ab\ne0</w:t>
      </w:r>
    </w:p>
    <w:p>
      <w:pPr>
        <w:pStyle w:val="BodyText"/>
      </w:pPr>
      <w:r>
        <w:t xml:space="preserve">Die Differenz der Exponenten entscheidet, ob der Quotient betragsmäßig wächst, verschwindet oder gegen einen endlichen von null verschiedenen Wert konvergiert. Das Vorzeichen folgt aus den Leitkoeffizienten. Es handelt sich um eine mathematisch überprüfbare Verfeinerung der Grenzsymbolik und nicht um eine eigenständige unbegrenzte Division der Unendlichkeitssymbole. Diese Verwendung von asymptotischer Äquivalenz und Resttermen ist Bestandteil etablierter Verfahren der Analysis. {[National Institute of Standards and Technology: Digital Library of Mathematical Functions, § 2.1(i), (iii).]}[[6]]</w:t>
      </w:r>
    </w:p>
    <w:p>
      <w:pPr>
        <w:pStyle w:val="BodyText"/>
      </w:pPr>
      <w:r>
        <w:t xml:space="preserve">Als drittes Beispiel betrachte ich eine Differenz, bei der sich führende Terme gegenseitig aufheben. Eine Leitsignatur allein genügt nicht; für die weitere Auswertung sind nachgeordnete Beiträge erforderlich. Bei vollständiger algebraischer Identität ergibt sich die exakte Null, während ähnliche führende Terme eine positive oder negative Nullannäherung hinterlassen können.</w:t>
      </w:r>
    </w:p>
    <w:p>
      <w:pPr>
        <w:pStyle w:val="BodyText"/>
        <w:keepNext/>
        <w:spacing w:before="140" w:after="40"/>
        <w:jc w:val="center"/>
      </w:pPr>
      <w:r>
        <w:drawing>
          <wp:inline>
            <wp:extent cx="1737360" cy="266700"/>
            <wp:docPr id="16" name="Picture 16"/>
            <wp:cNvGraphicFramePr>
              <a:graphicFrameLocks noChangeAspect="1"/>
            </wp:cNvGraphicFramePr>
            <a:graphic>
              <a:graphicData uri="http://schemas.openxmlformats.org/drawingml/2006/picture">
                <pic:pic>
                  <pic:nvPicPr>
                    <pic:cNvPr id="0" name="math_16.png"/>
                    <pic:cNvPicPr/>
                  </pic:nvPicPr>
                  <pic:blipFill>
                    <a:blip r:embed="rId24"/>
                    <a:stretch>
                      <a:fillRect/>
                    </a:stretch>
                  </pic:blipFill>
                  <pic:spPr>
                    <a:xfrm>
                      <a:off x="0" y="0"/>
                      <a:ext cx="173736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(t^{2}+t^{3})-t^{2}=t^{3}\longrightarrow0_{+}^{\mathsf{F}}</w:t>
      </w:r>
    </w:p>
    <w:p>
      <w:pPr>
        <w:pStyle w:val="BodyText"/>
        <w:keepNext/>
        <w:spacing w:before="140" w:after="40"/>
        <w:jc w:val="center"/>
      </w:pPr>
      <w:r>
        <w:drawing>
          <wp:inline>
            <wp:extent cx="1859280" cy="266700"/>
            <wp:docPr id="17" name="Picture 17"/>
            <wp:cNvGraphicFramePr>
              <a:graphicFrameLocks noChangeAspect="1"/>
            </wp:cNvGraphicFramePr>
            <a:graphic>
              <a:graphicData uri="http://schemas.openxmlformats.org/drawingml/2006/picture">
                <pic:pic>
                  <pic:nvPicPr>
                    <pic:cNvPr id="0" name="math_17.png"/>
                    <pic:cNvPicPr/>
                  </pic:nvPicPr>
                  <pic:blipFill>
                    <a:blip r:embed="rId25"/>
                    <a:stretch>
                      <a:fillRect/>
                    </a:stretch>
                  </pic:blipFill>
                  <pic:spPr>
                    <a:xfrm>
                      <a:off x="0" y="0"/>
                      <a:ext cx="1859280" cy="2667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(t^{2}-t^{3})-t^{2}=-t^{3}\longrightarrow0_{-}^{\mathsf{F}}</w:t>
      </w:r>
    </w:p>
    <w:p>
      <w:pPr>
        <w:pStyle w:val="BodyText"/>
      </w:pPr>
      <w:r>
        <w:t xml:space="preserve">Damit ist die Richtung eines resultierenden Nullwerts nach der Auslöschung durch die nachfolgenden Funktionsterme zu bestimmen. Ein Verfahren, das bei übereinstimmenden Leitdaten ohne Rückgriff auf diese Terme eine symbolische Nullrichtung ausgibt, wäre mathematisch fehlerhaft. Es ist daher ausdrücklich vorgesehen, eine symbolische Auswertung abzubrechen und mehr Informationen anzufordern, bevor ein nicht gerechtfertigtes Ergebnis entsteht.</w:t>
      </w:r>
    </w:p>
    <w:p>
      <w:pPr>
        <w:pStyle w:val="BodyText"/>
      </w:pPr>
      <w:r>
        <w:t xml:space="preserve">Eine vierte Klasse bilden Funktionen, deren qualitative Richtung nicht schließlich feststeht. Hier muss zwischen dem gewöhnlichen Grenzwert und der gerichteten FRZK-Klassifikation unterschieden werden. Auch eine erfolgreiche klassische Grenzwertbestimmung garantiert nicht, dass ein gerichtetes Symbol existiert.</w:t>
      </w:r>
    </w:p>
    <w:p>
      <w:pPr>
        <w:pStyle w:val="BodyText"/>
        <w:keepNext/>
        <w:spacing w:before="140" w:after="40"/>
        <w:jc w:val="center"/>
      </w:pPr>
      <w:r>
        <w:drawing>
          <wp:inline>
            <wp:extent cx="1253490" cy="316230"/>
            <wp:docPr id="18" name="Picture 18"/>
            <wp:cNvGraphicFramePr>
              <a:graphicFrameLocks noChangeAspect="1"/>
            </wp:cNvGraphicFramePr>
            <a:graphic>
              <a:graphicData uri="http://schemas.openxmlformats.org/drawingml/2006/picture">
                <pic:pic>
                  <pic:nvPicPr>
                    <pic:cNvPr id="0" name="math_18.png"/>
                    <pic:cNvPicPr/>
                  </pic:nvPicPr>
                  <pic:blipFill>
                    <a:blip r:embed="rId26"/>
                    <a:stretch>
                      <a:fillRect/>
                    </a:stretch>
                  </pic:blipFill>
                  <pic:spPr>
                    <a:xfrm>
                      <a:off x="0" y="0"/>
                      <a:ext cx="1253490" cy="31623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\lim_{t\to0^{+}}t\sin(1/t)=0</w:t>
      </w:r>
    </w:p>
    <w:p>
      <w:pPr>
        <w:pStyle w:val="BodyText"/>
      </w:pPr>
      <w:r>
        <w:t xml:space="preserve">Die Funktion nimmt beliebig nahe am Grenzpunkt positive, negative und auch exakte Nullwerte an. Sie besitzt zwar den gewöhnlichen Grenzwert null, jedoch keine der beiden bislang festgelegten gerichteten Nullklassen. Diese Situation erfordert keine künstlich neue arithmetische Regel. Der Grenzwert wird als gewöhnlicher reeller Wert dokumentiert, während die gerichtet-symbolische Klassifikation als nicht verfügbar gekennzeichnet bleibt.</w:t>
      </w:r>
    </w:p>
    <w:bookmarkEnd w:id="23"/>
    <w:bookmarkStart w:id="24" w:name="algorithmische-entscheidungsstruktur"/>
    <w:p>
      <w:pPr>
        <w:pStyle w:val="Heading2"/>
        <w:keepNext/>
      </w:pPr>
      <w:r>
        <w:t xml:space="preserve">2.6.5 Algorithmische Entscheidungsstruktur</w:t>
      </w:r>
    </w:p>
    <w:p>
      <w:pPr>
        <w:pStyle w:val="FirstParagraph"/>
      </w:pPr>
      <w:r>
        <w:t xml:space="preserve">Aus den mathematischen Voraussetzungen entwickle ich eine Entscheidungsstruktur, die sich grundsätzlich auch algorithmisch umsetzen lässt. Mit „algorithmisch“ bezeichne ich hier einen präzise geordneten Rechen- und Prüfablauf. Daraus folgt noch nicht, dass für beliebige reellwertige Funktionen ein vollständig entscheidbares automatisches Verfahren existiert. Für ausreichend eingeschränkte Funktionsklassen können einzelne Prüfungen symbolisch oder numerisch unterstützt werden; ein allgemeines Entscheidungsverfahren für alle denkbaren Funktionen behaupte ich ausdrücklich nicht.</w:t>
      </w:r>
    </w:p>
    <w:p>
      <w:pPr>
        <w:pStyle w:val="BodyText"/>
      </w:pPr>
      <w:r>
        <w:t xml:space="preserve">Der Ablauf beginnt mit der Übernahme eines vollständigen Funktionsterms und der Festlegung eines gemeinsamen Grenzbereichs. Danach prüfe ich die Definitionsbedingungen der betrachteten Operationen. Erst anschließend wird die qualitative FRZK-Klassifikation berechnet, sofern sie nachweisbar vorliegt. Die Reihenfolge ist wichtig: Eine formale symbolische Ersetzung darf keine ursprünglich unzulässige Division oder einen nicht definierten logarithmischen Funktionswert nachträglich als zulässig erscheinen lassen.</w:t>
      </w:r>
    </w:p>
    <w:p>
      <w:pPr>
        <w:pStyle w:val="BodyText"/>
      </w:pPr>
      <w:r>
        <w:t xml:space="preserve">Für jede Operation wird anschließend geprüft, ob die beteiligten Klassen eine allgemeine, repräsentantenunabhängige Rechenregel besitzen. Ist dies der Fall, darf ihr Ergebnis symbolisch bestimmt werden. Die funktionale Herkunft wird bei weiteren abhängigen Teilausdrücken dennoch beibehalten. Ist die symbolische Operation nicht allgemein definiert, suche ich zunächst nach einer gültigen Identität oder einer algebraischen Vereinfachung. Danach können asymptotische Leitsignaturen, verfeinerte Ordnungen oder andere zulässige klassische Verfahren berücksichtigt werden.</w:t>
      </w:r>
    </w:p>
    <w:p>
      <w:pPr>
        <w:pStyle w:val="BodyText"/>
      </w:pPr>
      <w:r>
        <w:t xml:space="preserve">Um diesen Ablauf begrifflich eindeutig zu erfassen, definiere ich vier mögliche Prüfzustände. Ein gültiges Ergebnis liegt vor, wenn der zugehörige Grenzwert und seine Auswertung mathematisch gesichert sind. Eine Informationslücke liegt vor, wenn ein gültiger Ausdruck mit den bislang herangezogenen Daten noch nicht bestimmt werden kann. Ein Definitionsfehler liegt vor, wenn die betreffende Rechenoperation auf dem geforderten Bereich nicht zulässig ist. Schließlich bezeichnet eine widerlegte Regel einen allgemein formulierten Rechenanspruch, für den ein zulässiges Gegenbeispiel vorliegt. Der tatsächliche Grenzwert kann darüber hinaus existieren oder nicht existieren; diese Eigenschaft wird gesondert festgehalten.</w:t>
      </w:r>
    </w:p>
    <w:p>
      <w:pPr>
        <w:pStyle w:val="BodyText"/>
        <w:keepNext/>
        <w:spacing w:before="140" w:after="40"/>
        <w:jc w:val="center"/>
      </w:pPr>
      <w:r>
        <w:drawing>
          <wp:inline>
            <wp:extent cx="4164329" cy="255270"/>
            <wp:docPr id="19" name="Picture 19"/>
            <wp:cNvGraphicFramePr>
              <a:graphicFrameLocks noChangeAspect="1"/>
            </wp:cNvGraphicFramePr>
            <a:graphic>
              <a:graphicData uri="http://schemas.openxmlformats.org/drawingml/2006/picture">
                <pic:pic>
                  <pic:nvPicPr>
                    <pic:cNvPr id="0" name="math_19.png"/>
                    <pic:cNvPicPr/>
                  </pic:nvPicPr>
                  <pic:blipFill>
                    <a:blip r:embed="rId27"/>
                    <a:stretch>
                      <a:fillRect/>
                    </a:stretch>
                  </pic:blipFill>
                  <pic:spPr>
                    <a:xfrm>
                      <a:off x="0" y="0"/>
                      <a:ext cx="4164329" cy="25527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\mathcal{Z}=\{\mathrm{BESTIMMT},\ \mathrm{OFFEN},\ \text{UNZULÄSSIG},\ \mathrm{WIDERLEGT}\}</w:t>
      </w:r>
    </w:p>
    <w:p>
      <w:pPr>
        <w:pStyle w:val="BodyText"/>
      </w:pPr>
      <w:r>
        <w:t xml:space="preserve">Die vier Zustände bezeichnen methodische Prüfergebnisse und keine zusätzlichen Zahlen des FRZK. Sie dürfen insbesondere nicht mit den vier gerichteten Grenzsymbolen verwechselt werden. Mit dieser Trennung wird verhindert, dass ein Mangel an Informationen als neuer mathematischer Grenzwert erscheint. Eine nicht bewiesene Regel wird zudem nicht bereits durch das Scheitern einer einzelnen symbolischen Auswertung widerlegt; hierfür ist ein tatsächlich widersprechendes zulässiges Beispiel erforderlich.</w:t>
      </w:r>
    </w:p>
    <w:p>
      <w:pPr>
        <w:pStyle w:val="BodyText"/>
      </w:pPr>
      <w:r>
        <w:t xml:space="preserve">Die Entscheidungsstruktur kann in Form einer konditionalen Auswertungsfunktion zusammengefasst werden. Ich verwende hierfür die Schreibweise einer Fallunterscheidung, ohne zu behaupten, dass die genannten Prüfungen für jede beliebige Eingabefunktion maschinell entscheidbar wären.</w:t>
      </w:r>
    </w:p>
    <w:p>
      <w:pPr>
        <w:pStyle w:val="BodyText"/>
        <w:keepNext/>
        <w:spacing w:before="140" w:after="40"/>
        <w:jc w:val="center"/>
      </w:pPr>
      <w:r>
        <w:drawing>
          <wp:inline>
            <wp:extent cx="4103370" cy="769620"/>
            <wp:docPr id="20" name="Picture 20"/>
            <wp:cNvGraphicFramePr>
              <a:graphicFrameLocks noChangeAspect="1"/>
            </wp:cNvGraphicFramePr>
            <a:graphic>
              <a:graphicData uri="http://schemas.openxmlformats.org/drawingml/2006/picture">
                <pic:pic>
                  <pic:nvPicPr>
                    <pic:cNvPr id="0" name="math_20.png"/>
                    <pic:cNvPicPr/>
                  </pic:nvPicPr>
                  <pic:blipFill>
                    <a:blip r:embed="rId28"/>
                    <a:stretch>
                      <a:fillRect/>
                    </a:stretch>
                  </pic:blipFill>
                  <pic:spPr>
                    <a:xfrm>
                      <a:off x="0" y="0"/>
                      <a:ext cx="4103370" cy="76962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\mathrm{Eval}_{\mathsf{F}}(E)=\begin{cases}\mathrm{Symbolregel}, &amp; \text{falls eindeutig zulässig},\\ \mathrm{Funktionsauswertung}, &amp; \text{falls Daten ausreichen},\\ \mathrm{OFFEN}, &amp; \text{sonst.}\end{cases}</w:t>
      </w:r>
    </w:p>
    <w:p>
      <w:pPr>
        <w:pStyle w:val="BodyText"/>
      </w:pPr>
      <w:r>
        <w:t xml:space="preserve">Die Funktion Eval ist eine formale Verfahrensbeschreibung: Sie liefert bei einer eindeutig zulässigen Symbolregel ein unmittelbar verwendbares Ergebnis und greift andernfalls auf eine ausreichend informative funktionale Auswertung zurück. Ergibt auch diese noch kein gesichertes Resultat, bleibt die Auswertung offen. Fehlende Definitionsbedingungen oder widerlegte Regeln werden bereits in den vorangeschalteten Prüfschritten kenntlich gemacht und nicht als gewöhnliche Rechenergebnisse behandelt.</w:t>
      </w:r>
    </w:p>
    <w:p>
      <w:pPr>
        <w:pStyle w:val="BodyText"/>
      </w:pPr>
      <w:r>
        <w:t xml:space="preserve">Für die algorithmische Umsetzung ist ferner eine nachvollziehbare Begründung jedes Schritts notwendig. Eine Ausgabe soll deshalb nicht nur das Resultat enthalten, sondern auch die angewendete Regel, ihren Grenzbereich und die benötigte Zusatzinformation. So wird kontrollierbar, weshalb etwa eine Kehrwertbildung unmittelbar zulässig war, während ein Quotient zweier Nullannäherungen zuerst faktorisiert werden musste.</w:t>
      </w:r>
    </w:p>
    <w:p>
      <w:pPr>
        <w:pStyle w:val="BodyText"/>
        <w:keepNext/>
        <w:spacing w:before="140" w:after="40"/>
        <w:jc w:val="center"/>
      </w:pPr>
      <w:r>
        <w:drawing>
          <wp:inline>
            <wp:extent cx="3070860" cy="228600"/>
            <wp:docPr id="21" name="Picture 21"/>
            <wp:cNvGraphicFramePr>
              <a:graphicFrameLocks noChangeAspect="1"/>
            </wp:cNvGraphicFramePr>
            <a:graphic>
              <a:graphicData uri="http://schemas.openxmlformats.org/drawingml/2006/picture">
                <pic:pic>
                  <pic:nvPicPr>
                    <pic:cNvPr id="0" name="math_21.png"/>
                    <pic:cNvPicPr/>
                  </pic:nvPicPr>
                  <pic:blipFill>
                    <a:blip r:embed="rId29"/>
                    <a:stretch>
                      <a:fillRect/>
                    </a:stretch>
                  </pic:blipFill>
                  <pic:spPr>
                    <a:xfrm>
                      <a:off x="0" y="0"/>
                      <a:ext cx="307086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\mathcal{N}_{\mathsf{F}}=(\mathrm{Ergebnis},\ \mathrm{Regel},\ D,\ \mathrm{Voraussetzungen})</w:t>
      </w:r>
    </w:p>
    <w:p>
      <w:pPr>
        <w:pStyle w:val="BodyText"/>
      </w:pPr>
      <w:r>
        <w:t xml:space="preserve">Der Nachweisdatensatz bildet keinen Ersatz für einen mathematischen Beweis. Er dokumentiert vielmehr die konkreten Voraussetzungen und die Anwendung bereits begründeter Rechenregeln. Für neu eingeführte Regeln ist ein eigener Allgemeinbeweis oder eine ausdrücklich eingeschränkte Geltung erforderlich. Ein endlicher Katalog erfolgreicher Beispielrechnungen kann eine solche allgemeine Begründung nicht ersetzen.</w:t>
      </w:r>
    </w:p>
    <w:bookmarkEnd w:id="24"/>
    <w:bookmarkStart w:id="25" w:name="Xd8a27351862a124cf46c69f26f8c82f6fe24958"/>
    <w:p>
      <w:pPr>
        <w:pStyle w:val="Heading2"/>
        <w:keepNext/>
      </w:pPr>
      <w:r>
        <w:t xml:space="preserve">2.6.6 Formale Prüfung, Nachweisführung und Grenzen des Verfahrens</w:t>
      </w:r>
    </w:p>
    <w:p>
      <w:pPr>
        <w:pStyle w:val="FirstParagraph"/>
      </w:pPr>
      <w:r>
        <w:t xml:space="preserve">Zum Abschluss prüfe ich, ob die hierarchische Rechenweise mit den zuvor formulierten Konsistenzanforderungen vereinbar ist. Die entscheidende Frage lautet, ob zulässige symbolische Schritte einen anderen Grenzzustand erzeugen können als eine mathematisch korrekte funktionale Auswertung desselben ursprünglichen Ausdrucks. Die Antwort ergibt sich aus der Definition der repräsentantenunabhängigen Rechenoperationen: Ist jeder einzelne Schritt in seinem Geltungsbereich korrekt, erhält eine endliche Verkettung solcher Schritte die korrekte Klassifikation.</w:t>
      </w:r>
    </w:p>
    <w:p>
      <w:pPr>
        <w:pStyle w:val="BodyText"/>
      </w:pPr>
      <w:r>
        <w:t xml:space="preserve">Die Aussage ist jedoch an drei Voraussetzungen gebunden. Erstens müssen die beteiligten Funktionen auf einem gemeinsamen lokalen Definitionsbereich zulässig sein. Zweitens muss jeder symbolische Auswertungsschritt seine Repräsentantenunabhängigkeit besitzen oder durch erhaltene konkrete funktionale Beziehungen begründet sein. Drittens dürfen notwendige Identitäten, Parameterbindungen und Restinformationen durch Zwischenvereinfachungen nicht verloren gehen. Nur innerhalb dieser Voraussetzungen spreche ich von einem korrektheitserhaltenden FRZK-Rechenweg.</w:t>
      </w:r>
    </w:p>
    <w:p>
      <w:pPr>
        <w:pStyle w:val="BodyText"/>
        <w:keepNext/>
        <w:spacing w:before="140" w:after="40"/>
        <w:jc w:val="center"/>
      </w:pPr>
      <w:r>
        <w:drawing>
          <wp:inline>
            <wp:extent cx="4210050" cy="228600"/>
            <wp:docPr id="22" name="Picture 22"/>
            <wp:cNvGraphicFramePr>
              <a:graphicFrameLocks noChangeAspect="1"/>
            </wp:cNvGraphicFramePr>
            <a:graphic>
              <a:graphicData uri="http://schemas.openxmlformats.org/drawingml/2006/picture">
                <pic:pic>
                  <pic:nvPicPr>
                    <pic:cNvPr id="0" name="math_22.png"/>
                    <pic:cNvPicPr/>
                  </pic:nvPicPr>
                  <pic:blipFill>
                    <a:blip r:embed="rId30"/>
                    <a:stretch>
                      <a:fillRect/>
                    </a:stretch>
                  </pic:blipFill>
                  <pic:spPr>
                    <a:xfrm>
                      <a:off x="0" y="0"/>
                      <a:ext cx="4210050" cy="228600"/>
                    </a:xfrm>
                    <a:prstGeom prst="rect"/>
                  </pic:spPr>
                </pic:pic>
              </a:graphicData>
            </a:graphic>
          </wp:inline>
        </w:drawing>
      </w:r>
    </w:p>
    <w:p>
      <w:pPr>
        <w:pStyle w:val="FirstParagraph"/>
        <w:keepLines/>
        <w:spacing w:before="0" w:after="14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\mathrm{Eval}_{\mathsf{F}}(E)=c\ \Longrightarrow\ \sigma_{\mathsf{F}}(E)=c\quad\text{bei nachgewiesener Zulässigkeit}</w:t>
      </w:r>
    </w:p>
    <w:p>
      <w:pPr>
        <w:pStyle w:val="BodyText"/>
      </w:pPr>
      <w:r>
        <w:t xml:space="preserve">Diese Folgerung betrifft die Korrektheit tatsächlich abgeschlossener zulässiger Auswertungen. Sie enthält keine Aussage darüber, dass das Verfahren jedes denkbare Grenzwertproblem lösen muss. Ein offener Ausdruck kann einen vollkommen eindeutigen Grenzwert besitzen, der mit den bisher verfügbaren Ordnungen und Umformungsregeln lediglich noch nicht erkannt wurde. Deshalb unterscheide ich ausdrücklich zwischen Korrektheit und Vollständigkeit des Verfahrens.</w:t>
      </w:r>
    </w:p>
    <w:p>
      <w:pPr>
        <w:pStyle w:val="BodyText"/>
      </w:pPr>
      <w:r>
        <w:t xml:space="preserve">Die Korrektheit betrifft die Verlässlichkeit eines ausgegebenen Ergebnisses. Die Vollständigkeit beträfe demgegenüber die Frage, ob alle innerhalb einer vorgegebenen Funktionsklasse existierenden Ergebnisse tatsächlich ermittelt werden können. Für die hierarchische FRZK-Rechnung habe ich mit den definierten Einzelregeln und ihren Geltungsbereichen ein Korrektheitsprinzip formuliert. Eine allgemeine Vollständigkeit für sämtliche reellwertigen Funktionen ist weder gezeigt noch als Voraussetzung angenommen.</w:t>
      </w:r>
    </w:p>
    <w:p>
      <w:pPr>
        <w:pStyle w:val="BodyText"/>
      </w:pPr>
      <w:r>
        <w:t xml:space="preserve">Auch die Wahl der informationsärmsten zunächst verwendbaren Ebene begründet keine uneingeschränkte Optimalaussage über den Rechenaufwand. Für bestimmte Funktionsausdrücke kann eine unmittelbare algebraische Umformung kürzer sein als eine vorgeschaltete vollständige Grenzklassifikation. Ich verstehe die Hierarchie daher als zuverlässige Ordnungs- und Prüfstruktur, nicht als Behauptung eines in jedem Einzelfall minimalen Rechenweges. Für den didaktischen Einsatz kann gerade diese Transparenz bedeutsam sein, weil sie die Unterscheidung von Vorzeichenprüfung, Grenzklassifikation, Umformung und abschließender Ergebnisfeststellung ausdrücklich macht.</w:t>
      </w:r>
    </w:p>
    <w:p>
      <w:pPr>
        <w:pStyle w:val="BodyText"/>
      </w:pPr>
      <w:r>
        <w:t xml:space="preserve">Für eine spätere empirische Prüfung lassen sich daraus konkrete Fragestellungen ableiten. Zu untersuchen wäre, ob Lernende durch eine sichtbar gestufte Rechnung unbestimmte Formen häufiger korrekt erkennen, die notwendigen Zusatzinformationen zuverlässiger bestimmen und fehlerhafte symbolische Kürzungen vermeiden. Dafür müssten Aufgaben mit und ohne explizite FRZK-Notation systematisch verglichen werden. Die mathematische Konsistenz des Verfahrens begründet einen solchen didaktischen Vorteil noch nicht; sie schafft lediglich die Voraussetzung, ihn sachgerecht zu untersuchen.</w:t>
      </w:r>
    </w:p>
    <w:p>
      <w:pPr>
        <w:pStyle w:val="BodyText"/>
      </w:pPr>
      <w:r>
        <w:t xml:space="preserve">Die hierarchische FRZK-Rechnung erhält damit eine präzise Rolle. Sie trennt die vollständige reelle Funktionsoperation von ihrer qualitativen Symbolklassifikation und ergänzt die Klassifikation nur dann durch asymptotische Ordnungen oder weitere funktionale Informationen, wenn diese für eine eindeutige Operation erforderlich sind. Ihre vier gerichteten Grenzsymbole bleiben kompakte Kennzeichnungen mathematisch definierter Grenzzustände; sie werden nicht als uneingeschränkt austauschbare Zahlen behandelt. Gerade die Möglichkeit, eine symbolische Berechnung begründet zurückzustellen, ist ein wesentlicher Bestandteil des kontrollierten Verfahrens.</w:t>
      </w:r>
    </w:p>
    <w:p>
      <w:pPr>
        <w:pStyle w:val="BodyText"/>
      </w:pPr>
      <w:r>
        <w:t xml:space="preserve">Als Ergebnis dieses Abschnitts halte ich fest, dass sich die zuvor entwickelten FRZK-Rechenregeln zu einer strukturierten, korrektheitserhaltenden Auswertungsfolge verbinden lassen, sofern die einzelnen Geltungsbedingungen überprüft und die funktionalen Herkunftsinformationen bewahrt werden. Die mathematische Grundlage liegt weiterhin in den gewöhnlichen reellwertigen Funktionen und ihren nachweisbaren asymptotischen Eigenschaften. Die FRZK-Symbolik bietet darauf aufbauend eine zusätzliche Darstellungs- und Ordnungsform, deren didaktische Wirkung noch gesondert zu untersuchen ist. Hieran schließt Abschnitt 2.7 an, in dem ich konkrete Unterrichtssituationen, Vergleichsverfahren und prüfbare didaktische Hypothesen ausarbeite.</w:t>
      </w:r>
    </w:p>
    <w:bookmarkEnd w:id="25"/>
    <w:bookmarkStart w:id="26" w:name="literatur-zu-abschnitt-2.6"/>
    <w:p>
      <w:pPr>
        <w:pStyle w:val="Heading2"/>
        <w:keepNext/>
      </w:pPr>
      <w:r>
        <w:t xml:space="preserve">Literatur zu Abschnitt 2.6</w:t>
      </w:r>
    </w:p>
    <w:p>
      <w:pPr>
        <w:pStyle w:val="FirstParagraph"/>
      </w:pPr>
      <w:r>
        <w:rPr>
          <w:sz w:val="18"/>
        </w:rPr>
        <w:t xml:space="preserve">[[4]] Strang, Gilbert; Herman, Edwin (2016): Calculus Volume 1. Houston: OpenStax, Kapitel 2, Abschnitt 2.3 „The Limit Laws“.</w:t>
      </w:r>
    </w:p>
    <w:p>
      <w:pPr>
        <w:pStyle w:val="BodyText"/>
      </w:pPr>
      <w:r>
        <w:rPr>
          <w:sz w:val="18"/>
        </w:rPr>
        <w:t xml:space="preserve">[[6]] National Institute of Standards and Technology (NIST): Digital Library of Mathematical Functions. Kapitel 2 „Asymptotic Approximations“, Abschnitt 2.1 „Definitions and Elementary Properties“, insbesondere 2.1(i) und 2.1(iii). Herausgegeben von F. W. J. Olver, A. B. Olde Daalhuis, D. W. Lozier et al.</w:t>
      </w:r>
    </w:p>
    <w:p>
      <w:pPr>
        <w:pStyle w:val="BodyText"/>
      </w:pPr>
      <w:r>
        <w:rPr>
          <w:sz w:val="18"/>
        </w:rPr>
        <w:t xml:space="preserve">[[9]] Encyclopedia of Mathematics: „Germ“. Definition lokaler Funktionskeime und ihrer algebraischen Operationen; ursprünglicher Beitrag E. M. Chirka.</w:t>
      </w:r>
    </w:p>
    <w:bookmarkEnd w:id="26"/>
    <w:bookmarkEnd w:id="27"/>
    <w:sectPr>
      <w:headerReference w:type="default" r:id="rId31"/>
      <w:footerReference w:type="default" r:id="rId32"/>
      <w:pgMar w:top="1389" w:bottom="1304" w:left="1616" w:right="1502" w:header="680" w:footer="6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4737E"/>
        <w:sz w:val="16"/>
      </w:rPr>
      <w:t xml:space="preserve">FRZK · Abschnitt 2.6    |    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737E"/>
        <w:sz w:val="16"/>
      </w:rPr>
      <w:t>FRZK  |  KAPITEL 2  ·  HIERARCHISCHES RECHENVERFAHREN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9" w:lineRule="auto" w:after="90"/>
    </w:pPr>
    <w:rPr>
      <w:rFonts w:ascii="Cambria" w:hAnsi="Cambria"/>
      <w:color w:val="1D242B"/>
      <w:sz w:val="21"/>
    </w:rPr>
  </w:style>
  <w:style w:styleId="BodyText" w:type="paragraph">
    <w:name w:val="Body Text"/>
    <w:basedOn w:val="Normal"/>
    <w:link w:val="BodyTextChar"/>
    <w:qFormat/>
    <w:pPr>
      <w:spacing w:after="90" w:before="180" w:line="269" w:lineRule="auto"/>
    </w:pPr>
    <w:rPr>
      <w:rFonts w:ascii="Cambria" w:hAnsi="Cambria"/>
      <w:color w:val="1D242B"/>
      <w:sz w:val="21"/>
    </w:rPr>
  </w:style>
  <w:style w:customStyle="1" w:styleId="FirstParagraph" w:type="paragraph">
    <w:name w:val="First Paragraph"/>
    <w:basedOn w:val="BodyText"/>
    <w:next w:val="BodyText"/>
    <w:qFormat/>
    <w:pPr>
      <w:spacing w:line="269" w:lineRule="auto" w:after="90"/>
    </w:pPr>
    <w:rPr>
      <w:rFonts w:ascii="Cambria" w:hAnsi="Cambria"/>
      <w:color w:val="1D242B"/>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0" w:before="0"/>
      <w:outlineLvl w:val="0"/>
    </w:pPr>
    <w:rPr>
      <w:rFonts w:asciiTheme="majorHAnsi" w:cstheme="majorBidi" w:eastAsiaTheme="majorEastAsia" w:hAnsiTheme="majorHAnsi" w:ascii="Cambria" w:hAnsi="Cambria"/>
      <w:b/>
      <w:bCs/>
      <w:color w:val="193044"/>
      <w:sz w:val="31"/>
      <w:szCs w:val="32"/>
    </w:rPr>
  </w:style>
  <w:style w:styleId="Heading2" w:type="paragraph">
    <w:name w:val="Heading 2"/>
    <w:basedOn w:val="Normal"/>
    <w:next w:val="BodyText"/>
    <w:uiPriority w:val="9"/>
    <w:unhideWhenUsed/>
    <w:qFormat/>
    <w:pPr>
      <w:keepNext/>
      <w:keepLines/>
      <w:spacing w:after="140" w:before="280"/>
      <w:outlineLvl w:val="1"/>
    </w:pPr>
    <w:rPr>
      <w:rFonts w:asciiTheme="majorHAnsi" w:cstheme="majorBidi" w:eastAsiaTheme="majorEastAsia" w:hAnsiTheme="majorHAnsi" w:ascii="Cambria" w:hAnsi="Cambria"/>
      <w:b/>
      <w:bCs/>
      <w:color w:val="193044"/>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header" Target="header1.xm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Hierarchisches FRZK-Rechenverfahren und kontrollierte Symbolauswertung</dc:title>
  <dc:creator/>
  <cp:keywords>FRZK, Grenzwerte, Hierarchie, kontrollierte Auswertung, symbolische Rechenregeln</cp:keywords>
  <dcterms:created xsi:type="dcterms:W3CDTF">2026-10-20T09:01:31Z</dcterms:created>
  <dcterms:modified xsi:type="dcterms:W3CDTF">2026-10-20T09:01:31Z</dcterms:modified>
  <dc:subject>Hierarchische Ebenen, funktionale Information, Geltungsprüfung, Auswertung</dc:subject>
  <cp:lastModifiedBy/>
</cp:coreProperties>
</file>

<file path=docProps/custom.xml><?xml version="1.0" encoding="utf-8"?>
<Properties xmlns="http://schemas.openxmlformats.org/officeDocument/2006/custom-properties" xmlns:vt="http://schemas.openxmlformats.org/officeDocument/2006/docPropsVTypes"/>
</file>