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05FDD" w14:textId="77777777" w:rsidR="00ED7BFD" w:rsidRPr="00ED7BFD" w:rsidRDefault="00ED7BFD" w:rsidP="00ED7BFD">
      <w:pPr>
        <w:rPr>
          <w:b/>
          <w:bCs/>
        </w:rPr>
      </w:pPr>
      <w:bookmarkStart w:id="0" w:name="_Hlk243293314"/>
      <w:r w:rsidRPr="00ED7BFD">
        <w:rPr>
          <w:b/>
          <w:bCs/>
        </w:rPr>
        <w:t>2.1 Funktionale Zusammenhänge und mathematische Modellierung</w:t>
      </w:r>
    </w:p>
    <w:p w14:paraId="4A0A92E0" w14:textId="77777777" w:rsidR="00ED7BFD" w:rsidRPr="00ED7BFD" w:rsidRDefault="00ED7BFD" w:rsidP="00ED7BFD">
      <w:r w:rsidRPr="00ED7BFD">
        <w:t>Ausgangspunkt meiner Untersuchung ist die Frage, wie ich einen mathematischen Zusammenhang so darstellen kann, dass nicht nur eine Rechenvorschrift, sondern auch die Bedeutung der beteiligten Größen und die Voraussetzungen ihrer Verknüpfung sichtbar werden. Auf den ersten Blick könnte es dafür genügen, eine Funktion aufzuschreiben und ihre Variablen zu benennen. Bei genauerer Betrachtung entsteht jedoch bereits an dieser Stelle ein Unterschied zwischen dem mathematischen Gegenstand und seiner Verwendung zur Beschreibung einer konkreten Aufgabe. Eine Funktion kann innerhalb der Mathematik eindeutig definiert sein, ohne dass damit schon geklärt wäre, warum gerade diese Funktion eine bestimmte Sachlage angemessen beschreibt. Umgekehrt kann eine Problemstellung zunächst verständlich erscheinen, obwohl ihre Abhängigkeiten, Einschränkungen und Geltungsbereiche noch nicht ausdrücklich angegeben sind. Für meine Fragestellung muss ich deshalb funktionale Beschreibung und mathematische Modellierung zunächst auseinanderhalten, bevor ich ihre gemeinsame Bedeutung untersuche.</w:t>
      </w:r>
    </w:p>
    <w:p w14:paraId="12B1834E" w14:textId="77777777" w:rsidR="00ED7BFD" w:rsidRPr="00ED7BFD" w:rsidRDefault="00ED7BFD" w:rsidP="00ED7BFD">
      <w:r w:rsidRPr="00ED7BFD">
        <w:t>Hinzu kommt eine Besonderheit des Funktionalen Raum-Zeit-Kohärenzsystems, die über die reine Darstellung mathematischer Beziehungen hinausgeht. Das FRZK sieht ausdrücklich die Verwendung eigener symbolischer Rechenregeln für positive und negative Unendlichkeit sowie für die gerichteten Nullzustände +0 und −0 vor. Außerdem soll bei der Multiplikation eines Vektors mit dem Skalar null die Orientierung des Ausgangsvektors erhalten bleiben. Damit beschränkt sich meine Untersuchung nicht auf die Frage, wie bereits bekannte mathematische Operationen anschaulich dargestellt werden können. Ich muss auch prüfen, unter welchen Voraussetzungen die zusätzlich vorgesehenen symbolischen Operationen mathematisch eindeutig und widerspruchsfrei beschrieben werden können. Ihre bloße Einführung als Bestandteil des FRZK begründet allerdings noch keine besondere mathematische oder didaktische Gültigkeit.</w:t>
      </w:r>
    </w:p>
    <w:p w14:paraId="3F06F857" w14:textId="77777777" w:rsidR="00ED7BFD" w:rsidRPr="00ED7BFD" w:rsidRDefault="00ED7BFD" w:rsidP="00ED7BFD">
      <w:r w:rsidRPr="00ED7BFD">
        <w:t>Unter einem funktionalen Zusammenhang verstehe ich an dieser Stelle noch keine besondere FRZK-Definition. Im üblichen mathematischen Sinn ordnet eine Funktion jedem Element ihres Definitionsbereichs genau ein Element ihres Zielbereichs zu. Der Ausdruck einer funktionalen Beziehung im weiteren Sinn kann dagegen auch mehrere gekoppelte Funktionen, Gleichungsbedingungen oder andere Abhängigkeitsstrukturen umfassen. Diese Unterscheidung ist für meine weitere Arbeit notwendig, weil ein Verfahren zur Ordnung funktionaler Zusammenhänge nicht stillschweigend voraussetzen darf, jede Aufgabenstellung lasse sich auf eine einzelne reelle Funktion mit einem unabhängigen und einem abhängigen Zahlenwert reduzieren. Ob und wie ich unterschiedliche mathematische Gegenstände im FRZK einheitlich kennzeichne und welche zusätzlichen symbolischen Operationen dabei zulässig sind, muss deshalb ausdrücklich festgelegt werden.</w:t>
      </w:r>
    </w:p>
    <w:p w14:paraId="0971F381" w14:textId="77777777" w:rsidR="00ED7BFD" w:rsidRPr="00ED7BFD" w:rsidRDefault="00ED7BFD" w:rsidP="00ED7BFD">
      <w:r w:rsidRPr="00ED7BFD">
        <w:t xml:space="preserve">Eine erste didaktische Orientierung bietet die Forschung zu mathematischen Kompetenzen. Niss und </w:t>
      </w:r>
      <w:proofErr w:type="spellStart"/>
      <w:r w:rsidRPr="00ED7BFD">
        <w:t>Højgaard</w:t>
      </w:r>
      <w:proofErr w:type="spellEnd"/>
      <w:r w:rsidRPr="00ED7BFD">
        <w:t xml:space="preserve"> prüfen die Begrifflichkeit mathematischer Kompetenz vor dem Hintergrund des dänischen KOM-Projekts erneut und präzisieren ihren Ansatz zur Unterscheidung verschiedener Formen mathematischen Handelns. Für meine Untersuchung ist daran bedeutsam, dass mathematische Kompetenz nicht mit der Beherrschung einzelner Rechenverfahren gleichgesetzt werden kann. Die Fähigkeit, ein Problem mathematisch zu modellieren, eine Darstellung zu interpretieren oder eine mathematische Aussage zu beurteilen, betrifft unterscheidbare Anforderungen. Ich nutze diese Differenzierung als Bezugsrahmen, leite aus ihr aber weder eine neue FRZK-Kompetenz noch einen bereits belegten Unterrichtseffekt ab. {[Niss, </w:t>
      </w:r>
      <w:proofErr w:type="spellStart"/>
      <w:r w:rsidRPr="00ED7BFD">
        <w:t>Mogens</w:t>
      </w:r>
      <w:proofErr w:type="spellEnd"/>
      <w:r w:rsidRPr="00ED7BFD">
        <w:t xml:space="preserve">; </w:t>
      </w:r>
      <w:proofErr w:type="spellStart"/>
      <w:r w:rsidRPr="00ED7BFD">
        <w:t>Højgaard</w:t>
      </w:r>
      <w:proofErr w:type="spellEnd"/>
      <w:r w:rsidRPr="00ED7BFD">
        <w:t xml:space="preserve">, Tomas (2019). </w:t>
      </w:r>
      <w:proofErr w:type="spellStart"/>
      <w:r w:rsidRPr="00ED7BFD">
        <w:t>Mathematical</w:t>
      </w:r>
      <w:proofErr w:type="spellEnd"/>
      <w:r w:rsidRPr="00ED7BFD">
        <w:t xml:space="preserve"> </w:t>
      </w:r>
      <w:proofErr w:type="spellStart"/>
      <w:r w:rsidRPr="00ED7BFD">
        <w:lastRenderedPageBreak/>
        <w:t>competencies</w:t>
      </w:r>
      <w:proofErr w:type="spellEnd"/>
      <w:r w:rsidRPr="00ED7BFD">
        <w:t xml:space="preserve"> </w:t>
      </w:r>
      <w:proofErr w:type="spellStart"/>
      <w:r w:rsidRPr="00ED7BFD">
        <w:t>revisited</w:t>
      </w:r>
      <w:proofErr w:type="spellEnd"/>
      <w:r w:rsidRPr="00ED7BFD">
        <w:t xml:space="preserve">. Educational Studies in </w:t>
      </w:r>
      <w:proofErr w:type="spellStart"/>
      <w:r w:rsidRPr="00ED7BFD">
        <w:t>Mathematics</w:t>
      </w:r>
      <w:proofErr w:type="spellEnd"/>
      <w:r w:rsidRPr="00ED7BFD">
        <w:t>, 102, S. 9–28. DOI: 10.1007/s10649-019-09903-9.</w:t>
      </w:r>
      <w:proofErr w:type="gramStart"/>
      <w:r w:rsidRPr="00ED7BFD">
        <w:t>]}[</w:t>
      </w:r>
      <w:proofErr w:type="gramEnd"/>
      <w:r w:rsidRPr="00ED7BFD">
        <w:t>[19]]</w:t>
      </w:r>
    </w:p>
    <w:p w14:paraId="739763CB" w14:textId="77777777" w:rsidR="00ED7BFD" w:rsidRPr="00ED7BFD" w:rsidRDefault="00ED7BFD" w:rsidP="00ED7BFD">
      <w:proofErr w:type="spellStart"/>
      <w:r w:rsidRPr="00ED7BFD">
        <w:t>Greefrath</w:t>
      </w:r>
      <w:proofErr w:type="spellEnd"/>
      <w:r w:rsidRPr="00ED7BFD">
        <w:t xml:space="preserve"> und </w:t>
      </w:r>
      <w:proofErr w:type="spellStart"/>
      <w:r w:rsidRPr="00ED7BFD">
        <w:t>Vorhölter</w:t>
      </w:r>
      <w:proofErr w:type="spellEnd"/>
      <w:r w:rsidRPr="00ED7BFD">
        <w:t xml:space="preserve"> geben einen Überblick über die Entwicklung, die verschiedenen Modellierungszyklen und die unterschiedlichen Zielperspektiven der deutschsprachigen Forschung zur mathematischen Modellierung. Bereits daraus wird deutlich, dass mathematisches Modellieren weder ein neu eingeführtes Unterrichtsprinzip noch ein einheitlich festgelegter Verfahrensablauf ist. Es umfasst verschiedene Vorstellungen darüber, weshalb reale Sachverhalte mathematisch untersucht werden, welche Schritte dabei unterschieden werden und welche Kompetenzen die Lernenden erwerben sollen. Besonders wichtig ist für mich die Feststellung, dass Modellierungsansätze je nach Forschungs- und Unterrichtsziel unterschiedlich akzentuiert werden. Ich kann daher nicht einen einzelnen Modellierungszyklus als vollständige Beschreibung aller mathematischen Aufgabenbearbeitungen übernehmen. {[</w:t>
      </w:r>
      <w:proofErr w:type="spellStart"/>
      <w:r w:rsidRPr="00ED7BFD">
        <w:t>Greefrath</w:t>
      </w:r>
      <w:proofErr w:type="spellEnd"/>
      <w:r w:rsidRPr="00ED7BFD">
        <w:t xml:space="preserve">, Gilbert; </w:t>
      </w:r>
      <w:proofErr w:type="spellStart"/>
      <w:r w:rsidRPr="00ED7BFD">
        <w:t>Vorhölter</w:t>
      </w:r>
      <w:proofErr w:type="spellEnd"/>
      <w:r w:rsidRPr="00ED7BFD">
        <w:t xml:space="preserve">, Katrin (2016). Teaching and Learning </w:t>
      </w:r>
      <w:proofErr w:type="spellStart"/>
      <w:r w:rsidRPr="00ED7BFD">
        <w:t>Mathematical</w:t>
      </w:r>
      <w:proofErr w:type="spellEnd"/>
      <w:r w:rsidRPr="00ED7BFD">
        <w:t xml:space="preserve"> Modelling: </w:t>
      </w:r>
      <w:proofErr w:type="spellStart"/>
      <w:r w:rsidRPr="00ED7BFD">
        <w:t>Approaches</w:t>
      </w:r>
      <w:proofErr w:type="spellEnd"/>
      <w:r w:rsidRPr="00ED7BFD">
        <w:t xml:space="preserve"> and </w:t>
      </w:r>
      <w:proofErr w:type="spellStart"/>
      <w:r w:rsidRPr="00ED7BFD">
        <w:t>Developments</w:t>
      </w:r>
      <w:proofErr w:type="spellEnd"/>
      <w:r w:rsidRPr="00ED7BFD">
        <w:t xml:space="preserve"> </w:t>
      </w:r>
      <w:proofErr w:type="spellStart"/>
      <w:r w:rsidRPr="00ED7BFD">
        <w:t>from</w:t>
      </w:r>
      <w:proofErr w:type="spellEnd"/>
      <w:r w:rsidRPr="00ED7BFD">
        <w:t xml:space="preserve"> German </w:t>
      </w:r>
      <w:proofErr w:type="spellStart"/>
      <w:r w:rsidRPr="00ED7BFD">
        <w:t>Speaking</w:t>
      </w:r>
      <w:proofErr w:type="spellEnd"/>
      <w:r w:rsidRPr="00ED7BFD">
        <w:t xml:space="preserve"> Countries. ICME-13 </w:t>
      </w:r>
      <w:proofErr w:type="spellStart"/>
      <w:r w:rsidRPr="00ED7BFD">
        <w:t>Topical</w:t>
      </w:r>
      <w:proofErr w:type="spellEnd"/>
      <w:r w:rsidRPr="00ED7BFD">
        <w:t xml:space="preserve"> Surveys. Cham: Springer. DOI: 10.1007/978-3-319-45004-9.</w:t>
      </w:r>
      <w:proofErr w:type="gramStart"/>
      <w:r w:rsidRPr="00ED7BFD">
        <w:t>]}[</w:t>
      </w:r>
      <w:proofErr w:type="gramEnd"/>
      <w:r w:rsidRPr="00ED7BFD">
        <w:t>[20]]</w:t>
      </w:r>
    </w:p>
    <w:p w14:paraId="11DC4AF9" w14:textId="77777777" w:rsidR="00ED7BFD" w:rsidRPr="00ED7BFD" w:rsidRDefault="00ED7BFD" w:rsidP="00ED7BFD">
      <w:r w:rsidRPr="00ED7BFD">
        <w:t xml:space="preserve">Blum beschreibt mathematische Modellierung als einen Vorgang, bei dem ausgewählte Eigenschaften einer Ausgangssituation vereinfacht und in eine mathematisch bearbeitbare Struktur überführt werden. In seiner Darstellung wird zwischen dem Verständnis einer Ausgangssituation, ihrer Vereinfachung, der Entwicklung eines mathematischen Modells, der mathematischen Bearbeitung sowie der Interpretation und Validierung unterschieden. Das Modell erfasst damit nicht die gesamte Ausgangssituation, sondern diejenigen Eigenschaften, die unter den gewählten Annahmen für die Fragestellung relevant erscheinen. Eine solche Reduktion ist kein Mangel an sich. Sie wird jedoch dann problematisch, wenn die Entscheidung über die berücksichtigten und ausgeschlossenen Eigenschaften verborgen bleibt. {[Blum, Werner (2015). Quality Teaching </w:t>
      </w:r>
      <w:proofErr w:type="spellStart"/>
      <w:r w:rsidRPr="00ED7BFD">
        <w:t>of</w:t>
      </w:r>
      <w:proofErr w:type="spellEnd"/>
      <w:r w:rsidRPr="00ED7BFD">
        <w:t xml:space="preserve"> </w:t>
      </w:r>
      <w:proofErr w:type="spellStart"/>
      <w:r w:rsidRPr="00ED7BFD">
        <w:t>Mathematical</w:t>
      </w:r>
      <w:proofErr w:type="spellEnd"/>
      <w:r w:rsidRPr="00ED7BFD">
        <w:t xml:space="preserve"> Modelling: </w:t>
      </w:r>
      <w:proofErr w:type="spellStart"/>
      <w:r w:rsidRPr="00ED7BFD">
        <w:t>What</w:t>
      </w:r>
      <w:proofErr w:type="spellEnd"/>
      <w:r w:rsidRPr="00ED7BFD">
        <w:t xml:space="preserve"> Do </w:t>
      </w:r>
      <w:proofErr w:type="spellStart"/>
      <w:r w:rsidRPr="00ED7BFD">
        <w:t>We</w:t>
      </w:r>
      <w:proofErr w:type="spellEnd"/>
      <w:r w:rsidRPr="00ED7BFD">
        <w:t xml:space="preserve"> </w:t>
      </w:r>
      <w:proofErr w:type="spellStart"/>
      <w:r w:rsidRPr="00ED7BFD">
        <w:t>Know</w:t>
      </w:r>
      <w:proofErr w:type="spellEnd"/>
      <w:r w:rsidRPr="00ED7BFD">
        <w:t xml:space="preserve">, </w:t>
      </w:r>
      <w:proofErr w:type="spellStart"/>
      <w:r w:rsidRPr="00ED7BFD">
        <w:t>What</w:t>
      </w:r>
      <w:proofErr w:type="spellEnd"/>
      <w:r w:rsidRPr="00ED7BFD">
        <w:t xml:space="preserve"> Can </w:t>
      </w:r>
      <w:proofErr w:type="spellStart"/>
      <w:r w:rsidRPr="00ED7BFD">
        <w:t>We</w:t>
      </w:r>
      <w:proofErr w:type="spellEnd"/>
      <w:r w:rsidRPr="00ED7BFD">
        <w:t xml:space="preserve"> Do? In: Cho, Sung Je (Hrsg.), The Proceedings </w:t>
      </w:r>
      <w:proofErr w:type="spellStart"/>
      <w:r w:rsidRPr="00ED7BFD">
        <w:t>of</w:t>
      </w:r>
      <w:proofErr w:type="spellEnd"/>
      <w:r w:rsidRPr="00ED7BFD">
        <w:t xml:space="preserve"> </w:t>
      </w:r>
      <w:proofErr w:type="spellStart"/>
      <w:r w:rsidRPr="00ED7BFD">
        <w:t>the</w:t>
      </w:r>
      <w:proofErr w:type="spellEnd"/>
      <w:r w:rsidRPr="00ED7BFD">
        <w:t xml:space="preserve"> 12th International </w:t>
      </w:r>
      <w:proofErr w:type="spellStart"/>
      <w:r w:rsidRPr="00ED7BFD">
        <w:t>Congress</w:t>
      </w:r>
      <w:proofErr w:type="spellEnd"/>
      <w:r w:rsidRPr="00ED7BFD">
        <w:t xml:space="preserve"> on </w:t>
      </w:r>
      <w:proofErr w:type="spellStart"/>
      <w:r w:rsidRPr="00ED7BFD">
        <w:t>Mathematical</w:t>
      </w:r>
      <w:proofErr w:type="spellEnd"/>
      <w:r w:rsidRPr="00ED7BFD">
        <w:t xml:space="preserve"> Education. Cham: Springer, S. 73–96. DOI: 10.1007/978-3-319-12688-3_9.</w:t>
      </w:r>
      <w:proofErr w:type="gramStart"/>
      <w:r w:rsidRPr="00ED7BFD">
        <w:t>]}[</w:t>
      </w:r>
      <w:proofErr w:type="gramEnd"/>
      <w:r w:rsidRPr="00ED7BFD">
        <w:t>[21]]</w:t>
      </w:r>
    </w:p>
    <w:p w14:paraId="4B34FF68" w14:textId="77777777" w:rsidR="00ED7BFD" w:rsidRPr="00ED7BFD" w:rsidRDefault="00ED7BFD" w:rsidP="00ED7BFD">
      <w:r w:rsidRPr="00ED7BFD">
        <w:t>An einem einfachen, ausdrücklich nur gedanklich verwendeten Beispiel lässt sich diese Unterscheidung verdeutlichen. Soll der Preis einer Taxifahrt aus einer Grundgebühr und einer gefahrenen Strecke ermittelt werden, sind zunächst die Streckenlänge, die Grundgebühr und die zugehörige Preisregel relevant. Eine lineare Berechnung wäre nur dann sachgerecht, wenn die angenommenen Tarifbedingungen dies zulassen. Zeitabhängige Zuschläge, Wartezeiten oder abschnittsweise wechselnde Tarife müssten entweder ausdrücklich ausgeschlossen oder in die Beschreibung aufgenommen werden. Der mathematische Rechenschritt folgt erst, nachdem feststeht, welcher Zusammenhang im gewählten Geltungsbereich gelten soll. Dieses Beispiel ist keine Unterrichtsbeobachtung und kein Nachweis einer bestimmten Lernwirkung. Es dient dazu, den Unterschied zwischen einer bereits aufgeschriebenen Formel und der begründeten Auswahl eines Modells kenntlich zu machen.</w:t>
      </w:r>
    </w:p>
    <w:p w14:paraId="4B372786" w14:textId="77777777" w:rsidR="00ED7BFD" w:rsidRPr="00ED7BFD" w:rsidRDefault="00ED7BFD" w:rsidP="00ED7BFD">
      <w:r w:rsidRPr="00ED7BFD">
        <w:t xml:space="preserve">Daraus ergibt sich für mich ein wesentliches Kriterium funktionaler Modellierung: Gegebene und gesuchte Werte allein reichen für eine nachvollziehbare Aufgabenbearbeitung nicht immer aus. Ich muss zusätzlich erfassen, welche Annahmen den Übergang von den Angaben zur mathematischen Beziehung rechtfertigen, welche Größen veränderlich sind und unter welchen Bedingungen ein Ergebnis interpretiert werden darf. Dabei ist zwischen einer Einschränkung, die der mathematischen Definition selbst angehört, und einer Einschränkung </w:t>
      </w:r>
      <w:r w:rsidRPr="00ED7BFD">
        <w:lastRenderedPageBreak/>
        <w:t>zu unterscheiden, die erst aus dem behandelten Sachverhalt entsteht. Beispielsweise kann eine mathematisch für sämtliche reellen Argumente definierte Funktion in einem konkreten Anwendungskontext nur für nichtnegative Zeiten oder innerhalb eines bestimmten Messbereichs sinnvoll interpretiert werden. Die mathematische Existenz eines Funktionswertes ist nicht mit seiner sachlichen Bedeutung gleichzusetzen.</w:t>
      </w:r>
    </w:p>
    <w:p w14:paraId="1DF42B5B" w14:textId="77777777" w:rsidR="00ED7BFD" w:rsidRPr="00ED7BFD" w:rsidRDefault="00ED7BFD" w:rsidP="00ED7BFD">
      <w:r w:rsidRPr="00ED7BFD">
        <w:t xml:space="preserve">Blum und Leiß untersuchen im DISUM-Kontext, wie Lernende und Lehrkräfte mit anspruchsvollen Modellierungsaufgaben umgehen. Ihre Arbeit macht anhand konkreter Aufgabenbearbeitungen den Unterschied zwischen einem idealtypisch beschriebenen Modellierungsweg und dem tatsächlich beobachteten Vorgehen deutlich. Für meine Untersuchung ist dieser Gegensatz wichtiger als die bloße Anzahl der Stationen eines Modellierungszyklus. Wenn ich einen Darstellungsrahmen entwickle, muss ich seine fachliche Struktur von der individuellen Reihenfolge trennen, in der Lernende diese Struktur erschließen. Dass eine nachvollziehbare Darstellung eine bestimmte logische Ordnung besitzt, bedeutet nicht, dass jeder Lernende diese Ordnung beim ersten Bearbeitungsversuch schrittweise und ohne Rücksprünge durchläuft. {[Blum, Werner; Leiß, Dominik (2007). </w:t>
      </w:r>
      <w:proofErr w:type="spellStart"/>
      <w:r w:rsidRPr="00ED7BFD">
        <w:t>How</w:t>
      </w:r>
      <w:proofErr w:type="spellEnd"/>
      <w:r w:rsidRPr="00ED7BFD">
        <w:t xml:space="preserve"> Do </w:t>
      </w:r>
      <w:proofErr w:type="spellStart"/>
      <w:r w:rsidRPr="00ED7BFD">
        <w:t>Students</w:t>
      </w:r>
      <w:proofErr w:type="spellEnd"/>
      <w:r w:rsidRPr="00ED7BFD">
        <w:t xml:space="preserve"> and Teachers Deal </w:t>
      </w:r>
      <w:proofErr w:type="spellStart"/>
      <w:r w:rsidRPr="00ED7BFD">
        <w:t>with</w:t>
      </w:r>
      <w:proofErr w:type="spellEnd"/>
      <w:r w:rsidRPr="00ED7BFD">
        <w:t xml:space="preserve"> Modelling Problems? In: Haines, Christopher; Galbraith, Peter; Blum, Werner; Khan, </w:t>
      </w:r>
      <w:proofErr w:type="spellStart"/>
      <w:r w:rsidRPr="00ED7BFD">
        <w:t>Sanowar</w:t>
      </w:r>
      <w:proofErr w:type="spellEnd"/>
      <w:r w:rsidRPr="00ED7BFD">
        <w:t xml:space="preserve"> (Hrsg.), </w:t>
      </w:r>
      <w:proofErr w:type="spellStart"/>
      <w:r w:rsidRPr="00ED7BFD">
        <w:t>Mathematical</w:t>
      </w:r>
      <w:proofErr w:type="spellEnd"/>
      <w:r w:rsidRPr="00ED7BFD">
        <w:t xml:space="preserve"> Modelling: Education, Engineering and Economics – ICTMA 12. Chichester: </w:t>
      </w:r>
      <w:proofErr w:type="spellStart"/>
      <w:r w:rsidRPr="00ED7BFD">
        <w:t>Horwood</w:t>
      </w:r>
      <w:proofErr w:type="spellEnd"/>
      <w:r w:rsidRPr="00ED7BFD">
        <w:t xml:space="preserve"> Publishing, S. 222–231. DOI: 10.1533/9780857099419.5.221.</w:t>
      </w:r>
      <w:proofErr w:type="gramStart"/>
      <w:r w:rsidRPr="00ED7BFD">
        <w:t>]}[</w:t>
      </w:r>
      <w:proofErr w:type="gramEnd"/>
      <w:r w:rsidRPr="00ED7BFD">
        <w:t>[22]]</w:t>
      </w:r>
    </w:p>
    <w:p w14:paraId="3B2FF636" w14:textId="77777777" w:rsidR="00ED7BFD" w:rsidRPr="00ED7BFD" w:rsidRDefault="00ED7BFD" w:rsidP="00ED7BFD">
      <w:r w:rsidRPr="00ED7BFD">
        <w:t xml:space="preserve">Borromeo Ferri vertieft die Unterscheidung zwischen theoretischen Modellierungsphasen und der kognitiven Rekonstruktion tatsächlicher Bearbeitungswege. Sie stellt unterschiedliche Modellierungszyklen gegenüber und untersucht, wie sich Aktivitäten von Lernenden einzelnen Phasen zuordnen lassen. Dabei wird auch sichtbar, dass die empirische Abgrenzung solcher Phasen Schwierigkeiten bereiten kann. Für mich folgt daraus eine methodische Einschränkung: Ein im FRZK dokumentierter Bearbeitungsschritt dürfte nicht ohne weitere Erhebungen mit einem eindeutig identifizierten kognitiven Prozess gleichgesetzt werden. Eine Darstellung kann zeigen, welche Angaben, Beziehungen oder Prüfungen festgehalten wurden; sie lässt für sich genommen jedoch noch nicht erkennen, welche Vorstellungen die Lernenden während der Bearbeitung tatsächlich entwickelt haben. {[Borromeo Ferri, Rita (2006). </w:t>
      </w:r>
      <w:proofErr w:type="spellStart"/>
      <w:r w:rsidRPr="00ED7BFD">
        <w:t>Theoretical</w:t>
      </w:r>
      <w:proofErr w:type="spellEnd"/>
      <w:r w:rsidRPr="00ED7BFD">
        <w:t xml:space="preserve"> and </w:t>
      </w:r>
      <w:proofErr w:type="spellStart"/>
      <w:r w:rsidRPr="00ED7BFD">
        <w:t>empirical</w:t>
      </w:r>
      <w:proofErr w:type="spellEnd"/>
      <w:r w:rsidRPr="00ED7BFD">
        <w:t xml:space="preserve"> </w:t>
      </w:r>
      <w:proofErr w:type="spellStart"/>
      <w:r w:rsidRPr="00ED7BFD">
        <w:t>differentiations</w:t>
      </w:r>
      <w:proofErr w:type="spellEnd"/>
      <w:r w:rsidRPr="00ED7BFD">
        <w:t xml:space="preserve"> </w:t>
      </w:r>
      <w:proofErr w:type="spellStart"/>
      <w:r w:rsidRPr="00ED7BFD">
        <w:t>of</w:t>
      </w:r>
      <w:proofErr w:type="spellEnd"/>
      <w:r w:rsidRPr="00ED7BFD">
        <w:t xml:space="preserve"> </w:t>
      </w:r>
      <w:proofErr w:type="spellStart"/>
      <w:r w:rsidRPr="00ED7BFD">
        <w:t>phases</w:t>
      </w:r>
      <w:proofErr w:type="spellEnd"/>
      <w:r w:rsidRPr="00ED7BFD">
        <w:t xml:space="preserve"> in </w:t>
      </w:r>
      <w:proofErr w:type="spellStart"/>
      <w:r w:rsidRPr="00ED7BFD">
        <w:t>the</w:t>
      </w:r>
      <w:proofErr w:type="spellEnd"/>
      <w:r w:rsidRPr="00ED7BFD">
        <w:t xml:space="preserve"> </w:t>
      </w:r>
      <w:proofErr w:type="spellStart"/>
      <w:r w:rsidRPr="00ED7BFD">
        <w:t>modelling</w:t>
      </w:r>
      <w:proofErr w:type="spellEnd"/>
      <w:r w:rsidRPr="00ED7BFD">
        <w:t xml:space="preserve"> </w:t>
      </w:r>
      <w:proofErr w:type="spellStart"/>
      <w:r w:rsidRPr="00ED7BFD">
        <w:t>process</w:t>
      </w:r>
      <w:proofErr w:type="spellEnd"/>
      <w:r w:rsidRPr="00ED7BFD">
        <w:t>. Zentralblatt für Didaktik der Mathematik, 38(2), S. 86–95. DOI: 10.1007/BF02655883.</w:t>
      </w:r>
      <w:proofErr w:type="gramStart"/>
      <w:r w:rsidRPr="00ED7BFD">
        <w:t>]}[</w:t>
      </w:r>
      <w:proofErr w:type="gramEnd"/>
      <w:r w:rsidRPr="00ED7BFD">
        <w:t>[23]]</w:t>
      </w:r>
    </w:p>
    <w:p w14:paraId="3A053947" w14:textId="77777777" w:rsidR="00ED7BFD" w:rsidRPr="00ED7BFD" w:rsidRDefault="00ED7BFD" w:rsidP="00ED7BFD">
      <w:r w:rsidRPr="00ED7BFD">
        <w:t xml:space="preserve">Eine weitere Differenzierung betrifft die Frage, welche Fähigkeiten erforderlich sind, um einen Modellierungsprozess selbstständig zu bewältigen. Maaß untersucht Modellierungskompetenzen sowohl theoretisch als auch anhand empirischer Unterrichtsdaten und analysiert dabei die Fähigkeiten und Fehler von Lernenden. Ihre Arbeit verdeutlicht, dass das Erkennen und Bearbeiten einer mathematischen Modellierungssituation mehrere Teilanforderungen umfasst. Für meine Fragestellung bedeutet dies, dass ich nicht nur auf das richtige Endergebnis achten darf. Ich muss auch unterscheiden können, ob eine fehlerhafte Lösung aus einem Missverständnis der Situation, einer ungeeigneten Modellannahme, einer fehlerhaften Mathematisierung, einem Rechenfehler oder einer unzutreffenden Interpretation hervorgegangen sein könnte. Eine solche Unterscheidung bildet zunächst einen analytischen Prüfmaßstab; ihre zuverlässige Erfassung verlangt später geeignete Beobachtungsinstrumente. {[Maaß, Katja (2006). </w:t>
      </w:r>
      <w:proofErr w:type="spellStart"/>
      <w:r w:rsidRPr="00ED7BFD">
        <w:t>What</w:t>
      </w:r>
      <w:proofErr w:type="spellEnd"/>
      <w:r w:rsidRPr="00ED7BFD">
        <w:t xml:space="preserve"> </w:t>
      </w:r>
      <w:proofErr w:type="spellStart"/>
      <w:r w:rsidRPr="00ED7BFD">
        <w:t>are</w:t>
      </w:r>
      <w:proofErr w:type="spellEnd"/>
      <w:r w:rsidRPr="00ED7BFD">
        <w:t xml:space="preserve"> </w:t>
      </w:r>
      <w:proofErr w:type="spellStart"/>
      <w:r w:rsidRPr="00ED7BFD">
        <w:t>modelling</w:t>
      </w:r>
      <w:proofErr w:type="spellEnd"/>
      <w:r w:rsidRPr="00ED7BFD">
        <w:t xml:space="preserve"> </w:t>
      </w:r>
      <w:proofErr w:type="spellStart"/>
      <w:r w:rsidRPr="00ED7BFD">
        <w:t>competencies</w:t>
      </w:r>
      <w:proofErr w:type="spellEnd"/>
      <w:r w:rsidRPr="00ED7BFD">
        <w:t>? Zentralblatt für Didaktik der Mathematik, 38(2), S. 113–142. DOI: 10.1007/BF02655885.</w:t>
      </w:r>
      <w:proofErr w:type="gramStart"/>
      <w:r w:rsidRPr="00ED7BFD">
        <w:t>]}[</w:t>
      </w:r>
      <w:proofErr w:type="gramEnd"/>
      <w:r w:rsidRPr="00ED7BFD">
        <w:t>[24]]</w:t>
      </w:r>
    </w:p>
    <w:p w14:paraId="75733374" w14:textId="77777777" w:rsidR="00ED7BFD" w:rsidRPr="00ED7BFD" w:rsidRDefault="00ED7BFD" w:rsidP="00ED7BFD">
      <w:r w:rsidRPr="00ED7BFD">
        <w:lastRenderedPageBreak/>
        <w:t xml:space="preserve">An dieser Stelle wird für mich der Begriff des funktionalen Zusammenhangs erneut wichtig. Er bezeichnet nicht nur die Zuordnung eines Ergebnisses zu einer Eingabe, sondern kann auch die gedankliche Koordination veränderlicher Größen betreffen. Carlson, Jacobs, Coe, Larsen und Hsu entwickeln einen Rahmen zur Untersuchung des </w:t>
      </w:r>
      <w:proofErr w:type="spellStart"/>
      <w:r w:rsidRPr="00ED7BFD">
        <w:t>kovariationalen</w:t>
      </w:r>
      <w:proofErr w:type="spellEnd"/>
      <w:r w:rsidRPr="00ED7BFD">
        <w:t xml:space="preserve"> Denkens bei dynamischen Funktionssituationen. Sie betrachten insbesondere, wie Lernende Veränderungen einer Größe mit Veränderungen einer anderen Größe in Beziehung setzen. In der untersuchten Gruppe von Studierenden mit fortgeschrittenen </w:t>
      </w:r>
      <w:proofErr w:type="spellStart"/>
      <w:r w:rsidRPr="00ED7BFD">
        <w:t>Analysiskenntnissen</w:t>
      </w:r>
      <w:proofErr w:type="spellEnd"/>
      <w:r w:rsidRPr="00ED7BFD">
        <w:t xml:space="preserve"> zeigten sich unterschiedliche Möglichkeiten und Schwierigkeiten bei der Vorstellung gemeinsam veränderlicher Größen und ihrer Änderungsraten. Die Studie liefert damit einen fachlich einschlägigen Bezugsrahmen, aber keinen unmittelbaren Nachweis dafür, dass eine bestimmte FRZK-Darstellung Lernende unterschiedlicher Klassenstufen unterstützt. {[Carlson, Marilyn; Jacobs, Sally; Coe, Edward; Larsen, Sean; Hsu, Eric (2002). </w:t>
      </w:r>
      <w:proofErr w:type="spellStart"/>
      <w:r w:rsidRPr="00ED7BFD">
        <w:t>Applying</w:t>
      </w:r>
      <w:proofErr w:type="spellEnd"/>
      <w:r w:rsidRPr="00ED7BFD">
        <w:t xml:space="preserve"> </w:t>
      </w:r>
      <w:proofErr w:type="spellStart"/>
      <w:r w:rsidRPr="00ED7BFD">
        <w:t>Covariational</w:t>
      </w:r>
      <w:proofErr w:type="spellEnd"/>
      <w:r w:rsidRPr="00ED7BFD">
        <w:t xml:space="preserve"> </w:t>
      </w:r>
      <w:proofErr w:type="spellStart"/>
      <w:r w:rsidRPr="00ED7BFD">
        <w:t>Reasoning</w:t>
      </w:r>
      <w:proofErr w:type="spellEnd"/>
      <w:r w:rsidRPr="00ED7BFD">
        <w:t xml:space="preserve"> </w:t>
      </w:r>
      <w:proofErr w:type="spellStart"/>
      <w:r w:rsidRPr="00ED7BFD">
        <w:t>While</w:t>
      </w:r>
      <w:proofErr w:type="spellEnd"/>
      <w:r w:rsidRPr="00ED7BFD">
        <w:t xml:space="preserve"> Modeling Dynamic Events: A Framework and a Study. Journal </w:t>
      </w:r>
      <w:proofErr w:type="spellStart"/>
      <w:r w:rsidRPr="00ED7BFD">
        <w:t>for</w:t>
      </w:r>
      <w:proofErr w:type="spellEnd"/>
      <w:r w:rsidRPr="00ED7BFD">
        <w:t xml:space="preserve"> Research in </w:t>
      </w:r>
      <w:proofErr w:type="spellStart"/>
      <w:r w:rsidRPr="00ED7BFD">
        <w:t>Mathematics</w:t>
      </w:r>
      <w:proofErr w:type="spellEnd"/>
      <w:r w:rsidRPr="00ED7BFD">
        <w:t xml:space="preserve"> Education, 33(5), S. 352–378. DOI: 10.2307/4149958.</w:t>
      </w:r>
      <w:proofErr w:type="gramStart"/>
      <w:r w:rsidRPr="00ED7BFD">
        <w:t>]}[</w:t>
      </w:r>
      <w:proofErr w:type="gramEnd"/>
      <w:r w:rsidRPr="00ED7BFD">
        <w:t>[25]]</w:t>
      </w:r>
    </w:p>
    <w:p w14:paraId="5F89E119" w14:textId="77777777" w:rsidR="00ED7BFD" w:rsidRPr="00ED7BFD" w:rsidRDefault="00ED7BFD" w:rsidP="00ED7BFD">
      <w:r w:rsidRPr="00ED7BFD">
        <w:t>Für meine Arbeit ist an diesem Ansatz besonders aufschlussreich, dass eine mathematische Funktionsgleichung und die gedankliche Vorstellung der zugehörigen Veränderung nicht dasselbe sind. Eine Schülerin oder ein Schüler kann eine symbolisch dargestellte Beziehung möglicherweise rechnerisch verwenden, ohne bereits beschreiben zu können, wie sich ihre Größen gemeinsam verändern. Umgekehrt kann eine anschauliche Beschreibung einer Veränderung vorliegen, während die dazu passende mathematische Formulierung noch fehlt. Ich muss deshalb bei einer funktionalen Darstellung sowohl die fachlich definierte Beziehung als auch die Verständlichkeit ihrer Interpretation berücksichtigen. Der Wechsel zwischen unterschiedlichen Repräsentationsformen wird im anschließenden Abschnitt 2.2 gesondert untersucht; hier geht es zunächst um die Bedeutung der Beziehungen selbst.</w:t>
      </w:r>
    </w:p>
    <w:p w14:paraId="478D74F1" w14:textId="77777777" w:rsidR="00ED7BFD" w:rsidRPr="00ED7BFD" w:rsidRDefault="00ED7BFD" w:rsidP="00ED7BFD">
      <w:r w:rsidRPr="00ED7BFD">
        <w:t xml:space="preserve">Galbraith und </w:t>
      </w:r>
      <w:proofErr w:type="spellStart"/>
      <w:r w:rsidRPr="00ED7BFD">
        <w:t>Stillman</w:t>
      </w:r>
      <w:proofErr w:type="spellEnd"/>
      <w:r w:rsidRPr="00ED7BFD">
        <w:t xml:space="preserve"> entwickeln einen analytischen Rahmen zur Identifikation von Schwierigkeiten beim Übergang zwischen Teilprozessen mathematischer Modellierung und erproben ihn mit Lernenden im Alter von etwa vierzehn bis fünfzehn Jahren. Ihr Ansatz ist für meine Fragestellung unmittelbar relevant, weil er die Aufmerksamkeit auf die Übergänge zwischen den Arbeitsschritten richtet. Eine fachlich richtige Rechnung kann an einer ungeeigneten Ausgangsannahme scheitern; ebenso kann ein angemessenes mathematisches Ergebnis falsch auf die ursprüngliche Situation zurückbezogen werden. Die Untersuchung legt für mich nahe, mögliche Schwierigkeiten nicht ausschließlich an einzelnen mathematischen Operationen zu suchen, sondern auch dort, wo Lernende zwischen der Aufgabenbeschreibung, einer Modellannahme, einer mathematischen Beziehung und der Ergebnisdeutung wechseln. {[Galbraith, Peter; </w:t>
      </w:r>
      <w:proofErr w:type="spellStart"/>
      <w:r w:rsidRPr="00ED7BFD">
        <w:t>Stillman</w:t>
      </w:r>
      <w:proofErr w:type="spellEnd"/>
      <w:r w:rsidRPr="00ED7BFD">
        <w:t xml:space="preserve">, Gloria (2006). A </w:t>
      </w:r>
      <w:proofErr w:type="spellStart"/>
      <w:r w:rsidRPr="00ED7BFD">
        <w:t>framework</w:t>
      </w:r>
      <w:proofErr w:type="spellEnd"/>
      <w:r w:rsidRPr="00ED7BFD">
        <w:t xml:space="preserve"> </w:t>
      </w:r>
      <w:proofErr w:type="spellStart"/>
      <w:r w:rsidRPr="00ED7BFD">
        <w:t>for</w:t>
      </w:r>
      <w:proofErr w:type="spellEnd"/>
      <w:r w:rsidRPr="00ED7BFD">
        <w:t xml:space="preserve"> </w:t>
      </w:r>
      <w:proofErr w:type="spellStart"/>
      <w:r w:rsidRPr="00ED7BFD">
        <w:t>identifying</w:t>
      </w:r>
      <w:proofErr w:type="spellEnd"/>
      <w:r w:rsidRPr="00ED7BFD">
        <w:t xml:space="preserve"> </w:t>
      </w:r>
      <w:proofErr w:type="spellStart"/>
      <w:r w:rsidRPr="00ED7BFD">
        <w:t>student</w:t>
      </w:r>
      <w:proofErr w:type="spellEnd"/>
      <w:r w:rsidRPr="00ED7BFD">
        <w:t xml:space="preserve"> </w:t>
      </w:r>
      <w:proofErr w:type="spellStart"/>
      <w:r w:rsidRPr="00ED7BFD">
        <w:t>blockages</w:t>
      </w:r>
      <w:proofErr w:type="spellEnd"/>
      <w:r w:rsidRPr="00ED7BFD">
        <w:t xml:space="preserve"> </w:t>
      </w:r>
      <w:proofErr w:type="spellStart"/>
      <w:r w:rsidRPr="00ED7BFD">
        <w:t>during</w:t>
      </w:r>
      <w:proofErr w:type="spellEnd"/>
      <w:r w:rsidRPr="00ED7BFD">
        <w:t xml:space="preserve"> </w:t>
      </w:r>
      <w:proofErr w:type="spellStart"/>
      <w:r w:rsidRPr="00ED7BFD">
        <w:t>transitions</w:t>
      </w:r>
      <w:proofErr w:type="spellEnd"/>
      <w:r w:rsidRPr="00ED7BFD">
        <w:t xml:space="preserve"> in </w:t>
      </w:r>
      <w:proofErr w:type="spellStart"/>
      <w:r w:rsidRPr="00ED7BFD">
        <w:t>the</w:t>
      </w:r>
      <w:proofErr w:type="spellEnd"/>
      <w:r w:rsidRPr="00ED7BFD">
        <w:t xml:space="preserve"> </w:t>
      </w:r>
      <w:proofErr w:type="spellStart"/>
      <w:r w:rsidRPr="00ED7BFD">
        <w:t>modelling</w:t>
      </w:r>
      <w:proofErr w:type="spellEnd"/>
      <w:r w:rsidRPr="00ED7BFD">
        <w:t xml:space="preserve"> </w:t>
      </w:r>
      <w:proofErr w:type="spellStart"/>
      <w:r w:rsidRPr="00ED7BFD">
        <w:t>process</w:t>
      </w:r>
      <w:proofErr w:type="spellEnd"/>
      <w:r w:rsidRPr="00ED7BFD">
        <w:t>. Zentralblatt für Didaktik der Mathematik, 38(2), S. 143–162. DOI: 10.1007/BF02655886.</w:t>
      </w:r>
      <w:proofErr w:type="gramStart"/>
      <w:r w:rsidRPr="00ED7BFD">
        <w:t>]}[</w:t>
      </w:r>
      <w:proofErr w:type="gramEnd"/>
      <w:r w:rsidRPr="00ED7BFD">
        <w:t>[26]]</w:t>
      </w:r>
    </w:p>
    <w:p w14:paraId="18CC1ADE" w14:textId="77777777" w:rsidR="00ED7BFD" w:rsidRPr="00ED7BFD" w:rsidRDefault="00ED7BFD" w:rsidP="00ED7BFD">
      <w:r w:rsidRPr="00ED7BFD">
        <w:t>Allerdings darf ich aus der Beschreibung solcher Übergänge noch keine feste Reihenfolge vorschreiben. Es gibt Aufgaben, bei denen die gesuchte Größe bereits am Anfang eindeutig angegeben ist, und andere, bei denen eine sinnvolle Zielfrage erst durch die Untersuchung der Situation präzisiert werden muss. Auch die Wahl geeigneter Variablen kann im Bearbeitungsprozess geändert werden, sobald eine zunächst nicht berücksichtigte Beziehung erkennbar wird. Die Vorstellung eines linearen Schemas von der Aufgabenstellung zur fertigen Lösung kann deshalb für die Dokumentation nützlich sein, ohne den tatsächlichen Erkenntnisweg vollständig abzubilden. Ein Ordnungsrahmen muss diese Unterscheidung zulassen, statt Rücksprünge und Neubewertungen als methodische Fehler anzusehen.</w:t>
      </w:r>
    </w:p>
    <w:p w14:paraId="692F7DE7" w14:textId="77777777" w:rsidR="00ED7BFD" w:rsidRPr="00ED7BFD" w:rsidRDefault="00ED7BFD" w:rsidP="00ED7BFD">
      <w:proofErr w:type="spellStart"/>
      <w:r w:rsidRPr="00ED7BFD">
        <w:lastRenderedPageBreak/>
        <w:t>Lesh</w:t>
      </w:r>
      <w:proofErr w:type="spellEnd"/>
      <w:r w:rsidRPr="00ED7BFD">
        <w:t xml:space="preserve"> und Doerr vertreten mit der Models-and-Modeling-Perspektive eine weitere theoretische Richtung, in der mathematische Modelle nicht ausschließlich als Endprodukte eines festgelegten Bearbeitungszyklus betrachtet werden. Ihr Sammelband behandelt die Entwicklung, Überarbeitung und Verwendung von Modellen als Teil mathematischer Lern- und Problemlöseprozesse. Damit erweitert sich die Vergleichsfrage: Nicht nur die Zuordnung einer Aufgabe zu bereits bekannten mathematischen Verfahren ist relevant, sondern auch die Möglichkeit, dass Lernende bei der Bearbeitung ihre Vorstellungen und Darstellungen fortlaufend verändern. Für das FRZK ist diese Perspektive wichtig, weil ein zunächst offener Darstellungsrahmen keine inhaltlich vollständige Modellvorstellung voraussetzen darf. Zugleich ist damit nicht gesagt, dass ein leeres Blatt oder eine bestimmte Anfangsorientierung das Modelllernen nachweisbar verbessert. {[</w:t>
      </w:r>
      <w:proofErr w:type="spellStart"/>
      <w:r w:rsidRPr="00ED7BFD">
        <w:t>Lesh</w:t>
      </w:r>
      <w:proofErr w:type="spellEnd"/>
      <w:r w:rsidRPr="00ED7BFD">
        <w:t xml:space="preserve">, Richard A.; Doerr, Helen M. (Hrsg.) (2003). </w:t>
      </w:r>
      <w:proofErr w:type="spellStart"/>
      <w:r w:rsidRPr="00ED7BFD">
        <w:t>Beyond</w:t>
      </w:r>
      <w:proofErr w:type="spellEnd"/>
      <w:r w:rsidRPr="00ED7BFD">
        <w:t xml:space="preserve"> </w:t>
      </w:r>
      <w:proofErr w:type="spellStart"/>
      <w:r w:rsidRPr="00ED7BFD">
        <w:t>Constructivism</w:t>
      </w:r>
      <w:proofErr w:type="spellEnd"/>
      <w:r w:rsidRPr="00ED7BFD">
        <w:t xml:space="preserve">: Models and Modeling </w:t>
      </w:r>
      <w:proofErr w:type="spellStart"/>
      <w:r w:rsidRPr="00ED7BFD">
        <w:t>Perspectives</w:t>
      </w:r>
      <w:proofErr w:type="spellEnd"/>
      <w:r w:rsidRPr="00ED7BFD">
        <w:t xml:space="preserve"> on </w:t>
      </w:r>
      <w:proofErr w:type="spellStart"/>
      <w:r w:rsidRPr="00ED7BFD">
        <w:t>Mathematics</w:t>
      </w:r>
      <w:proofErr w:type="spellEnd"/>
      <w:r w:rsidRPr="00ED7BFD">
        <w:t xml:space="preserve"> Problem </w:t>
      </w:r>
      <w:proofErr w:type="spellStart"/>
      <w:r w:rsidRPr="00ED7BFD">
        <w:t>Solving</w:t>
      </w:r>
      <w:proofErr w:type="spellEnd"/>
      <w:r w:rsidRPr="00ED7BFD">
        <w:t xml:space="preserve">, Learning, and Teaching. </w:t>
      </w:r>
      <w:proofErr w:type="spellStart"/>
      <w:r w:rsidRPr="00ED7BFD">
        <w:t>Mahwah</w:t>
      </w:r>
      <w:proofErr w:type="spellEnd"/>
      <w:r w:rsidRPr="00ED7BFD">
        <w:t>, NJ: Lawrence Erlbaum Associates.</w:t>
      </w:r>
      <w:proofErr w:type="gramStart"/>
      <w:r w:rsidRPr="00ED7BFD">
        <w:t>]}[</w:t>
      </w:r>
      <w:proofErr w:type="gramEnd"/>
      <w:r w:rsidRPr="00ED7BFD">
        <w:t>[27]]</w:t>
      </w:r>
    </w:p>
    <w:p w14:paraId="5DFDFD27" w14:textId="77777777" w:rsidR="00ED7BFD" w:rsidRPr="00ED7BFD" w:rsidRDefault="00ED7BFD" w:rsidP="00ED7BFD">
      <w:r w:rsidRPr="00ED7BFD">
        <w:t>Bei der Gegenüberstellung dieser Forschungsansätze fällt mir auf, dass sie zwei unterschiedliche Anforderungen sichtbar machen. Einerseits braucht eine mathematische Darstellung fachliche Bestimmtheit. Es muss erkennbar sein, welche Größe bezeichnet wird, welcher Definitionsbereich zugrunde liegt, welche Beziehung angenommen wird und welche Aussagen sich daraus herleiten lassen. Andererseits braucht ein Lernprozess die Möglichkeit, zunächst unvollständige Vorstellungen zu äußern, Annahmen zu verändern und ein Modell aufgrund neuer Einsichten zu überarbeiten. Eine Darstellungsmethode, die nur fertige und bereits geprüfte Beziehungen zulässt, könnte den Prozess ihrer Entwicklung unzureichend erfassen. Eine Methode, die jede vorläufige Überlegung ohne Kennzeichnung übernimmt, erschwert dagegen die Unterscheidung zwischen Annahme und fachlich begründetem Ergebnis.</w:t>
      </w:r>
    </w:p>
    <w:p w14:paraId="73E5B322" w14:textId="77777777" w:rsidR="00ED7BFD" w:rsidRPr="00ED7BFD" w:rsidRDefault="00ED7BFD" w:rsidP="00ED7BFD">
      <w:r w:rsidRPr="00ED7BFD">
        <w:t>Für das FRZK entsteht zusätzlich die Frage, welche Informationen während einer mathematischen Operation erhalten bleiben sollen. In der gewöhnlichen mathematischen Bearbeitung werden bestimmte Unterschiede bewusst zusammengefasst, sobald sie für die betrachtete Operation keine Rolle mehr spielen. Ein Ergebnis kann deshalb weniger Informationen enthalten als der Zustand, aus dem es hervorgegangen ist. Ich möchte im FRZK jedoch bestimmte Eigenschaften auch dann erhalten, wenn sie im gewöhnlichen Ergebnis einer Operation nicht mehr erkennbar wären. Dies betrifft insbesondere die Orientierung eines Vektors bei der Skalarmultiplikation mit null. Um diese Entscheidung wissenschaftlich einzuordnen, muss ich zunächst die bereits bekannten mathematischen Grundlagen und ihre Grenzen betrachten.</w:t>
      </w:r>
    </w:p>
    <w:p w14:paraId="4E1603C1" w14:textId="77777777" w:rsidR="00ED7BFD" w:rsidRPr="00ED7BFD" w:rsidRDefault="00ED7BFD" w:rsidP="00ED7BFD">
      <w:r w:rsidRPr="00ED7BFD">
        <w:t xml:space="preserve">Eine erste Grundlage bildet die Behandlung der Unendlichkeit in der mathematischen Analysis. Dabei muss zwischen dem </w:t>
      </w:r>
      <w:proofErr w:type="spellStart"/>
      <w:r w:rsidRPr="00ED7BFD">
        <w:t>Unbeschränktwerden</w:t>
      </w:r>
      <w:proofErr w:type="spellEnd"/>
      <w:r w:rsidRPr="00ED7BFD">
        <w:t xml:space="preserve"> einer Größe, einem Grenzverhalten und der Einführung zusätzlicher formaler Werte unterschieden werden. In der Analysis können positive und negative Unendlichkeit verwendet werden, um bestimmte Grenzprozesse und erweiterte Wertebereiche zu beschreiben. Daraus ergibt sich jedoch keine uneingeschränkt gültige Arithmetik, in der sich die Unendlichkeit wie eine gewöhnliche reelle Zahl behandeln ließe. </w:t>
      </w:r>
      <w:proofErr w:type="spellStart"/>
      <w:r w:rsidRPr="00ED7BFD">
        <w:t>Sedaghat</w:t>
      </w:r>
      <w:proofErr w:type="spellEnd"/>
      <w:r w:rsidRPr="00ED7BFD">
        <w:t xml:space="preserve"> behandelt die Bedeutung der Unendlichkeit für die Grundlagen der reellen Analysis und verdeutlicht ihren Zusammenhang mit Folgen, Grenzwerten und weiteren analytischen Begriffen. Für meine Untersuchung bildet diese Unterscheidung einen notwendigen mathematischen Bezugspunkt. {[</w:t>
      </w:r>
      <w:proofErr w:type="spellStart"/>
      <w:r w:rsidRPr="00ED7BFD">
        <w:t>Sedaghat</w:t>
      </w:r>
      <w:proofErr w:type="spellEnd"/>
      <w:r w:rsidRPr="00ED7BFD">
        <w:t>, Hassan (2022). Real Analysis and Infinity. Oxford: Oxford University Press. DOI: 10.1093/</w:t>
      </w:r>
      <w:proofErr w:type="spellStart"/>
      <w:r w:rsidRPr="00ED7BFD">
        <w:t>oso</w:t>
      </w:r>
      <w:proofErr w:type="spellEnd"/>
      <w:r w:rsidRPr="00ED7BFD">
        <w:t>/9780192895622.001.0001.</w:t>
      </w:r>
      <w:proofErr w:type="gramStart"/>
      <w:r w:rsidRPr="00ED7BFD">
        <w:t>]}[</w:t>
      </w:r>
      <w:proofErr w:type="gramEnd"/>
      <w:r w:rsidRPr="00ED7BFD">
        <w:t>[28]]</w:t>
      </w:r>
    </w:p>
    <w:p w14:paraId="3D9AEC3D" w14:textId="77777777" w:rsidR="00ED7BFD" w:rsidRPr="00ED7BFD" w:rsidRDefault="00ED7BFD" w:rsidP="00ED7BFD">
      <w:r w:rsidRPr="00ED7BFD">
        <w:lastRenderedPageBreak/>
        <w:t>Das FRZK sieht dagegen ausdrücklich vor, mit den symbolischen Ausdrücken +∞ und −∞ nach eigenen Regeln zu rechnen. Ich verstehe diese Setzung nicht als Behauptung, die gewöhnlichen reellen Zahlen besäßen nun zusätzlich zwei uneingeschränkt verwendbare Zahlenwerte. Vielmehr muss ich einen entsprechend erweiterten symbolischen Bereich und die darauf zugelassenen Operationen bestimmen. Insbesondere ist anzugeben, unter welchen Voraussetzungen ein Rechenausdruck ausgewertet werden darf, welche Voraussetzungen zu zusätzlichen Fallunterscheidungen führen und bei welchen Operationen keine eindeutige Auswertung möglich ist. Eine solche Einschränkung gehört nicht erst zur nachträglichen Interpretation des Ergebnisses, sondern muss Bestandteil der jeweiligen Rechenregel sein.</w:t>
      </w:r>
    </w:p>
    <w:p w14:paraId="7B65B3ED" w14:textId="77777777" w:rsidR="00ED7BFD" w:rsidRPr="00ED7BFD" w:rsidRDefault="00ED7BFD" w:rsidP="00ED7BFD">
      <w:r w:rsidRPr="00ED7BFD">
        <w:t>Besonders deutlich wird diese Notwendigkeit bei Ausdrücken, in denen Zähler und Nenner beide unbegrenzt wachsen. Die symbolische Form ∞/∞ enthält für sich genommen noch nicht genügend Informationen, um einen eindeutigen Grenzwert zu bestimmen. Bei gleicher Wachstumsordnung kann sich ein endlicher Wert ergeben, bei unterschiedlichen Wachstumsordnungen dagegen null oder ein unbeschränktes Verhalten. Soll das FRZK solche Ausdrücke verarbeiten, muss es die dafür benötigten zusätzlichen Informationen erfassen oder die Operation als nicht eindeutig bestimmbar kennzeichnen. Eine symbolische Rechenregel darf nicht den Eindruck erzeugen, dass die Entscheidung unabhängig von den zugrunde liegenden Funktionen getroffen werden könnte.</w:t>
      </w:r>
    </w:p>
    <w:p w14:paraId="07B48E27" w14:textId="77777777" w:rsidR="00ED7BFD" w:rsidRPr="00ED7BFD" w:rsidRDefault="00ED7BFD" w:rsidP="00ED7BFD">
      <w:r w:rsidRPr="00ED7BFD">
        <w:t>Eine zweite Grundlage betrifft die Unterscheidung zwischen positiver und negativer Null. In der gewöhnlichen reellen Arithmetik gibt es nur einen Nullwert. Eine Annäherung an null von positiven beziehungsweise negativen Werten aus kann dagegen unterschiedliche Aussagen über das Verhalten einer Funktion ermöglichen. Ich verwende im FRZK die Ausdrücke +0 und −0 ausdrücklich als gerichtete symbolische Werte, für die definierte Rechenregeln vorgesehen sind. Die Unterscheidung der Annäherungsrichtung bleibt damit innerhalb der symbolischen Bearbeitung sichtbar und soll nicht bereits beim Erreichen des Grenzzustands verloren gehen.</w:t>
      </w:r>
    </w:p>
    <w:p w14:paraId="34BE15CE" w14:textId="77777777" w:rsidR="00ED7BFD" w:rsidRPr="00ED7BFD" w:rsidRDefault="00ED7BFD" w:rsidP="00ED7BFD">
      <w:r w:rsidRPr="00ED7BFD">
        <w:t xml:space="preserve">Dabei ist zu berücksichtigen, dass die Verwendung vorzeichenbehafteter Nullzustände nicht ausschließlich eine Besonderheit meiner Modellierung darstellt. Der Standard IEEE 754-2019 spezifiziert unter anderem binäre und dezimale Gleitkommaarithmetik einschließlich besonderer numerischer Werte und festgelegter Operationen. Er zeigt damit, dass die Bedeutung eines Symbols und die zulässigen Rechenregeln auch von dem ausdrücklich definierten arithmetischen System abhängen können. Ich darf daraus allerdings nicht ableiten, dass die numerische Gleitkommaarithmetik und die beabsichtigten FRZK-Operationen denselben mathematischen Gegenstand beschreiben. {[Institute </w:t>
      </w:r>
      <w:proofErr w:type="spellStart"/>
      <w:r w:rsidRPr="00ED7BFD">
        <w:t>of</w:t>
      </w:r>
      <w:proofErr w:type="spellEnd"/>
      <w:r w:rsidRPr="00ED7BFD">
        <w:t xml:space="preserve"> </w:t>
      </w:r>
      <w:proofErr w:type="spellStart"/>
      <w:r w:rsidRPr="00ED7BFD">
        <w:t>Electrical</w:t>
      </w:r>
      <w:proofErr w:type="spellEnd"/>
      <w:r w:rsidRPr="00ED7BFD">
        <w:t xml:space="preserve"> and Electronics Engineers (2019). </w:t>
      </w:r>
      <w:proofErr w:type="gramStart"/>
      <w:r w:rsidRPr="00ED7BFD">
        <w:t>IEEE Standard</w:t>
      </w:r>
      <w:proofErr w:type="gramEnd"/>
      <w:r w:rsidRPr="00ED7BFD">
        <w:t xml:space="preserve"> </w:t>
      </w:r>
      <w:proofErr w:type="spellStart"/>
      <w:r w:rsidRPr="00ED7BFD">
        <w:t>for</w:t>
      </w:r>
      <w:proofErr w:type="spellEnd"/>
      <w:r w:rsidRPr="00ED7BFD">
        <w:t xml:space="preserve"> Floating-Point </w:t>
      </w:r>
      <w:proofErr w:type="spellStart"/>
      <w:r w:rsidRPr="00ED7BFD">
        <w:t>Arithmetic</w:t>
      </w:r>
      <w:proofErr w:type="spellEnd"/>
      <w:r w:rsidRPr="00ED7BFD">
        <w:t>. IEEE Std 754-2019. DOI: 10.1109/IEEESTD.2019.8766229.</w:t>
      </w:r>
      <w:proofErr w:type="gramStart"/>
      <w:r w:rsidRPr="00ED7BFD">
        <w:t>]}[</w:t>
      </w:r>
      <w:proofErr w:type="gramEnd"/>
      <w:r w:rsidRPr="00ED7BFD">
        <w:t>[29]]</w:t>
      </w:r>
    </w:p>
    <w:p w14:paraId="7B575D0B" w14:textId="77777777" w:rsidR="00ED7BFD" w:rsidRPr="00ED7BFD" w:rsidRDefault="00ED7BFD" w:rsidP="00ED7BFD">
      <w:r w:rsidRPr="00ED7BFD">
        <w:t xml:space="preserve">Goldberg erläutert die Bedeutung vorzeichenbehafteter Nullwerte und Unendlichkeiten innerhalb der Gleitkommaarithmetik und zeigt, weshalb die Beibehaltung eines Vorzeichens auch dann relevant sein kann, wenn zwei Darstellungen bei einem gewöhnlichen Zahlenvergleich als </w:t>
      </w:r>
      <w:proofErr w:type="gramStart"/>
      <w:r w:rsidRPr="00ED7BFD">
        <w:t>gleich behandelt</w:t>
      </w:r>
      <w:proofErr w:type="gramEnd"/>
      <w:r w:rsidRPr="00ED7BFD">
        <w:t xml:space="preserve"> werden. Für meine Arbeit ist daran vor allem der allgemeine Gedanke interessant, dass eine Rechenrepräsentation zusätzliche Informationen über das Zustandekommen oder die weitere Behandlung eines Wertes enthalten kann. Dieser Gedanke begründet noch nicht die FRZK-Regeln, liefert aber einen wissenschaftlich dokumentierten Vergleichsfall für den bewussten Erhalt von Vorzeicheninformationen. {[Goldberg, David (1991). </w:t>
      </w:r>
      <w:proofErr w:type="spellStart"/>
      <w:r w:rsidRPr="00ED7BFD">
        <w:t>What</w:t>
      </w:r>
      <w:proofErr w:type="spellEnd"/>
      <w:r w:rsidRPr="00ED7BFD">
        <w:t xml:space="preserve"> Every Computer Scientist </w:t>
      </w:r>
      <w:proofErr w:type="spellStart"/>
      <w:r w:rsidRPr="00ED7BFD">
        <w:t>Should</w:t>
      </w:r>
      <w:proofErr w:type="spellEnd"/>
      <w:r w:rsidRPr="00ED7BFD">
        <w:t xml:space="preserve"> </w:t>
      </w:r>
      <w:proofErr w:type="spellStart"/>
      <w:r w:rsidRPr="00ED7BFD">
        <w:t>Know</w:t>
      </w:r>
      <w:proofErr w:type="spellEnd"/>
      <w:r w:rsidRPr="00ED7BFD">
        <w:t xml:space="preserve"> About Floating-Point </w:t>
      </w:r>
      <w:proofErr w:type="spellStart"/>
      <w:r w:rsidRPr="00ED7BFD">
        <w:t>Arithmetic</w:t>
      </w:r>
      <w:proofErr w:type="spellEnd"/>
      <w:r w:rsidRPr="00ED7BFD">
        <w:t>. ACM Computing Surveys, 23(1), S. 5–48. DOI: 10.1145/103162.103163.</w:t>
      </w:r>
      <w:proofErr w:type="gramStart"/>
      <w:r w:rsidRPr="00ED7BFD">
        <w:t>]}[</w:t>
      </w:r>
      <w:proofErr w:type="gramEnd"/>
      <w:r w:rsidRPr="00ED7BFD">
        <w:t>[30]]</w:t>
      </w:r>
    </w:p>
    <w:p w14:paraId="61996DB3" w14:textId="77777777" w:rsidR="00ED7BFD" w:rsidRPr="00ED7BFD" w:rsidRDefault="00ED7BFD" w:rsidP="00ED7BFD">
      <w:r w:rsidRPr="00ED7BFD">
        <w:lastRenderedPageBreak/>
        <w:t>An dieser Stelle muss ich die Unterschiede ausdrücklich festhalten. In der IEEE-Gleitkommaarithmetik dienen vorzeichenbehaftete Nullwerte bestimmten numerischen Rechen- und Darstellungszwecken. Im FRZK sollen +0 und −0 dagegen gerichtete symbolische Zustände innerhalb der funktionalen Modellierung kennzeichnen. Ihre Interpretation, ihre Verknüpfungen mit anderen symbolischen Werten und ihre Geltungsbereiche müssen deshalb unabhängig festgelegt werden. Insbesondere darf ich nicht voraussetzen, dass eine aus einer bestimmten Gleitkommaarithmetik bekannte Operation ohne weitere Prüfung auf die FRZK-Symbolik übertragen werden kann.</w:t>
      </w:r>
    </w:p>
    <w:p w14:paraId="56124BDC" w14:textId="77777777" w:rsidR="00ED7BFD" w:rsidRPr="00ED7BFD" w:rsidRDefault="00ED7BFD" w:rsidP="00ED7BFD">
      <w:r w:rsidRPr="00ED7BFD">
        <w:t>Aus didaktischer Sicht sehe ich darin eine mögliche Anwendung bei der Untersuchung einseitiger Grenzwerte. Eine Schülerin oder ein Schüler könnte beispielsweise durch die ausdrückliche Kennzeichnung der Annäherungsrichtung besser unterscheiden, ob eine Funktion linksseitig oder rechtsseitig untersucht wird. Ob dies gegenüber der gewöhnlichen Grenzwertnotation eine Erleichterung darstellt, lässt sich jedoch nicht aus der symbolischen Unterscheidung allein ableiten. Ebenso ist zu prüfen, ob die zusätzlichen Rechenregeln neue Missverständnisse erzeugen, etwa wenn gerichtete Nullzustände irrtümlich als unterschiedliche gewöhnliche reelle Zahlen behandelt werden. Die didaktische Tragfähigkeit der Symbolik muss deshalb unabhängig von ihrer formalen Definition beurteilt werden.</w:t>
      </w:r>
    </w:p>
    <w:p w14:paraId="16F51CFA" w14:textId="77777777" w:rsidR="00ED7BFD" w:rsidRPr="00ED7BFD" w:rsidRDefault="00ED7BFD" w:rsidP="00ED7BFD">
      <w:r w:rsidRPr="00ED7BFD">
        <w:t xml:space="preserve">Noch deutlicher tritt die Notwendigkeit einer eigenständigen mathematischen Definition bei der vorgesehenen Behandlung des Nullvektors hervor. In einem gewöhnlichen reellen Vektorraum ergibt die Multiplikation eines Vektors mit dem Skalar null den Nullvektor. Dieser besitzt keine eindeutig bestimmte Richtung. Die Vektorraumaxiome und ihre Konsequenzen sind in der linearen Algebra präzise festgelegt; </w:t>
      </w:r>
      <w:proofErr w:type="spellStart"/>
      <w:r w:rsidRPr="00ED7BFD">
        <w:t>Axler</w:t>
      </w:r>
      <w:proofErr w:type="spellEnd"/>
      <w:r w:rsidRPr="00ED7BFD">
        <w:t xml:space="preserve"> behandelt diese Grundlagen einschließlich der algebraischen Eigenschaften von Vektoren und linearen Abbildungen. Für meine Untersuchung bildet die gewöhnliche Vektorraumstruktur deshalb den notwendigen mathematischen Vergleichsmaßstab. {[</w:t>
      </w:r>
      <w:proofErr w:type="spellStart"/>
      <w:r w:rsidRPr="00ED7BFD">
        <w:t>Axler</w:t>
      </w:r>
      <w:proofErr w:type="spellEnd"/>
      <w:r w:rsidRPr="00ED7BFD">
        <w:t xml:space="preserve">, Sheldon (2024). Linear Algebra </w:t>
      </w:r>
      <w:proofErr w:type="spellStart"/>
      <w:r w:rsidRPr="00ED7BFD">
        <w:t>Done</w:t>
      </w:r>
      <w:proofErr w:type="spellEnd"/>
      <w:r w:rsidRPr="00ED7BFD">
        <w:t xml:space="preserve"> Right. 4. Auflage. Cham: Springer. DOI: 10.1007/978-3-031-41026-0.</w:t>
      </w:r>
      <w:proofErr w:type="gramStart"/>
      <w:r w:rsidRPr="00ED7BFD">
        <w:t>]}[</w:t>
      </w:r>
      <w:proofErr w:type="gramEnd"/>
      <w:r w:rsidRPr="00ED7BFD">
        <w:t>[31]]</w:t>
      </w:r>
    </w:p>
    <w:p w14:paraId="5465656E" w14:textId="77777777" w:rsidR="00ED7BFD" w:rsidRPr="00ED7BFD" w:rsidRDefault="00ED7BFD" w:rsidP="00ED7BFD">
      <w:r w:rsidRPr="00ED7BFD">
        <w:t>Im FRZK soll bei der Multiplikation eines Vektors mit dem Skalar null dagegen seine ursprüngliche Orientierung erhalten bleiben. Der Betrag des Ergebnisses wird null, die Orientierungsinformation des Ausgangsvektors soll jedoch weiterhin vorhanden sein. Ich unterscheide damit ausdrücklich zwischen dem algebraischen Nullwert und der im FRZK zusätzlich geführten Orientierung. Das Ergebnis darf folglich nicht ohne Weiteres mit dem gewöhnlichen Nullvektor gleichgesetzt werden, wenn die zuvor gespeicherte Orientierung für weitere Operationen oder Darstellungen relevant bleiben soll.</w:t>
      </w:r>
    </w:p>
    <w:p w14:paraId="50F11928" w14:textId="77777777" w:rsidR="00ED7BFD" w:rsidRPr="00ED7BFD" w:rsidRDefault="00ED7BFD" w:rsidP="00ED7BFD">
      <w:r w:rsidRPr="00ED7BFD">
        <w:t xml:space="preserve">Für die mathematische Beschreibung entstehen daraus mehrere Fragen. Zunächst muss geklärt werden, welche Bedeutung der Begriff Orientierung im jeweiligen Raum besitzt. Bei einem </w:t>
      </w:r>
      <w:proofErr w:type="gramStart"/>
      <w:r w:rsidRPr="00ED7BFD">
        <w:t>von null verschiedenen Vektor</w:t>
      </w:r>
      <w:proofErr w:type="gramEnd"/>
      <w:r w:rsidRPr="00ED7BFD">
        <w:t xml:space="preserve"> kann eine Richtung aus seinen Komponenten bestimmt werden. Beim gewöhnlichen Nullvektor ist dies gerade nicht möglich. Wenn das FRZK dennoch eine Orientierung im Nullzustand erhalten soll, muss diese Information als Bestandteil einer erweiterten Zustandsbeschreibung oder durch eine andere ausdrücklich definierte Konstruktion verfügbar bleiben. Die gewöhnlichen Koordinaten des Nullvektors reichen dafür nicht aus.</w:t>
      </w:r>
    </w:p>
    <w:p w14:paraId="4C5EF876" w14:textId="77777777" w:rsidR="00ED7BFD" w:rsidRPr="00ED7BFD" w:rsidRDefault="00ED7BFD" w:rsidP="00ED7BFD">
      <w:r w:rsidRPr="00ED7BFD">
        <w:t xml:space="preserve">Ebenso muss unterschieden werden, ob der ursprüngliche Vektor eine eindeutig bestimmte Orientierung besitzt. Ist bereits der Ausgangsvektor der gewöhnliche Nullvektor, lässt sich aus ihm allein keine Richtung gewinnen. Soll ein solcher Zustand im FRZK dennoch orientiert sein, muss die Orientierung aus einer zuvor festgelegten Ausgangsbedingung oder einer anderen zusätzlichen Information stammen. Der Orientierungserhalt kann deshalb nicht </w:t>
      </w:r>
      <w:r w:rsidRPr="00ED7BFD">
        <w:lastRenderedPageBreak/>
        <w:t>ohne weitere Voraussetzungen für beliebige Ausgangsvektoren als gewöhnliche Vektorraumoperation verstanden werden.</w:t>
      </w:r>
    </w:p>
    <w:p w14:paraId="726E940A" w14:textId="77777777" w:rsidR="00ED7BFD" w:rsidRPr="00ED7BFD" w:rsidRDefault="00ED7BFD" w:rsidP="00ED7BFD">
      <w:r w:rsidRPr="00ED7BFD">
        <w:t>Eine weitere Schwierigkeit ergibt sich aus der Frage, wie sich die Orientierung bei mehrfachen oder aufeinanderfolgenden Operationen verhält. Wenn ein Vektor durch Multiplikation mit null seinen Betrag verliert, seine Orientierung aber behält, muss anschließend feststehen, welche Bedeutung eine erneute Multiplikation, eine Addition oder eine andere Verknüpfung dieses Nullzustands besitzt. Auch ist zu bestimmen, ob zwei Nullzustände mit unterschiedlichen erhaltenen Orientierungen als verschieden gelten oder lediglich unterschiedliche Darstellungen desselben algebraischen Nullvektors sind. Davon hängt ab, welche algebraischen Gesetze innerhalb des erweiterten Systems gelten können.</w:t>
      </w:r>
    </w:p>
    <w:p w14:paraId="17324749" w14:textId="77777777" w:rsidR="00ED7BFD" w:rsidRPr="00ED7BFD" w:rsidRDefault="00ED7BFD" w:rsidP="00ED7BFD">
      <w:r w:rsidRPr="00ED7BFD">
        <w:t>Diese Fragen sind nicht allein terminologischer Natur. Würde ich den orientierungserhaltenden Nullzustand vollständig mit dem gewöhnlichen Nullvektor identifizieren und gleichzeitig unterschiedliche Orientierungen als unterscheidbare Eigenschaften desselben Ergebnisses behandeln, müsste ich erklären, auf welcher Ebene diese Unterscheidung mathematisch existiert. Andernfalls könnten unterschiedliche Ausgangsinformationen unbemerkt zu widersprüchlichen Aussagen über ein vermeintlich identisches Objekt führen. Für das FRZK ist deshalb eine eindeutige Trennung zwischen der gewöhnlichen Vektorkomponente und gegebenenfalls zusätzlich gespeicherten Zustandsinformationen erforderlich.</w:t>
      </w:r>
    </w:p>
    <w:p w14:paraId="7EE57489" w14:textId="77777777" w:rsidR="00ED7BFD" w:rsidRPr="00ED7BFD" w:rsidRDefault="00ED7BFD" w:rsidP="00ED7BFD">
      <w:r w:rsidRPr="00ED7BFD">
        <w:t>Auch der Zusammenhang zwischen dieser Orientierungserhaltung und den gerichteten Nullsymbolen +0 und −0 ist zu prüfen. Beide Festlegungen betreffen den Erhalt von Informationen an einem Nullzustand, sie sind jedoch nicht automatisch mathematisch identisch. Die gerichtete Annäherung einer skalaren Größe und die Orientierung eines Vektors in einem mehrdimensionalen Raum sind unterschiedliche Sachverhalte. Ob sich ihre Behandlung im FRZK durch eine gemeinsame Struktur beschreiben lässt, muss erst untersucht werden. Insbesondere folgt aus der Unterscheidung zwischen +0 und −0 nicht unmittelbar, wie beliebige räumliche Orientierungen im Nullzustand repräsentiert werden können.</w:t>
      </w:r>
    </w:p>
    <w:p w14:paraId="43B4B4BD" w14:textId="77777777" w:rsidR="00ED7BFD" w:rsidRPr="00ED7BFD" w:rsidRDefault="00ED7BFD" w:rsidP="00ED7BFD">
      <w:r w:rsidRPr="00ED7BFD">
        <w:t xml:space="preserve">Für meine weitere Entwicklung ist damit auch die orthogonale Ausgangsorientierung im Grenzzustand null von Bedeutung. Das FRZK fordert eine solche Ausgangsorientierung, schreibt den später konstruierten funktionalen Beziehungen jedoch keine bestimmte Geometrie vor. Ich muss deshalb die Ausgangsorientierung von den geometrischen Eigenschaften unterscheiden, die sich aus den konkret gewählten Funktionen und Beziehungen ergeben. Ebenso ist zu klären, welcher Grenzparameter verwendet wird, welche Richtungen als Ausgangsrichtungen gelten und worauf sich die </w:t>
      </w:r>
      <w:proofErr w:type="spellStart"/>
      <w:r w:rsidRPr="00ED7BFD">
        <w:t>Orthogonalitätsforderung</w:t>
      </w:r>
      <w:proofErr w:type="spellEnd"/>
      <w:r w:rsidRPr="00ED7BFD">
        <w:t xml:space="preserve"> mathematisch bezieht. Diese Fragen können durch die begriffliche Beschreibung in Kapitel 2 vorbereitet werden; ihre verbindliche formale Beantwortung gehört in Kapitel 3.</w:t>
      </w:r>
    </w:p>
    <w:p w14:paraId="06869200" w14:textId="77777777" w:rsidR="00ED7BFD" w:rsidRPr="00ED7BFD" w:rsidRDefault="00ED7BFD" w:rsidP="00ED7BFD">
      <w:r w:rsidRPr="00ED7BFD">
        <w:t xml:space="preserve">Damit zeigt sich ein Unterschied zwischen den beiden Ebenen meiner Untersuchung. Auf der einen Seite stehen die etablierten mathematischen Modellierungsverfahren, die Angaben, Annahmen und Beziehungen in eine nachvollziehbare Bearbeitungsstruktur überführen. Auf der anderen Seite stehen die spezifischen FRZK-Festlegungen zur symbolischen Arithmetik und zum Erhalt von Orientierungsinformationen. Beide Ebenen können innerhalb eines Darstellungsrahmens zusammenwirken, müssen wissenschaftlich jedoch getrennt beurteilt werden. Aus der Eignung eines Modellierungszyklus folgt keine algebraische Gültigkeit der </w:t>
      </w:r>
      <w:r w:rsidRPr="00ED7BFD">
        <w:lastRenderedPageBreak/>
        <w:t>FRZK-Operationen, und aus der möglichen Konsistenz eines erweiterten symbolischen Systems ergibt sich noch keine Verbesserung mathematischer Lernleistungen.</w:t>
      </w:r>
    </w:p>
    <w:p w14:paraId="739BCD95" w14:textId="77777777" w:rsidR="00ED7BFD" w:rsidRPr="00ED7BFD" w:rsidRDefault="00ED7BFD" w:rsidP="00ED7BFD">
      <w:r w:rsidRPr="00ED7BFD">
        <w:t>Für die weitere Bearbeitung bedeutet dies, dass ich mindestens drei Nachweisfragen auseinanderhalten muss. Zunächst ist zu prüfen, ob eine konkrete Aufgabe innerhalb des FRZK fachlich nachvollziehbar dargestellt werden kann. Anschließend muss ich untersuchen, ob die zusätzlich verwendeten symbolischen Operationen unter ihren jeweils festgelegten Voraussetzungen mathematisch konsistent sind. Erst danach lässt sich die davon unabhängige Frage stellen, ob diese Darstellung oder diese Operationen für Lernende einen erkennbaren didaktischen Vorteil besitzen. Ich kann diese Nachweise nicht gegenseitig ersetzen.</w:t>
      </w:r>
    </w:p>
    <w:p w14:paraId="3B2AC730" w14:textId="77777777" w:rsidR="00ED7BFD" w:rsidRPr="00ED7BFD" w:rsidRDefault="00ED7BFD" w:rsidP="00ED7BFD">
      <w:r w:rsidRPr="00ED7BFD">
        <w:t>Eine weitere Grenze betrifft die Rolle mathematischer Vereinfachungen. Wenn ein Modell eine Abhängigkeit innerhalb eines ausgewählten Wertebereichs beschreibt, darf ein Ergebnis außerhalb dieses Bereichs nicht ohne Begründung dieselbe Bedeutung erhalten. Bei einer Messaufgabe können etwa Gerätebereich, Messgenauigkeit oder die gewählten Randbedingungen eine sachliche Einschränkung begründen. Bei einer mathematischen Aufgabe können dagegen Definitionslücken, uneindeutige Zuordnungen oder nicht erfüllte Voraussetzungen die zulässigen Operationen begrenzen. Bei der FRZK-Symbolik kommt hinzu, dass die verwendeten Rechenregeln selbst eingeschränkte Geltungsbereiche besitzen können. Ich muss deshalb unterscheiden, ob eine Grenze aus der Mathematik, dem verwendeten Modell, dem konkreten Anwendungsfall oder der gewählten symbolischen Erweiterung folgt.</w:t>
      </w:r>
    </w:p>
    <w:p w14:paraId="7328523A" w14:textId="77777777" w:rsidR="00ED7BFD" w:rsidRPr="00ED7BFD" w:rsidRDefault="00ED7BFD" w:rsidP="00ED7BFD">
      <w:r w:rsidRPr="00ED7BFD">
        <w:t>Auch die geometrische Darstellung muss von der mathematischen Beziehung unterschieden werden. Dass eine Abhängigkeit beispielsweise in einem kartesischen Koordinatensystem gezeichnet werden kann, bedeutet nicht, dass die dargestellte Beziehung eine bestimmte räumliche Geometrie als allgemeine Eigenschaft besitzen muss. Bei anderen Aufgaben kann eine tabellarische Darstellung, ein gerichteter Abhängigkeitsgraph oder eine räumliche Visualisierung angemessener sein. Die Wahl einer Darstellungsform muss sich deshalb an den Eigenschaften des jeweiligen Gegenstands und an der Untersuchungsfrage orientieren. Der im FRZK vorgesehene Erhalt von Orientierungsinformationen legt nicht bereits die Geometrie aller späteren Funktionsbeziehungen fest.</w:t>
      </w:r>
    </w:p>
    <w:p w14:paraId="6CE77A72" w14:textId="77777777" w:rsidR="00ED7BFD" w:rsidRPr="00ED7BFD" w:rsidRDefault="00ED7BFD" w:rsidP="00ED7BFD">
      <w:r w:rsidRPr="00ED7BFD">
        <w:t>Die Trennung zwischen Modell, Darstellung und Wirklichkeit ist für das Verhältnis des FRZK zur Physik besonders bedeutsam. Ein mathematischer Zusammenhang kann formal widerspruchsfrei angegeben werden, ohne dass seine Parameter bereits physikalisch messbar wären oder die Beziehung als Naturgesetz bestätigt wäre. Auch eine anschauliche dreidimensionale Darstellung erzeugt keine neue räumliche Struktur des untersuchten Gegenstands. Ebenso wenig folgt aus der Einführung zusätzlicher Null- oder Unendlichkeitsausdrücke eine neue physikalische Eigenschaft von Raum und Zeit. Soweit das FRZK auf physikalische Beispiele angewandt wird, müssen die dort verwendeten Naturgesetze, Messannahmen und Geltungsbedingungen unabhängig von der gewählten Darstellung begründet werden.</w:t>
      </w:r>
    </w:p>
    <w:p w14:paraId="07515F87" w14:textId="77777777" w:rsidR="00ED7BFD" w:rsidRPr="00ED7BFD" w:rsidRDefault="00ED7BFD" w:rsidP="00ED7BFD">
      <w:r w:rsidRPr="00ED7BFD">
        <w:t xml:space="preserve">Mit der Einbeziehung der besonderen FRZK-Operationen kann ich den möglichen wissenschaftlichen Beitrag meines Ansatzes genauer eingrenzen. Die Tätigkeiten des Vereinfachens, Mathematisierens, Berechnens, Interpretierens und Validierens sind bereits Gegenstand der Modellierungsforschung. Ebenso existieren mathematische Verfahren zur Untersuchung gerichteter Grenzwerte und erweiterter Zahlenbereiche sowie numerische Systeme mit vorzeichenbehafteten Nullwerten. Auch die gewöhnlichen Eigenschaften von </w:t>
      </w:r>
      <w:r w:rsidRPr="00ED7BFD">
        <w:lastRenderedPageBreak/>
        <w:t>Vektorräumen sind umfassend formalisiert. Ich kann die Eigenständigkeit des FRZK deshalb nicht daraus ableiten, dass diese Gegenstände bislang unbekannt wären.</w:t>
      </w:r>
    </w:p>
    <w:p w14:paraId="57CA781C" w14:textId="77777777" w:rsidR="00ED7BFD" w:rsidRPr="00ED7BFD" w:rsidRDefault="00ED7BFD" w:rsidP="00ED7BFD">
      <w:r w:rsidRPr="00ED7BFD">
        <w:t xml:space="preserve">Der </w:t>
      </w:r>
      <w:proofErr w:type="gramStart"/>
      <w:r w:rsidRPr="00ED7BFD">
        <w:t>zu prüfende Unterschied</w:t>
      </w:r>
      <w:proofErr w:type="gramEnd"/>
      <w:r w:rsidRPr="00ED7BFD">
        <w:t xml:space="preserve"> liegt vielmehr in der konkreten Ausgestaltung des FRZK. Es soll die systematische Ordnung von Größen, Annahmen, funktionalen Abhängigkeiten und Geltungsbereichen mit ausdrücklich definierten symbolischen Rechenmöglichkeiten verbinden. Dabei sollen insbesondere gerichtete Nullzustände, positive und negative Unendlichkeit sowie im Nullzustand erhaltene Orientierungsinformationen innerhalb der jeweiligen Geltungsgrenzen bearbeitbar bleiben. Ob sich diese Elemente zu einer mathematisch widerspruchsfreien gemeinsamen Struktur verbinden lassen und inwieweit sie gegenüber bereits bekannten Darstellungs- und Rechenverfahren einen nachvollziehbaren Zusatznutzen besitzen, muss gesondert untersucht werden.</w:t>
      </w:r>
    </w:p>
    <w:p w14:paraId="0D6EC19C" w14:textId="77777777" w:rsidR="00ED7BFD" w:rsidRPr="00ED7BFD" w:rsidRDefault="00ED7BFD" w:rsidP="00ED7BFD">
      <w:r w:rsidRPr="00ED7BFD">
        <w:t>Dabei bleibt ausdrücklich offen, ob dieser Nutzen den zusätzlichen Aufwand rechtfertigt. Eine ausführliche Darstellung kann Lernenden helfen, einen komplizierten Sachverhalt zu überblicken. Bei einfachen oder bereits sicher beherrschten Aufgaben kann sie jedoch unnötige Arbeit verursachen. Ebenso können zusätzliche symbolische Regeln eine Grenzbetrachtung vereinfachen oder neue Fehlermöglichkeiten eröffnen. Die Beibehaltung einer Vektororientierung im Nullzustand kann für bestimmte Darstellungen hilfreich sein, während sie für Aufgaben, in denen ausschließlich gewöhnliche Vektorraumoperationen benötigt werden, möglicherweise keinen Mehrwert besitzt. Diese gegensätzlichen Möglichkeiten dürfen nicht durch die bloße Konstruktion des Systems vorentschieden werden.</w:t>
      </w:r>
    </w:p>
    <w:p w14:paraId="6D0645AD" w14:textId="77777777" w:rsidR="00ED7BFD" w:rsidRPr="00ED7BFD" w:rsidRDefault="00ED7BFD" w:rsidP="00ED7BFD">
      <w:r w:rsidRPr="00ED7BFD">
        <w:t>Für die spätere Untersuchung leite ich deshalb zunächst Anforderungen ab, ohne die betreffenden Operationen an dieser Stelle bereits vollständig zu formalisieren. Ein funktionaler Darstellungsrahmen muss die beteiligten Größen eindeutig kennzeichnen, Annahmen von gegebenen Informationen unterscheiden, Beziehungen und Geltungsbereiche offenlegen sowie fachliche Ableitungen nachvollziehbar machen. Für die FRZK-spezifischen Operationen kommt hinzu, dass die zugelassenen Symbolwerte, ihre Verknüpfungen, die Bedingungen ihrer Anwendung und die Behandlung nicht eindeutig bestimmbarer Ausdrücke ausdrücklich festgelegt werden müssen. Bei der Orientierungserhaltung ist zusätzlich zu klären, welche Informationen Bestandteil des mathematischen Zustands sind und welche algebraischen Eigenschaften nach der Erweiterung erhalten bleiben.</w:t>
      </w:r>
    </w:p>
    <w:p w14:paraId="24ABED0B" w14:textId="77777777" w:rsidR="00ED7BFD" w:rsidRPr="00ED7BFD" w:rsidRDefault="00ED7BFD" w:rsidP="00ED7BFD">
      <w:r w:rsidRPr="00ED7BFD">
        <w:t>Damit ergibt sich eine doppelte Zielrichtung für die folgende mathematische Grundlegung. Einerseits soll das FRZK als methodisch-didaktischer Rahmen nachvollziehbar machen, wie funktionale Zusammenhänge dargestellt und bearbeitet werden. Andererseits müssen seine besonderen symbolischen und geometrischen Festlegungen so bestimmt werden, dass ihre Anwendung überprüfbar ist und keine unbemerkte Gleichsetzung mit gewöhnlichen mathematischen Operationen erfolgt. Beide Anforderungen gehören zum wissenschaftlichen Aufbau des FRZK, besitzen jedoch unterschiedliche Beweis- und Bewertungskriterien.</w:t>
      </w:r>
    </w:p>
    <w:p w14:paraId="72B187C0" w14:textId="77777777" w:rsidR="00ED7BFD" w:rsidRPr="00ED7BFD" w:rsidRDefault="00ED7BFD" w:rsidP="00ED7BFD">
      <w:r w:rsidRPr="00ED7BFD">
        <w:t xml:space="preserve">Für die Fortsetzung von Kapitel 2 stellt sich nun die Frage, in welcher Form solche Beziehungen und zusätzlichen Zustandsinformationen dargestellt und von Lernenden verstanden werden können. Eine funktionale Beziehung kann sprachlich beschrieben, durch Symbole festgehalten, tabellarisch untersucht oder grafisch sichtbar gemacht werden. Die FRZK-spezifische Unterscheidung gerichteter Nullzustände und die Erhaltung einer Vektororientierung vergrößern dabei die Anforderungen an die Eindeutigkeit einer Darstellung. Es muss nicht nur erkennbar bleiben, welcher Wert vorliegt, sondern </w:t>
      </w:r>
      <w:r w:rsidRPr="00ED7BFD">
        <w:lastRenderedPageBreak/>
        <w:t>gegebenenfalls auch, welche Richtungs- oder Orientierungsinformation zu ihm gehört und aus welcher Modellannahme sie hervorgegangen ist.</w:t>
      </w:r>
    </w:p>
    <w:p w14:paraId="1FB1B8E7" w14:textId="77777777" w:rsidR="00ED7BFD" w:rsidRPr="00ED7BFD" w:rsidRDefault="00ED7BFD" w:rsidP="00ED7BFD">
      <w:r w:rsidRPr="00ED7BFD">
        <w:t>Diese Darstellungen sind jedoch nicht beliebig austauschbar, und ihre Verwendung kann jeweils unterschiedliche Anforderungen an die Lernenden stellen. Deshalb untersuche ich im folgenden Abschnitt die Forschung zu mathematischen Repräsentationen, Visualisierung und Concept-Maps. Erst ihre kritische Gegenüberstellung mit den Modellierungsansätzen und den besonderen symbolischen Anforderungen des FRZK ermöglicht eine angemessene Beurteilung seines Darstellungsanspruchs.</w:t>
      </w:r>
    </w:p>
    <w:bookmarkEnd w:id="0"/>
    <w:p w14:paraId="3630DDD6" w14:textId="77777777" w:rsidR="00106528" w:rsidRPr="00ED7BFD" w:rsidRDefault="00106528" w:rsidP="00082214">
      <w:pPr>
        <w:rPr>
          <w:rStyle w:val="IntensiveHervorhebung"/>
          <w:i w:val="0"/>
          <w:iCs w:val="0"/>
          <w:color w:val="auto"/>
        </w:rPr>
      </w:pPr>
    </w:p>
    <w:sectPr w:rsidR="00106528" w:rsidRPr="00ED7BFD">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6725899">
    <w:abstractNumId w:val="0"/>
  </w:num>
  <w:num w:numId="2" w16cid:durableId="1331367531">
    <w:abstractNumId w:val="1"/>
  </w:num>
  <w:num w:numId="3" w16cid:durableId="124625923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C6"/>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94349"/>
    <w:rsid w:val="00AA4222"/>
    <w:rsid w:val="00AF6392"/>
    <w:rsid w:val="00B04313"/>
    <w:rsid w:val="00B53EE0"/>
    <w:rsid w:val="00B873C2"/>
    <w:rsid w:val="00BA664A"/>
    <w:rsid w:val="00C2343F"/>
    <w:rsid w:val="00CD2089"/>
    <w:rsid w:val="00D33BDA"/>
    <w:rsid w:val="00D44FE7"/>
    <w:rsid w:val="00D542C6"/>
    <w:rsid w:val="00D67542"/>
    <w:rsid w:val="00D80CC8"/>
    <w:rsid w:val="00DA19C6"/>
    <w:rsid w:val="00E6450A"/>
    <w:rsid w:val="00EA1CC2"/>
    <w:rsid w:val="00EC35D8"/>
    <w:rsid w:val="00ED7BFD"/>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FD46"/>
  <w15:chartTrackingRefBased/>
  <w15:docId w15:val="{40C63D14-EFE6-4FFB-B001-318CD585D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78472897">
      <w:bodyDiv w:val="1"/>
      <w:marLeft w:val="0"/>
      <w:marRight w:val="0"/>
      <w:marTop w:val="0"/>
      <w:marBottom w:val="0"/>
      <w:divBdr>
        <w:top w:val="none" w:sz="0" w:space="0" w:color="auto"/>
        <w:left w:val="none" w:sz="0" w:space="0" w:color="auto"/>
        <w:bottom w:val="none" w:sz="0" w:space="0" w:color="auto"/>
        <w:right w:val="none" w:sz="0" w:space="0" w:color="auto"/>
      </w:divBdr>
    </w:div>
    <w:div w:id="184946120">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4534518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6201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Pages>
  <Words>5218</Words>
  <Characters>32875</Characters>
  <Application>Microsoft Office Word</Application>
  <DocSecurity>0</DocSecurity>
  <Lines>273</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2026-10-19T06:59:00Z</dcterms:created>
  <dcterms:modified xsi:type="dcterms:W3CDTF">2026-10-19T11:38:00Z</dcterms:modified>
</cp:coreProperties>
</file>