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Kapitel 2 – Forschungsstand und theoretische Einordnung des Funktionalen Raum-Zeit-Kohärenzsystems</w:t>
      </w:r>
    </w:p>
    <w:p>
      <w:pPr>
        <w:pStyle w:val="EditorNote"/>
      </w:pPr>
      <w:r>
        <w:rPr>
          <w:i/>
        </w:rPr>
        <w:t>Arbeitsfassung · 19. Oktober 2026</w:t>
      </w:r>
    </w:p>
    <w:p>
      <w:pPr>
        <w:pStyle w:val="EditorNote"/>
      </w:pPr>
      <w:r>
        <w:t>Bearbeitungsstand: Abschnitt 2.0 vollständig als Entwurf; Abschnitte 2.1–2.10 fachlich gegliedert, aber noch nicht ausgearbeitet. Die wissenschaftliche Freigabe steht aus.</w:t>
      </w:r>
    </w:p>
    <w:p>
      <w:pPr>
        <w:pStyle w:val="Heading2"/>
      </w:pPr>
      <w:r>
        <w:t>Kapitelgliederung (Planstand)</w:t>
      </w:r>
    </w:p>
    <w:tbl>
      <w:tblPr>
        <w:tblW w:type="auto" w:w="0"/>
        <w:jc w:val="center"/>
        <w:tblLayout w:type="fixed"/>
        <w:tblLook w:firstColumn="1" w:firstRow="1" w:lastColumn="0" w:lastRow="0" w:noHBand="0" w:noVBand="1" w:val="04A0"/>
      </w:tblPr>
      <w:tblGrid>
        <w:gridCol w:w="907"/>
        <w:gridCol w:w="8050"/>
      </w:tblGrid>
      <w:tr>
        <w:tc>
          <w:tcPr>
            <w:tcW w:type="dxa" w:w="907"/>
            <w:vAlign w:val="center"/>
            <w:shd w:fill="EAF0F5"/>
            <w:tcMar>
              <w:top w:w="60" w:type="dxa"/>
              <w:bottom w:w="60" w:type="dxa"/>
              <w:left w:w="65" w:type="dxa"/>
              <w:right w:w="65" w:type="dxa"/>
            </w:tcMar>
          </w:tcPr>
          <w:p>
            <w:pPr>
              <w:pStyle w:val="EditorNote"/>
              <w:spacing w:after="20"/>
            </w:pPr>
            <w:r>
              <w:rPr>
                <w:b/>
                <w:sz w:val="20"/>
              </w:rPr>
              <w:t>2.0</w:t>
            </w:r>
          </w:p>
        </w:tc>
        <w:tc>
          <w:tcPr>
            <w:tcW w:type="dxa" w:w="8050"/>
            <w:vAlign w:val="center"/>
            <w:shd w:fill="EAF0F5"/>
            <w:tcMar>
              <w:top w:w="60" w:type="dxa"/>
              <w:bottom w:w="60" w:type="dxa"/>
              <w:left w:w="65" w:type="dxa"/>
              <w:right w:w="65" w:type="dxa"/>
            </w:tcMar>
          </w:tcPr>
          <w:p>
            <w:pPr>
              <w:pStyle w:val="EditorNote"/>
              <w:spacing w:after="20"/>
            </w:pPr>
            <w:r>
              <w:rPr>
                <w:sz w:val="20"/>
              </w:rPr>
              <w:t>Gegenstand, Methode und Abgrenzung der Literaturuntersuchung</w:t>
            </w:r>
          </w:p>
        </w:tc>
      </w:tr>
      <w:tr>
        <w:tc>
          <w:tcPr>
            <w:tcW w:type="dxa" w:w="907"/>
            <w:vAlign w:val="center"/>
            <w:tcMar>
              <w:top w:w="60" w:type="dxa"/>
              <w:bottom w:w="60" w:type="dxa"/>
              <w:left w:w="65" w:type="dxa"/>
              <w:right w:w="65" w:type="dxa"/>
            </w:tcMar>
          </w:tcPr>
          <w:p>
            <w:pPr>
              <w:pStyle w:val="EditorNote"/>
              <w:spacing w:after="20"/>
            </w:pPr>
            <w:r>
              <w:rPr>
                <w:b/>
                <w:sz w:val="20"/>
              </w:rPr>
              <w:t>2.1</w:t>
            </w:r>
          </w:p>
        </w:tc>
        <w:tc>
          <w:tcPr>
            <w:tcW w:type="dxa" w:w="8050"/>
            <w:vAlign w:val="center"/>
            <w:tcMar>
              <w:top w:w="60" w:type="dxa"/>
              <w:bottom w:w="60" w:type="dxa"/>
              <w:left w:w="65" w:type="dxa"/>
              <w:right w:w="65" w:type="dxa"/>
            </w:tcMar>
          </w:tcPr>
          <w:p>
            <w:pPr>
              <w:pStyle w:val="EditorNote"/>
              <w:spacing w:after="20"/>
            </w:pPr>
            <w:r>
              <w:rPr>
                <w:sz w:val="20"/>
              </w:rPr>
              <w:t>Funktionale Zusammenhänge und mathematische Modellierung</w:t>
            </w:r>
          </w:p>
        </w:tc>
      </w:tr>
      <w:tr>
        <w:tc>
          <w:tcPr>
            <w:tcW w:type="dxa" w:w="907"/>
            <w:vAlign w:val="center"/>
            <w:tcMar>
              <w:top w:w="60" w:type="dxa"/>
              <w:bottom w:w="60" w:type="dxa"/>
              <w:left w:w="65" w:type="dxa"/>
              <w:right w:w="65" w:type="dxa"/>
            </w:tcMar>
          </w:tcPr>
          <w:p>
            <w:pPr>
              <w:pStyle w:val="EditorNote"/>
              <w:spacing w:after="20"/>
            </w:pPr>
            <w:r>
              <w:rPr>
                <w:b/>
                <w:sz w:val="20"/>
              </w:rPr>
              <w:t>2.2</w:t>
            </w:r>
          </w:p>
        </w:tc>
        <w:tc>
          <w:tcPr>
            <w:tcW w:type="dxa" w:w="8050"/>
            <w:vAlign w:val="center"/>
            <w:tcMar>
              <w:top w:w="60" w:type="dxa"/>
              <w:bottom w:w="60" w:type="dxa"/>
              <w:left w:w="65" w:type="dxa"/>
              <w:right w:w="65" w:type="dxa"/>
            </w:tcMar>
          </w:tcPr>
          <w:p>
            <w:pPr>
              <w:pStyle w:val="EditorNote"/>
              <w:spacing w:after="20"/>
            </w:pPr>
            <w:r>
              <w:rPr>
                <w:sz w:val="20"/>
              </w:rPr>
              <w:t>Mathematische Repräsentationen, Visualisierung und Concept-Maps</w:t>
            </w:r>
          </w:p>
        </w:tc>
      </w:tr>
      <w:tr>
        <w:tc>
          <w:tcPr>
            <w:tcW w:type="dxa" w:w="907"/>
            <w:vAlign w:val="center"/>
            <w:tcMar>
              <w:top w:w="60" w:type="dxa"/>
              <w:bottom w:w="60" w:type="dxa"/>
              <w:left w:w="65" w:type="dxa"/>
              <w:right w:w="65" w:type="dxa"/>
            </w:tcMar>
          </w:tcPr>
          <w:p>
            <w:pPr>
              <w:pStyle w:val="EditorNote"/>
              <w:spacing w:after="20"/>
            </w:pPr>
            <w:r>
              <w:rPr>
                <w:b/>
                <w:sz w:val="20"/>
              </w:rPr>
              <w:t>2.3</w:t>
            </w:r>
          </w:p>
        </w:tc>
        <w:tc>
          <w:tcPr>
            <w:tcW w:type="dxa" w:w="8050"/>
            <w:vAlign w:val="center"/>
            <w:tcMar>
              <w:top w:w="60" w:type="dxa"/>
              <w:bottom w:w="60" w:type="dxa"/>
              <w:left w:w="65" w:type="dxa"/>
              <w:right w:w="65" w:type="dxa"/>
            </w:tcMar>
          </w:tcPr>
          <w:p>
            <w:pPr>
              <w:pStyle w:val="EditorNote"/>
              <w:spacing w:after="20"/>
            </w:pPr>
            <w:r>
              <w:rPr>
                <w:sz w:val="20"/>
              </w:rPr>
              <w:t>Aufgabenverständnis, mathematisches Problemlösen und Transfer</w:t>
            </w:r>
          </w:p>
        </w:tc>
      </w:tr>
      <w:tr>
        <w:tc>
          <w:tcPr>
            <w:tcW w:type="dxa" w:w="907"/>
            <w:vAlign w:val="center"/>
            <w:tcMar>
              <w:top w:w="60" w:type="dxa"/>
              <w:bottom w:w="60" w:type="dxa"/>
              <w:left w:w="65" w:type="dxa"/>
              <w:right w:w="65" w:type="dxa"/>
            </w:tcMar>
          </w:tcPr>
          <w:p>
            <w:pPr>
              <w:pStyle w:val="EditorNote"/>
              <w:spacing w:after="20"/>
            </w:pPr>
            <w:r>
              <w:rPr>
                <w:b/>
                <w:sz w:val="20"/>
              </w:rPr>
              <w:t>2.4</w:t>
            </w:r>
          </w:p>
        </w:tc>
        <w:tc>
          <w:tcPr>
            <w:tcW w:type="dxa" w:w="8050"/>
            <w:vAlign w:val="center"/>
            <w:tcMar>
              <w:top w:w="60" w:type="dxa"/>
              <w:bottom w:w="60" w:type="dxa"/>
              <w:left w:w="65" w:type="dxa"/>
              <w:right w:w="65" w:type="dxa"/>
            </w:tcMar>
          </w:tcPr>
          <w:p>
            <w:pPr>
              <w:pStyle w:val="EditorNote"/>
              <w:spacing w:after="20"/>
            </w:pPr>
            <w:r>
              <w:rPr>
                <w:sz w:val="20"/>
              </w:rPr>
              <w:t>Vorwissen, Begriffsbildung und mathematische Kommunikation</w:t>
            </w:r>
          </w:p>
        </w:tc>
      </w:tr>
      <w:tr>
        <w:tc>
          <w:tcPr>
            <w:tcW w:type="dxa" w:w="907"/>
            <w:vAlign w:val="center"/>
            <w:tcMar>
              <w:top w:w="60" w:type="dxa"/>
              <w:bottom w:w="60" w:type="dxa"/>
              <w:left w:w="65" w:type="dxa"/>
              <w:right w:w="65" w:type="dxa"/>
            </w:tcMar>
          </w:tcPr>
          <w:p>
            <w:pPr>
              <w:pStyle w:val="EditorNote"/>
              <w:spacing w:after="20"/>
            </w:pPr>
            <w:r>
              <w:rPr>
                <w:b/>
                <w:sz w:val="20"/>
              </w:rPr>
              <w:t>2.5</w:t>
            </w:r>
          </w:p>
        </w:tc>
        <w:tc>
          <w:tcPr>
            <w:tcW w:type="dxa" w:w="8050"/>
            <w:vAlign w:val="center"/>
            <w:tcMar>
              <w:top w:w="60" w:type="dxa"/>
              <w:bottom w:w="60" w:type="dxa"/>
              <w:left w:w="65" w:type="dxa"/>
              <w:right w:w="65" w:type="dxa"/>
            </w:tcMar>
          </w:tcPr>
          <w:p>
            <w:pPr>
              <w:pStyle w:val="EditorNote"/>
              <w:spacing w:after="20"/>
            </w:pPr>
            <w:r>
              <w:rPr>
                <w:sz w:val="20"/>
              </w:rPr>
              <w:t>Individuelle Lernförderung, Scaffolding und Feedback</w:t>
            </w:r>
          </w:p>
        </w:tc>
      </w:tr>
      <w:tr>
        <w:tc>
          <w:tcPr>
            <w:tcW w:type="dxa" w:w="907"/>
            <w:vAlign w:val="center"/>
            <w:tcMar>
              <w:top w:w="60" w:type="dxa"/>
              <w:bottom w:w="60" w:type="dxa"/>
              <w:left w:w="65" w:type="dxa"/>
              <w:right w:w="65" w:type="dxa"/>
            </w:tcMar>
          </w:tcPr>
          <w:p>
            <w:pPr>
              <w:pStyle w:val="EditorNote"/>
              <w:spacing w:after="20"/>
            </w:pPr>
            <w:r>
              <w:rPr>
                <w:b/>
                <w:sz w:val="20"/>
              </w:rPr>
              <w:t>2.6</w:t>
            </w:r>
          </w:p>
        </w:tc>
        <w:tc>
          <w:tcPr>
            <w:tcW w:type="dxa" w:w="8050"/>
            <w:vAlign w:val="center"/>
            <w:tcMar>
              <w:top w:w="60" w:type="dxa"/>
              <w:bottom w:w="60" w:type="dxa"/>
              <w:left w:w="65" w:type="dxa"/>
              <w:right w:w="65" w:type="dxa"/>
            </w:tcMar>
          </w:tcPr>
          <w:p>
            <w:pPr>
              <w:pStyle w:val="EditorNote"/>
              <w:spacing w:after="20"/>
            </w:pPr>
            <w:r>
              <w:rPr>
                <w:sz w:val="20"/>
              </w:rPr>
              <w:t>Didaktische Entwicklungsforschung und empirische Evaluation</w:t>
            </w:r>
          </w:p>
        </w:tc>
      </w:tr>
      <w:tr>
        <w:tc>
          <w:tcPr>
            <w:tcW w:type="dxa" w:w="907"/>
            <w:vAlign w:val="center"/>
            <w:tcMar>
              <w:top w:w="60" w:type="dxa"/>
              <w:bottom w:w="60" w:type="dxa"/>
              <w:left w:w="65" w:type="dxa"/>
              <w:right w:w="65" w:type="dxa"/>
            </w:tcMar>
          </w:tcPr>
          <w:p>
            <w:pPr>
              <w:pStyle w:val="EditorNote"/>
              <w:spacing w:after="20"/>
            </w:pPr>
            <w:r>
              <w:rPr>
                <w:b/>
                <w:sz w:val="20"/>
              </w:rPr>
              <w:t>2.7</w:t>
            </w:r>
          </w:p>
        </w:tc>
        <w:tc>
          <w:tcPr>
            <w:tcW w:type="dxa" w:w="8050"/>
            <w:vAlign w:val="center"/>
            <w:tcMar>
              <w:top w:w="60" w:type="dxa"/>
              <w:bottom w:w="60" w:type="dxa"/>
              <w:left w:w="65" w:type="dxa"/>
              <w:right w:w="65" w:type="dxa"/>
            </w:tcMar>
          </w:tcPr>
          <w:p>
            <w:pPr>
              <w:pStyle w:val="EditorNote"/>
              <w:spacing w:after="20"/>
            </w:pPr>
            <w:r>
              <w:rPr>
                <w:sz w:val="20"/>
              </w:rPr>
              <w:t>Systemtheoretische, kybernetische und erkenntnistheoretische Bezüge</w:t>
            </w:r>
          </w:p>
        </w:tc>
      </w:tr>
      <w:tr>
        <w:tc>
          <w:tcPr>
            <w:tcW w:type="dxa" w:w="907"/>
            <w:vAlign w:val="center"/>
            <w:tcMar>
              <w:top w:w="60" w:type="dxa"/>
              <w:bottom w:w="60" w:type="dxa"/>
              <w:left w:w="65" w:type="dxa"/>
              <w:right w:w="65" w:type="dxa"/>
            </w:tcMar>
          </w:tcPr>
          <w:p>
            <w:pPr>
              <w:pStyle w:val="EditorNote"/>
              <w:spacing w:after="20"/>
            </w:pPr>
            <w:r>
              <w:rPr>
                <w:b/>
                <w:sz w:val="20"/>
              </w:rPr>
              <w:t>2.8</w:t>
            </w:r>
          </w:p>
        </w:tc>
        <w:tc>
          <w:tcPr>
            <w:tcW w:type="dxa" w:w="8050"/>
            <w:vAlign w:val="center"/>
            <w:tcMar>
              <w:top w:w="60" w:type="dxa"/>
              <w:bottom w:w="60" w:type="dxa"/>
              <w:left w:w="65" w:type="dxa"/>
              <w:right w:w="65" w:type="dxa"/>
            </w:tcMar>
          </w:tcPr>
          <w:p>
            <w:pPr>
              <w:pStyle w:val="EditorNote"/>
              <w:spacing w:after="20"/>
            </w:pPr>
            <w:r>
              <w:rPr>
                <w:sz w:val="20"/>
              </w:rPr>
              <w:t>Raum, Zeit und Beobachtung im Kontext physikalischer Modellbildung</w:t>
            </w:r>
          </w:p>
        </w:tc>
      </w:tr>
      <w:tr>
        <w:tc>
          <w:tcPr>
            <w:tcW w:type="dxa" w:w="907"/>
            <w:vAlign w:val="center"/>
            <w:tcMar>
              <w:top w:w="60" w:type="dxa"/>
              <w:bottom w:w="60" w:type="dxa"/>
              <w:left w:w="65" w:type="dxa"/>
              <w:right w:w="65" w:type="dxa"/>
            </w:tcMar>
          </w:tcPr>
          <w:p>
            <w:pPr>
              <w:pStyle w:val="EditorNote"/>
              <w:spacing w:after="20"/>
            </w:pPr>
            <w:r>
              <w:rPr>
                <w:b/>
                <w:sz w:val="20"/>
              </w:rPr>
              <w:t>2.9</w:t>
            </w:r>
          </w:p>
        </w:tc>
        <w:tc>
          <w:tcPr>
            <w:tcW w:type="dxa" w:w="8050"/>
            <w:vAlign w:val="center"/>
            <w:tcMar>
              <w:top w:w="60" w:type="dxa"/>
              <w:bottom w:w="60" w:type="dxa"/>
              <w:left w:w="65" w:type="dxa"/>
              <w:right w:w="65" w:type="dxa"/>
            </w:tcMar>
          </w:tcPr>
          <w:p>
            <w:pPr>
              <w:pStyle w:val="EditorNote"/>
              <w:spacing w:after="20"/>
            </w:pPr>
            <w:r>
              <w:rPr>
                <w:sz w:val="20"/>
              </w:rPr>
              <w:t>Kritische Gegenüberstellung des Forschungsstands und des FRZK-Anspruchs</w:t>
            </w:r>
          </w:p>
        </w:tc>
      </w:tr>
      <w:tr>
        <w:tc>
          <w:tcPr>
            <w:tcW w:type="dxa" w:w="907"/>
            <w:vAlign w:val="center"/>
            <w:tcMar>
              <w:top w:w="60" w:type="dxa"/>
              <w:bottom w:w="60" w:type="dxa"/>
              <w:left w:w="65" w:type="dxa"/>
              <w:right w:w="65" w:type="dxa"/>
            </w:tcMar>
          </w:tcPr>
          <w:p>
            <w:pPr>
              <w:pStyle w:val="EditorNote"/>
              <w:spacing w:after="20"/>
            </w:pPr>
            <w:r>
              <w:rPr>
                <w:b/>
                <w:sz w:val="20"/>
              </w:rPr>
              <w:t>2.10</w:t>
            </w:r>
          </w:p>
        </w:tc>
        <w:tc>
          <w:tcPr>
            <w:tcW w:type="dxa" w:w="8050"/>
            <w:vAlign w:val="center"/>
            <w:tcMar>
              <w:top w:w="60" w:type="dxa"/>
              <w:bottom w:w="60" w:type="dxa"/>
              <w:left w:w="65" w:type="dxa"/>
              <w:right w:w="65" w:type="dxa"/>
            </w:tcMar>
          </w:tcPr>
          <w:p>
            <w:pPr>
              <w:pStyle w:val="EditorNote"/>
              <w:spacing w:after="20"/>
            </w:pPr>
            <w:r>
              <w:rPr>
                <w:sz w:val="20"/>
              </w:rPr>
              <w:t>Forschungslücke und Anforderungen an die mathematische Grundlegung</w:t>
            </w:r>
          </w:p>
        </w:tc>
      </w:tr>
    </w:tbl>
    <w:p>
      <w:r>
        <w:br w:type="page"/>
      </w:r>
    </w:p>
    <w:p>
      <w:pPr>
        <w:pStyle w:val="Heading1"/>
      </w:pPr>
      <w:r>
        <w:t>2.0 Gegenstand, Methode und Abgrenzung der Literaturuntersuchung</w:t>
      </w:r>
    </w:p>
    <w:p>
      <w:pPr/>
      <w:r>
        <w:t>Mit der Entwicklung des Funktionalen Raum-Zeit-Kohärenzsystems (FRZK) verfolge ich das Ziel, mathematische und weitere funktionale Zusammenhänge so darzustellen, dass die beteiligten Größen, ihre Beziehungen, die zugrunde liegenden Annahmen und die möglichen Lösungswege nachvollziehbar werden. In der Einleitung habe ich beschrieben, wie sich diese Fragestellung aus meinen Erfahrungen mit der Bearbeitung mathematischer Aufgaben und aus der technischen Modellierung entwickelt hat. Damit ist jedoch zunächst nur der Ausgangspunkt meiner Untersuchung bestimmt. Ob das FRZK eine eigenständige methodische Leistung erbringen kann und ob sich daraus ein didaktischer Nutzen ergibt, lässt sich aus seiner Entstehung nicht ableiten.</w:t>
      </w:r>
    </w:p>
    <w:p>
      <w:pPr/>
      <w:r>
        <w:t>Bevor ich den Darstellungsrahmen mathematisch präzisiere, muss ich deshalb untersuchen, welche wissenschaftlichen Erkenntnisse für seine Entwicklung und Bewertung bereits vorliegen. Dabei stellt sich für mich eine grundsätzliche Schwierigkeit. Die Beschreibung funktionaler Beziehungen ist kein ausschließlich mathematisches oder didaktisches Problem. Sie berührt unter anderem die mathematische Modellierung, die Gestaltung und Interpretation von Repräsentationen, den Aufbau mathematischer Begriffe, die Bearbeitung komplexer Aufgaben und die Frage, wie sich ein möglicher Lernerfolg überhaupt nachweisen lässt. Diese Forschungsbereiche verfolgen unterschiedliche Ziele und verwenden teilweise ähnliche Begriffe, ohne damit notwendigerweise dieselben Gegenstände zu bezeichnen.</w:t>
      </w:r>
    </w:p>
    <w:p>
      <w:pPr/>
      <w:r>
        <w:t>Ich kann sie deshalb nicht einfach zu einer einheitlichen Theorie zusammenfassen. Zunächst muss ich feststellen, welchen Beitrag die einzelnen Ansätze tatsächlich leisten, unter welchen Voraussetzungen ihre Ergebnisse gelten und wo ihre Aussagekraft für meine Fragestellung endet. Erst danach kann ich begründet entscheiden, welche Erkenntnisse für die weitere Entwicklung des FRZK benötigt werden.</w:t>
      </w:r>
    </w:p>
    <w:p>
      <w:pPr/>
      <w:r>
        <w:t>Für die wissenschaftliche Einordnung wähle ich eine kritisch-integrative Literaturuntersuchung mit dokumentierter, thematisch strukturierter Recherche. Diese Entscheidung ergibt sich aus dem Untersuchungsgegenstand selbst. Ich möchte nicht ausschließlich die Wirksamkeit einer bestimmten Unterrichtsintervention aus einer homogenen Gruppe empirischer Studien zusammenfassen. Vielmehr muss ich mathematische Begriffe, theoretische Modelle, didaktische Verfahren und empirische Ergebnisse miteinander vergleichen, ohne ihre unterschiedlichen wissenschaftlichen Geltungsansprüche aufzugeben.</w:t>
      </w:r>
    </w:p>
    <w:p>
      <w:pPr/>
      <w:r>
        <w:t>Grant und Booth untersuchten verschiedene Formen wissenschaftlicher Literaturübersichten und ordneten vierzehn Reviewtypen nach ihren Vorgehensweisen bei Literaturrecherche, Bewertung, Synthese und Analyse. Dabei zeigten sie, dass die Bezeichnungen unterschiedlicher Reviewverfahren nicht immer einheitlich verwendet werden und dass insbesondere die Unterscheidung ihrer tatsächlichen methodischen Arbeitsschritte wesentlich ist. Ihr Vergleich bietet mir eine Grundlage, um die Art meiner Literaturuntersuchung ausdrücklich zu bestimmen, anstatt den Begriff einer systematischen Literaturrecherche lediglich als allgemeines Qualitätsmerkmal zu verwenden. {[Grant, Maria J.; Booth, Andrew (2009). A typology of reviews: an analysis of 14 review types and associated methodologies. Health Information &amp; Libraries Journal, 26(2), S. 91–108. DOI: 10.1111/j.1471-1842.2009.00848.x.]}[[15]]</w:t>
      </w:r>
    </w:p>
    <w:p>
      <w:pPr/>
      <w:r>
        <w:t>Die von Grant und Booth herausgearbeiteten Unterschiede sind für meine Arbeit besonders relevant, weil ich nicht nur einzelne Forschungsergebnisse zusammenstellen möchte. Ich muss auch prüfen, ob die untersuchten Ansätze miteinander vereinbar sind, welche Probleme sie unterschiedlich behandeln und welche Voraussetzungen erforderlich wären, um ihre Erkenntnisse für eine gemeinsame methodische Fragestellung nutzbar zu machen. Eine solche Auseinandersetzung geht über die chronologische Darstellung vorhandener Veröffentlichungen hinaus.</w:t>
      </w:r>
    </w:p>
    <w:p>
      <w:pPr/>
      <w:r>
        <w:t>Snyder unterscheidet zwischen systematischen, semisystematischen und integrativen Formen der Literaturauswertung. Sie macht deutlich, dass die Wahl des Vorgehens vom jeweiligen Erkenntnisziel abhängen muss und dass eine integrative Auswertung insbesondere der kritischen Verbindung verschiedener Forschungsrichtungen und der Entwicklung begründeter theoretischer Perspektiven dienen kann. Zugleich hebt sie hervor, dass gerade bei weniger streng standardisierten Übersichtsverfahren die Transparenz der Literaturauswahl und der anschließenden Analyse entscheidend für die Beurteilung ihrer wissenschaftlichen Qualität ist. {[Snyder, Hannah (2019). Literature review as a research methodology: An overview and guidelines. Journal of Business Research, 104, S. 333–339. DOI: 10.1016/j.jbusres.2019.07.039.]}[[16]]</w:t>
      </w:r>
    </w:p>
    <w:p>
      <w:pPr/>
      <w:r>
        <w:t>Eine ergänzende methodische Perspektive bietet Torraco, der die integrative Literaturübersicht als eigenständige Form wissenschaftlicher Erkenntnisarbeit behandelt. Sie soll nicht bei der Zusammenfassung bestehender Positionen stehen bleiben, sondern unterschiedliche Erkenntnisse kritisch verarbeiten und daraus weiterführende Fragestellungen beziehungsweise konzeptionelle Beiträge ermöglichen. {[Torraco, Richard J. (2005). Writing Integrative Literature Reviews: Guidelines and Examples. Human Resource Development Review, 4(3), S. 356–367. DOI: 10.1177/1534484305278283.]}[[17]]</w:t>
      </w:r>
    </w:p>
    <w:p>
      <w:pPr/>
      <w:r>
        <w:t>Für meine Untersuchung übernehme ich daraus die methodische Forderung, die ausgewertete Literatur nicht nur nach Themengebieten zu ordnen. Ich muss innerhalb jedes Themengebiets herausarbeiten, welche Fragen bereits beantwortet werden, welche unterschiedlichen Auffassungen bestehen und welche Aussagen für den FRZK-Anspruch tatsächlich relevant sind. Eine Literaturstelle wird deshalb nicht allein aufgenommen, weil sie Begriffe wie Funktion, System, Beobachtung, Kohärenz oder Modellierung verwendet. Entscheidend ist vielmehr, ob sie einen nachprüfbaren wissenschaftlichen Beitrag zu einer konkreten Teilfrage meiner Untersuchung liefert.</w:t>
      </w:r>
    </w:p>
    <w:p>
      <w:pPr/>
      <w:r>
        <w:t>Dabei muss ich zugleich eine Grenze meines Vorgehens beachten. Eine integrative Literaturuntersuchung ist nicht mit einem vollständig systematischen Review gleichzusetzen. Für die Berichterstattung über systematische Reviews beschreibt die PRISMA-2020-Leitlinie unter anderem Anforderungen an die Dokumentation von Suchverfahren, Studienauswahl, Bewertung und Ergebnissynthese. Diese Leitlinie ist für mich ein wichtiger Vergleichsmaßstab wissenschaftlicher Transparenz, sie macht mein eigenes Vorgehen jedoch nicht bereits zu einem systematischen Review. {[Page, Matthew J.; McKenzie, Joanne E.; Bossuyt, Patrick M.; et al. (2021). The PRISMA 2020 statement: an updated guideline for reporting systematic reviews. BMJ, 372, n71. DOI: 10.1136/bmj.n71.]}[[18]]</w:t>
      </w:r>
    </w:p>
    <w:p>
      <w:pPr/>
      <w:r>
        <w:t>Ich verzichte deshalb auf die Behauptung, mit Kapitel 2 sämtliche Veröffentlichungen der beteiligten Forschungsgebiete vollständig zu erfassen. Ein solcher Anspruch wäre angesichts der Breite des Untersuchungsgegenstands nur mit einer entsprechend umfassenden und dokumentierten Such- und Auswahlstrategie zu rechtfertigen. Mein Ziel besteht stattdessen darin, die für die Forschungsfragen wesentlichen theoretischen Ansätze, methodischen Entwicklungen und empirischen Befunde nachvollziehbar zu identifizieren, kritisch zu prüfen und miteinander zu vergleichen. Der Umfang der tatsächlich durchgeführten Recherche, die erreichten Quellenzugänge und verbleibende Einschränkungen müssen bei der abschließenden Bewertung offengelegt werden.</w:t>
      </w:r>
    </w:p>
    <w:p>
      <w:pPr/>
      <w:r>
        <w:t>Aus diesem Anspruch leite ich zunächst die inhaltlichen Grenzen meiner Literaturuntersuchung ab. Im Mittelpunkt stehen wissenschaftliche Arbeiten zur mathematischen Modellierung, zur Darstellung funktionaler Beziehungen und zum Wechsel zwischen verschiedenen Repräsentationsformen. Diese Forschungsbereiche sind für mich unmittelbar relevant, weil das FRZK mathematische Aufgaben nicht durch neue fachliche Lösungen ersetzen, sondern ihren funktionalen Aufbau und ihre Bearbeitung transparent machen soll.</w:t>
      </w:r>
    </w:p>
    <w:p>
      <w:pPr/>
      <w:r>
        <w:t>Daran schließt die Forschung zum mathematischen Aufgabenverständnis an. Hier untersuche ich insbesondere, welche Bedeutung das Erkennen relevanter Informationen, die Unterscheidung gegebener und gesuchter Größen, die Auswahl geeigneter Verfahren und die Kontrolle des Lösungswegs besitzen. Von besonderem Interesse ist für mich die Frage, unter welchen Bedingungen Lernende bekannte Rechenverfahren anwenden können, ohne die zugrunde liegenden Beziehungen bereits hinreichend zu verstehen oder erklären zu können.</w:t>
      </w:r>
    </w:p>
    <w:p>
      <w:pPr/>
      <w:r>
        <w:t>Ein weiterer Schwerpunkt betrifft die didaktische Darstellung mathematischer Begriffe und Zusammenhänge. Dazu gehören sprachliche Beschreibungen, symbolische Ausdrücke, Tabellen, grafische Repräsentationen und Verfahren zur Darstellung begrifflicher Beziehungen. Ich werde insbesondere untersuchen, welche Eigenschaften solcher Darstellungen das Verstehen unterstützen können und welche zusätzlichen Anforderungen durch ihre Verwendung entstehen. Dabei gehe ich ausdrücklich nicht davon aus, dass eine ausführlichere oder formal stärker strukturierte Darstellung für alle Lernenden und alle Aufgaben gleichermaßen günstig sein muss.</w:t>
      </w:r>
    </w:p>
    <w:p>
      <w:pPr/>
      <w:r>
        <w:t>Die Forschung zu Vorwissen, individueller Lernförderung und Rückmeldung bildet einen weiteren notwendigen Bestandteil der Untersuchung. In meiner Nachhilfepraxis entsteht die Aufgabenbearbeitung nicht unabhängig von der Unterstützung durch den Tutor. Fachliche Erklärungen, gezielte Fragen, unterschiedliche Vorkenntnisse und die Gestaltung der Lernumgebung können das Ergebnis beeinflussen. Wenn ich später einen möglichen Nutzen des FRZK untersuche, muss ich diese Bedingungen berücksichtigen und von den Eigenschaften des Darstellungsverfahrens unterscheiden.</w:t>
      </w:r>
    </w:p>
    <w:p>
      <w:pPr/>
      <w:r>
        <w:t>Damit ergibt sich schließlich die Notwendigkeit, die Forschung zur Entwicklung und Evaluation didaktischer Verfahren einzubeziehen. Ich benötige wissenschaftliche Kriterien, um zwischen einer nachvollziehbaren Modellbeschreibung, ihrer praktischen Anwendbarkeit und einer empirisch belegten Verbesserung von Lernleistungen zu unterscheiden. Eine mathematisch korrekte Darstellung kann eine sinnvolle Voraussetzung für die Bearbeitung einer Aufgabe sein. Daraus folgt jedoch noch nicht, dass sie gegenüber einem etablierten Verfahren einen messbaren didaktischen Vorteil bietet.</w:t>
      </w:r>
    </w:p>
    <w:p>
      <w:pPr/>
      <w:r>
        <w:t>Die systemtheoretischen, kybernetischen und erkenntnistheoretischen Bezüge behandle ich innerhalb dieser Literaturuntersuchung als ergänzende Perspektiven. Sie können dazu beitragen, Begriffe wie Systemgrenze, Beobachtung, Beziehung und Bezugssystem zu unterscheiden. Ihre Verwendung verlangt jedoch besondere Zurückhaltung, weil sich mathematische, erkenntnistheoretische und soziale Systeme nicht allein aufgrund ähnlicher Begriffe gleichsetzen lassen.</w:t>
      </w:r>
    </w:p>
    <w:p>
      <w:pPr/>
      <w:r>
        <w:t>Eine vergleichbare Abgrenzung gilt für physikalische Modelle von Raum und Zeit. Sie bilden einen möglichen fachlichen Anwendungs- und Vergleichskontext, sind aber nicht der Gegenstand eines physikalischen Gültigkeitsnachweises für das FRZK. Ich untersuche hier nicht, ob sich aus dem FRZK neue Naturgesetze ableiten lassen. Vielmehr interessiert mich, welche Anforderungen an eine mathematische Darstellung entstehen, wenn räumliche, zeitliche oder beobachtungsbezogene Größen in einer konkreten Aufgabenstellung miteinander verbunden werden.</w:t>
      </w:r>
    </w:p>
    <w:p>
      <w:pPr/>
      <w:r>
        <w:t>Für die Recherche berücksichtige ich vorrangig wissenschaftliche Originalarbeiten, fachlich anerkannte Monografien, begutachtete Zeitschriftenaufsätze sowie methodisch geeignete Forschungsübersichten und Metaanalysen. Bei mathematischen Grundlagen können außerdem etablierte Fachbücher und historische Originalarbeiten erforderlich sein. Deutsch- und englischsprachige Veröffentlichungen bilden den primären Suchraum. Ich lege keine allgemeine zeitliche Untergrenze fest, weil ältere grundlegende Arbeiten für die Entwicklung mathematischer und didaktischer Begriffe weiterhin relevant sein können. Zugleich berücksichtige ich neuere Forschungsübersichten, um den gegenwärtigen Kenntnisstand nicht ausschließlich aus historischen Theoriepositionen abzuleiten.</w:t>
      </w:r>
    </w:p>
    <w:p>
      <w:pPr/>
      <w:r>
        <w:t>Die Recherche soll insbesondere über bildungswissenschaftliche Fachdatenbanken wie ERIC und FIS Bildung sowie über einschlägige mathematisch-didaktische Fachzeitschriften, wissenschaftliche Verlage und die bibliografischen Nachweise relevanter Originalarbeiten erfolgen. Die Suchstrategie wird thematisch aufgebaut und durch deutsch- und englischsprachige Suchbegriffe ergänzt. Hierzu zählen unter anderem mathematische Modellierung, funktionale Beziehungen, multiple Repräsentationen, mathematisches Problemlösen, Concept-Maps, Vorwissen, Scaffolding, Feedback und didaktische Entwicklungsforschung. Die entsprechenden englischen Begriffe und ihre gebräuchlichen Varianten werden in die Suchanfragen aufgenommen.</w:t>
      </w:r>
    </w:p>
    <w:p>
      <w:pPr/>
      <w:r>
        <w:t>Die Auswahl der Literatur erfolgt nicht ausschließlich anhand von Titeln oder Zusammenfassungen. Zunächst prüfe ich die fachliche Zuordnung und die bibliografischen Angaben. Anschließend untersuche ich für die tatsächlich benötigten Veröffentlichungen, welche Fragestellungen behandelt werden, welche theoretischen oder empirischen Grundlagen vorliegen und welche Einschränkungen für die Übertragung auf mein Forschungsvorhaben bestehen. Soweit die Originaltexte zugänglich sind, gleiche ich die für meine Argumentation entscheidenden Aussagen mit den betreffenden Textstellen ab. Kann ich eine konkrete Aussage nicht hinreichend überprüfen, darf ich sie nicht als gesicherten Literaturbefund übernehmen.</w:t>
      </w:r>
    </w:p>
    <w:p>
      <w:pPr/>
      <w:r>
        <w:t>Besondere Bedeutung messe ich der Unterscheidung verschiedener Nachweisarten bei. Ein mathematischer Satz ist anhand seiner Voraussetzungen und Beweisführung zu beurteilen. Ein theoretisches Modell muss hinsichtlich seiner Begriffe, Annahmen und Erklärungsmöglichkeiten geprüft werden. Eine empirische Untersuchung ist dagegen unter anderem anhand ihrer Untersuchungsbedingungen, Messverfahren, Stichprobe und Auswertung zu bewerten. Eine Metaanalyse wiederum kann nur solche Befunde zusammenfassen, die mit den verwendeten Auswahl- und Auswertungsverfahren angemessen erfasst werden. Ich werde diese unterschiedlichen Nachweistypen deshalb nicht durch eine einheitliche, undifferenzierte Bewertung ersetzen.</w:t>
      </w:r>
    </w:p>
    <w:p>
      <w:pPr/>
      <w:r>
        <w:t>Für die weitere Bearbeitung dokumentiere ich jede verwendete wissenschaftliche Aussage mit ihrer Quelle, dem konkreten sachlichen Bezug, dem jeweiligen Nachweistyp und den bekannten Grenzen ihrer Anwendbarkeit. Dabei unterscheide ich ausdrücklich zwischen einer bibliografisch identifizierten Veröffentlichung, einer tatsächlich geprüften Originalstelle und einer durch diese Stelle tragfähig belegten Aussage. Ebenso werden widersprechende Befunde und abweichende theoretische Positionen aufgenommen, sofern sie für die jeweilige Fragestellung relevant sind.</w:t>
      </w:r>
    </w:p>
    <w:p>
      <w:pPr/>
      <w:r>
        <w:t>Diese Vorgehensweise ist besonders wichtig, weil ich mit dem FRZK bereits eine eigene methodische Zielsetzung verfolge. Ohne eine kontrollierte Literaturauswahl bestünde die Gefahr, vor allem solche Arbeiten heranzuziehen, die meinem Ansatz zu entsprechen scheinen. Eine wissenschaftlich tragfähige Untersuchung muss dagegen auch zeigen können, dass vorhandene Verfahren bestimmte angestrebte Leistungen bereits erbringen oder dass für einzelne FRZK-Eigenschaften kein zusätzlicher Nutzen erkennbar ist.</w:t>
      </w:r>
    </w:p>
    <w:p>
      <w:pPr/>
      <w:r>
        <w:t>Die anschließende Auswertung erfolgt deshalb problemorientiert und vergleichend. Ich untersuche die ausgewählten Ansätze insbesondere danach, welchen Gegenstand sie beschreiben, welche Annahmen sie benötigen, wie sie funktionale Beziehungen darstellen, welche fachlichen oder didaktischen Leistungen für sie belegt sind und welche Grenzen ihre Anwendung besitzt. Diese Kriterien bilden die Grundlage für die spätere Gegenüberstellung der Forschungsansätze. Sie sind zunächst analytische Kategorien meiner Literaturuntersuchung und noch keine formal definierten Eigenschaften des FRZK.</w:t>
      </w:r>
    </w:p>
    <w:p>
      <w:pPr/>
      <w:r>
        <w:t>Daraus ergibt sich auch eine klare Grenze für die Verwendung eigener Modellentscheidungen. Die in der weiteren Arbeit benötigten mathematischen Festlegungen, insbesondere zu gerichteten Nullannäherungen, symbolischen Unendlichkeitsausdrücken, zum Nullvektor und zur orthogonalen Ausgangsorientierung im Grenzzustand null, werden durch die Literaturuntersuchung nicht bereits begründet oder bewiesen. Kapitel 2 kann die wissenschaftlichen Anforderungen an eine eindeutige Definition solcher Begriffe herausarbeiten. Die konkreten mathematischen Definitionen und die Prüfung ihrer Widerspruchsfreiheit bleiben jedoch der anschließenden Grundlegung vorbehalten.</w:t>
      </w:r>
    </w:p>
    <w:p>
      <w:pPr/>
      <w:r>
        <w:t>Das Ergebnis dieses Kapitels soll deshalb nicht eine Sammlung möglichst vieler wissenschaftlicher Positionen sein. Ich möchte vielmehr zu einer begründeten Einordnung gelangen, aus der erkennbar wird, welche Möglichkeiten die vorhandenen mathematischen und didaktischen Verfahren bereits bieten, welche Fragen für meinen Untersuchungsgegenstand offenbleiben und welche Voraussetzungen ich für die weitere Entwicklung des FRZK ausdrücklich festlegen muss.</w:t>
      </w:r>
    </w:p>
    <w:p>
      <w:pPr/>
      <w:r>
        <w:t>Dabei darf ich eine Forschungslücke nicht allein aus dem Umstand ableiten, dass die Bezeichnung FRZK in den untersuchten Veröffentlichungen nicht verwendet wird. Entscheidend ist, ob die angestrebte methodische Leistung bereits durch andere Verfahren erreicht wird und ob für eine spezifische Ausgestaltung überhaupt ein wissenschaftlich relevanter zusätzlicher Prüfbedarf besteht.</w:t>
      </w:r>
    </w:p>
    <w:p>
      <w:pPr/>
      <w:r>
        <w:t>Mit dieser Abgrenzung ist der Ausgangspunkt für die weitere Untersuchung bestimmt. Zunächst werde ich die vorhandenen mathematischen Modellierungsansätze und die wissenschaftliche Beschreibung funktionaler Beziehungen betrachten. Anschließend untersuche ich die Bedeutung unterschiedlicher Darstellungen sowie die Forschung zum mathematischen Problemlösen und Lernen. Auf dieser Grundlage kann ich die Möglichkeiten und Grenzen des FRZK sachlich einordnen und die Anforderungen für seine spätere formale und empirische Prüfung entwickeln.</w:t>
      </w:r>
    </w:p>
    <w:p>
      <w:pPr>
        <w:pStyle w:val="Heading2"/>
      </w:pPr>
      <w:r>
        <w:t>Literaturverzeichnis – in Kapitel 2 neu verwendete Quellen</w:t>
      </w:r>
    </w:p>
    <w:p>
      <w:pPr>
        <w:pStyle w:val="Bibliography"/>
      </w:pPr>
      <w:r>
        <w:t>[15] Grant, Maria J.; Booth, Andrew (2009). A typology of reviews: an analysis of 14 review types and associated methodologies. Health Information &amp; Libraries Journal, 26(2), S. 91–108. DOI: 10.1111/j.1471-1842.2009.00848.x.</w:t>
      </w:r>
    </w:p>
    <w:p>
      <w:pPr>
        <w:pStyle w:val="Bibliography"/>
      </w:pPr>
      <w:r>
        <w:t>[16] Snyder, Hannah (2019). Literature review as a research methodology: An overview and guidelines. Journal of Business Research, 104, S. 333–339. DOI: 10.1016/j.jbusres.2019.07.039.</w:t>
      </w:r>
    </w:p>
    <w:p>
      <w:pPr>
        <w:pStyle w:val="Bibliography"/>
      </w:pPr>
      <w:r>
        <w:t>[17] Torraco, Richard J. (2005). Writing Integrative Literature Reviews: Guidelines and Examples. Human Resource Development Review, 4(3), S. 356–367. DOI: 10.1177/1534484305278283.</w:t>
      </w:r>
    </w:p>
    <w:p>
      <w:pPr>
        <w:pStyle w:val="Bibliography"/>
      </w:pPr>
      <w:r>
        <w:t>[18] Page, Matthew J.; McKenzie, Joanne E.; Bossuyt, Patrick M.; et al. (2021). The PRISMA 2020 statement: an updated guideline for reporting systematic reviews. BMJ, 372, n71. DOI: 10.1136/bmj.n71.</w:t>
      </w:r>
    </w:p>
    <w:sectPr w:rsidR="00FC693F" w:rsidRPr="0006063C" w:rsidSect="00034616">
      <w:headerReference w:type="default" r:id="rId9"/>
      <w:footerReference w:type="default" r:id="rId10"/>
      <w:pgSz w:w="11906" w:h="16838"/>
      <w:pgMar w:top="1332" w:right="1446" w:bottom="1247" w:left="1474" w:header="624"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EditorNote"/>
      <w:jc w:val="center"/>
    </w:pPr>
    <w:r>
      <w:rPr>
        <w:sz w:val="18"/>
      </w:rP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EditorNote"/>
      <w:jc w:val="right"/>
    </w:pPr>
    <w:r>
      <w:rPr>
        <w:color w:val="6A727B"/>
        <w:sz w:val="18"/>
      </w:rPr>
      <w:t>FRZK · Kapitel 2 · Forschungsstand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5" w:lineRule="auto" w:after="160"/>
      <w:jc w:val="both"/>
    </w:pPr>
    <w:rPr>
      <w:rFonts w:ascii="Times New Roman" w:hAnsi="Times New Roman"/>
      <w:color w:val="1E252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00" w:after="200"/>
      <w:jc w:val="left"/>
      <w:outlineLvl w:val="0"/>
    </w:pPr>
    <w:rPr>
      <w:rFonts w:asciiTheme="majorHAnsi" w:eastAsiaTheme="majorEastAsia" w:hAnsiTheme="majorHAnsi" w:cstheme="majorBidi" w:ascii="Calibri" w:hAnsi="Calibri"/>
      <w:b/>
      <w:bCs/>
      <w:color w:val="1F354D"/>
      <w:sz w:val="34"/>
      <w:szCs w:val="28"/>
    </w:rPr>
  </w:style>
  <w:style w:type="paragraph" w:styleId="Heading2">
    <w:name w:val="heading 2"/>
    <w:basedOn w:val="Normal"/>
    <w:next w:val="Normal"/>
    <w:link w:val="Heading2Char"/>
    <w:uiPriority w:val="9"/>
    <w:unhideWhenUsed/>
    <w:qFormat/>
    <w:rsid w:val="00FC693F"/>
    <w:pPr>
      <w:keepNext/>
      <w:keepLines/>
      <w:widowControl/>
      <w:spacing w:before="300" w:after="160"/>
      <w:jc w:val="left"/>
      <w:outlineLvl w:val="1"/>
    </w:pPr>
    <w:rPr>
      <w:rFonts w:asciiTheme="majorHAnsi" w:eastAsiaTheme="majorEastAsia" w:hAnsiTheme="majorHAnsi" w:cstheme="majorBidi" w:ascii="Calibri" w:hAnsi="Calibri"/>
      <w:b/>
      <w:bCs/>
      <w:color w:val="1F354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widowControl/>
      <w:pBdr>
        <w:bottom w:val="single" w:sz="8" w:space="4" w:color="4F81BD" w:themeColor="accent1"/>
      </w:pBdr>
      <w:spacing w:after="240" w:line="240" w:lineRule="auto" w:before="0"/>
      <w:contextualSpacing/>
      <w:jc w:val="left"/>
    </w:pPr>
    <w:rPr>
      <w:rFonts w:asciiTheme="majorHAnsi" w:eastAsiaTheme="majorEastAsia" w:hAnsiTheme="majorHAnsi" w:cstheme="majorBidi" w:ascii="Calibri" w:hAnsi="Calibri"/>
      <w:b/>
      <w:color w:val="1F354D"/>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ditorNote">
    <w:name w:val="EditorNote"/>
    <w:basedOn w:val="Normal"/>
    <w:pPr>
      <w:spacing w:after="140"/>
      <w:jc w:val="left"/>
    </w:pPr>
    <w:rPr>
      <w:rFonts w:ascii="Calibri" w:hAnsi="Calibri"/>
      <w:color w:val="5B646E"/>
      <w:sz w:val="20"/>
    </w:rPr>
  </w:style>
  <w:style w:type="paragraph" w:customStyle="1" w:styleId="Bibliography">
    <w:name w:val="Bibliography"/>
    <w:basedOn w:val="Normal"/>
    <w:pPr>
      <w:spacing w:after="160" w:line="283" w:lineRule="auto"/>
      <w:ind w:left="340" w:hanging="340"/>
      <w:jc w:val="left"/>
    </w:pPr>
    <w:rPr>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Kapitel 2 – Forschungsstand und theoretische Einordnung des Funktionalen Raum-Zeit-Kohärenzsystems</dc:title>
  <dc:subject>Arbeitsfassung Kapitel 2, Abschnitt 2.0 und Gliederung 2.1–2.10</dc:subject>
  <dc:creator>python-docx</dc:creator>
  <cp:keywords>FRZK; Dissertation; Kapitel 2; Forschungsstand</cp:keywords>
  <dc:description>generated by python-docx</dc:description>
  <cp:lastModifiedBy/>
  <cp:revision>1</cp:revision>
  <dcterms:created xsi:type="dcterms:W3CDTF">2013-12-23T23:15:00Z</dcterms:created>
  <dcterms:modified xsi:type="dcterms:W3CDTF">2013-12-23T23:15:00Z</dcterms:modified>
  <cp:category/>
</cp:coreProperties>
</file>