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4306b7a647f2ed48ce8fdf4e2e0e8a7b200f8e"/>
    <w:p>
      <w:pPr>
        <w:pStyle w:val="Heading1"/>
        <w:keepNext/>
      </w:pPr>
      <w:r>
        <w:t xml:space="preserve">2.1 Mathematische Grundlagen des Funktionalen Raum-Zeit-Kohärenzsystems</w:t>
      </w:r>
    </w:p>
    <w:bookmarkStart w:id="20" w:name="zielsetzung-und-abgrenzung"/>
    <w:p>
      <w:pPr>
        <w:pStyle w:val="Heading2"/>
        <w:keepNext/>
      </w:pPr>
      <w:r>
        <w:t xml:space="preserve">2.1.1 Zielsetzung und Abgrenzung</w:t>
      </w:r>
    </w:p>
    <w:p>
      <w:pPr>
        <w:pStyle w:val="FirstParagraph"/>
        <w:keepLines w:val="0"/>
      </w:pPr>
      <w:r>
        <w:t xml:space="preserve">Mit dem Funktionalen Raum-Zeit-Kohärenzsystem (FRZK) entwickle ich einen methodisch-mathematischen Rahmen, in dem die Richtung und die Art eines Grenzprozesses innerhalb der symbolischen Darstellung erhalten bleiben. Die grundlegende Motivation besteht darin, die Behandlung von sehr kleinen und unbeschränkt wachsenden Funktionswerten übersichtlicher zu gestalten, ohne die mathematischen Voraussetzungen der Grenzwertrechnung zu beseitigen. Insbesondere unterscheide ich positive und negative Nullannäherungen ebenso ausdrücklich wie positives und negatives unbegrenztes Wachstum. Diese Unterscheidung soll für die strukturierte Bearbeitung mathematischer Aufgaben und für deren didaktische Vermittlung verfügbar sein.</w:t>
      </w:r>
    </w:p>
    <w:p>
      <w:pPr>
        <w:pStyle w:val="BodyText"/>
        <w:keepLines w:val="0"/>
      </w:pPr>
      <w:r>
        <w:t xml:space="preserve">Das FRZK ist in dieser Untersuchung weder als Erweiterung des gewöhnlichen reellen Zahlenkörpers noch als eigenständige physikalische Theorie zu verstehen. Ich führe eine zusätzliche symbolische Beschreibungsebene ein, deren Objekte durch das Verhalten reellwertiger Funktionen in bestimmten Grenzbereichen festgelegt werden. Die Symbole können innerhalb dieser Bereiche Gegenstand eigener Rechenregeln sein; die Regeln gelten jedoch nur, soweit ihre Ergebnisse unabhängig von der Wahl der zulässigen Ausgangsfunktionen bestimmt sind. Die hier vorgenommene Formalisierung ist daher ausdrücklich bereichsgebunden und partiell.</w:t>
      </w:r>
    </w:p>
    <w:p>
      <w:pPr>
        <w:pStyle w:val="BodyText"/>
        <w:keepLines w:val="0"/>
      </w:pPr>
      <w:r>
        <w:rPr>
          <w:sz w:val="18"/>
        </w:rPr>
        <w:t xml:space="preserve">In der klassischen Analysis bezeichnen die beiden Richtungen der Unendlichkeit kein gewöhnliches reelles Zahlenelement. Auch in der erweiterten reellen Zahlengeraden sind nicht sämtliche arithmetischen Verknüpfungen definiert. Die mathematische Unbestimmtheit bestimmter Grenzwertformen entsteht insbesondere daraus, dass verschiedene Funktionspaare trotz gleicher qualitativer Grenzklassen unterschiedliche Grenzwerte ihrer Verknüpfung besitzen können. Ich übernehme diese sachliche Beschränkung als Bestandteil der FRZK-Konstruktion, anstatt für jede denkbare Verknüpfung einen neuen Wert zu postulieren. {[NIST (o. J.): Digital Library of Mathematical Functions, Kapitel 2, Abschnitt 2.1, „Definitions and Elementary Properties“.]}[[1]]</w:t>
      </w:r>
    </w:p>
    <w:p>
      <w:pPr>
        <w:pStyle w:val="BodyText"/>
        <w:keepLines w:val="0"/>
      </w:pPr>
      <w:r>
        <w:t xml:space="preserve">Der spezifische Beitrag des FRZK liegt damit nicht in neuen Sätzen über die gewöhnlichen reellen Zahlen, sondern in einer kontrollierten Verbindung zwischen gerichteter Grenzsymbolik, funktionaler Herkunft und zugelassener symbolischer Weiterverarbeitung. Eine Rechenregel darf nur dann unmittelbar angewendet werden, wenn der Grenzbereich geklärt und das Ergebnis eindeutig ist. Reichen die Symbole allein nicht aus, wird die ursprüngliche funktionale Darstellung beibehalten oder wieder herangezogen. Diese Trennung zwischen symbolischer Kürze und funktionaler Vollständigkeit bildet die Grundlage der nachfolgenden Definitionen.</w:t>
      </w:r>
    </w:p>
    <w:bookmarkEnd w:id="20"/>
    <w:bookmarkStart w:id="21" w:name="X6b74172fbbb64c07249a25eae139bb9d6a3b53a"/>
    <w:p>
      <w:pPr>
        <w:pStyle w:val="Heading2"/>
        <w:keepNext/>
      </w:pPr>
      <w:r>
        <w:t xml:space="preserve">2.1.2 Definition der vier gerichteten Grenzsymbole</w:t>
      </w:r>
    </w:p>
    <w:p>
      <w:pPr>
        <w:pStyle w:val="FirstParagraph"/>
        <w:keepLines w:val="0"/>
      </w:pPr>
      <w:r>
        <w:t xml:space="preserve">Ich definiere vier ausgezeichnete FRZK-Symbole für die beiden gerichteten Nullannäherungen und die beiden Richtungen unbegrenzten Wachstums. Ihre Schreibweise enthält ein tiefgestelltes Vorzeichen sowie einen hochgestellten, aufrecht serifenlosen Systemindex. Dieser Index dient ausschließlich der Kennzeichnung des FRZK und ist weder eine Potenz noch eine zusätzliche funktionale Variable. Im Folgenden verwende ich die Kurzform mit dem Buchstaben F einheitlich.</w:t>
      </w:r>
    </w:p>
    <w:p>
      <w:pPr>
        <w:pStyle w:val="BodyText"/>
        <w:keepNext/>
        <w:keepLines w:val="0"/>
        <w:spacing w:before="180" w:after="40"/>
        <w:jc w:val="center"/>
      </w:pPr>
      <m:oMathPara>
        <m:oMathParaPr>
          <m:jc m:val="center"/>
        </m:oMathParaPr>
        <m:oMath>
          <m:sSub>
            <m:e>
              <m:r>
                <m:rPr>
                  <m:sty m:val="p"/>
                  <m:scr m:val="script"/>
                </m:rPr>
                <m:t>S</m:t>
              </m:r>
            </m:e>
            <m:sub>
              <m:r>
                <m:rPr>
                  <m:sty m:val="p"/>
                  <m:scr m:val="sans-serif"/>
                </m:rPr>
                <m:t>F</m:t>
              </m:r>
            </m:sub>
          </m:sSub>
          <m:r>
            <m:rPr>
              <m:sty m:val="p"/>
            </m:rPr>
            <m:t>=</m:t>
          </m:r>
          <m:d>
            <m:dPr>
              <m:begChr m:val="{"/>
              <m:endChr m:val="}"/>
              <m:sepChr m:val=""/>
              <m:grow/>
            </m:dPr>
            <m:e>
              <m:sSubSup>
                <m:e>
                  <m:r>
                    <m:t>0</m:t>
                  </m:r>
                </m:e>
                <m:sub>
                  <m:r>
                    <m:rPr>
                      <m:sty m:val="p"/>
                    </m:rPr>
                    <m:t>+</m:t>
                  </m:r>
                </m:sub>
                <m:sup>
                  <m:r>
                    <m:rPr>
                      <m:sty m:val="p"/>
                      <m:scr m:val="sans-serif"/>
                    </m:rPr>
                    <m:t>F</m:t>
                  </m:r>
                </m:sup>
              </m:sSubSup>
              <m:r>
                <m:rPr>
                  <m:sty m:val="p"/>
                </m:rPr>
                <m:t>,</m:t>
              </m:r>
              <m:r>
                <m:t> </m:t>
              </m:r>
              <m:sSubSup>
                <m:e>
                  <m:r>
                    <m:t>0</m:t>
                  </m:r>
                </m:e>
                <m:sub>
                  <m:r>
                    <m:rPr>
                      <m:sty m:val="p"/>
                    </m:rPr>
                    <m:t>−</m:t>
                  </m:r>
                </m:sub>
                <m:sup>
                  <m:r>
                    <m:rPr>
                      <m:sty m:val="p"/>
                      <m:scr m:val="sans-serif"/>
                    </m:rPr>
                    <m:t>F</m:t>
                  </m:r>
                </m:sup>
              </m:sSubSup>
              <m:r>
                <m:rPr>
                  <m:sty m:val="p"/>
                </m:rPr>
                <m:t>,</m:t>
              </m:r>
              <m:r>
                <m:t> </m:t>
              </m:r>
              <m:sSubSup>
                <m:e>
                  <m:r>
                    <m:rPr>
                      <m:sty m:val="p"/>
                    </m:rPr>
                    <m:t>∞</m:t>
                  </m:r>
                </m:e>
                <m:sub>
                  <m:r>
                    <m:rPr>
                      <m:sty m:val="p"/>
                    </m:rPr>
                    <m:t>+</m:t>
                  </m:r>
                </m:sub>
                <m:sup>
                  <m:r>
                    <m:rPr>
                      <m:sty m:val="p"/>
                      <m:scr m:val="sans-serif"/>
                    </m:rPr>
                    <m:t>F</m:t>
                  </m:r>
                </m:sup>
              </m:sSubSup>
              <m:r>
                <m:rPr>
                  <m:sty m:val="p"/>
                </m:rPr>
                <m:t>,</m:t>
              </m:r>
              <m:r>
                <m:t> </m:t>
              </m:r>
              <m:sSubSup>
                <m:e>
                  <m:r>
                    <m:rPr>
                      <m:sty m:val="p"/>
                    </m:rPr>
                    <m:t>∞</m:t>
                  </m:r>
                </m:e>
                <m:sub>
                  <m:r>
                    <m:rPr>
                      <m:sty m:val="p"/>
                    </m:rPr>
                    <m:t>−</m:t>
                  </m:r>
                </m:sub>
                <m:sup>
                  <m:r>
                    <m:rPr>
                      <m:sty m:val="p"/>
                      <m:scr m:val="sans-serif"/>
                    </m:rPr>
                    <m:t>F</m:t>
                  </m:r>
                </m:sup>
              </m:sSubSup>
            </m:e>
          </m:d>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\mathcal{S}_{\mathsf{F}}=\left\{0_{+}^{\mathsf{F}},\;0_{-}^{\mathsf{F}},\;\infty_{+}^{\mathsf{F}},\;\infty_{-}^{\mathsf{F}}\right\}</w:t>
      </w:r>
    </w:p>
    <w:p>
      <w:pPr>
        <w:pStyle w:val="BodyText"/>
        <w:keepLines w:val="0"/>
      </w:pPr>
      <w:r>
        <w:t xml:space="preserve">Die beiden Nullsymbole repräsentieren reelle Funktionen, deren Werte gegen die gewöhnliche Null streben, die aber in einer hinreichend kleinen Umgebung des Grenzpunktes ein festes positives beziehungsweise negatives Vorzeichen besitzen. Die beiden Unendlichkeitssymbole repräsentieren Funktionen, deren Werte in der jeweiligen Richtung ohne endliche Schranke wachsen. Die Symbole fassen damit Funktionsverhalten zusammen; sie dürfen nicht ohne zusätzliche Prüfung als neue gewöhnliche reelle Zahlen behandelt werden.</w:t>
      </w:r>
    </w:p>
    <w:p>
      <w:pPr>
        <w:pStyle w:val="BodyText"/>
        <w:keepLines w:val="0"/>
      </w:pPr>
      <w:r>
        <w:t xml:space="preserve">Für die mathematische Präzisierung verwende ich zunächst einen positiven Grenzparameter. Die Funktionen seien auf einem rechtsseitigen, hinreichend kleinen Intervall definiert. In diesen lokalen Bereich lassen sich auch andere einseitige Grenzprozesse durch eine ausdrücklich anzugebende Variablentransformation überführen.</w:t>
      </w:r>
    </w:p>
    <w:p>
      <w:pPr>
        <w:pStyle w:val="BodyText"/>
        <w:keepNext/>
        <w:keepLines w:val="0"/>
        <w:spacing w:before="180" w:after="40"/>
        <w:jc w:val="center"/>
      </w:pPr>
      <m:oMathPara>
        <m:oMathParaPr>
          <m:jc m:val="center"/>
        </m:oMathParaPr>
        <m:oMath>
          <m:r>
            <m:t>t</m:t>
          </m:r>
          <m:r>
            <m:rPr>
              <m:sty m:val="p"/>
            </m:rPr>
            <m:t>∈</m:t>
          </m:r>
          <m:d>
            <m:dPr>
              <m:begChr m:val="("/>
              <m:endChr m:val=")"/>
              <m:sepChr m:val=""/>
              <m:grow/>
            </m:dPr>
            <m:e>
              <m:r>
                <m:t>0</m:t>
              </m:r>
              <m:r>
                <m:rPr>
                  <m:sty m:val="p"/>
                </m:rPr>
                <m:t>,</m:t>
              </m:r>
              <m:r>
                <m:t>ε</m:t>
              </m:r>
            </m:e>
          </m:d>
          <m:r>
            <m:rPr>
              <m:sty m:val="p"/>
            </m:rPr>
            <m:t>,</m:t>
          </m:r>
          <m:r>
            <m:t>  </m:t>
          </m:r>
          <m:r>
            <m:t>t</m:t>
          </m:r>
          <m:r>
            <m:rPr>
              <m:sty m:val="p"/>
            </m:rPr>
            <m:t>→</m:t>
          </m:r>
          <m:sSup>
            <m:e>
              <m:r>
                <m:t>0</m:t>
              </m:r>
            </m:e>
            <m:sup>
              <m:r>
                <m:rPr>
                  <m:sty m:val="p"/>
                </m:rPr>
                <m:t>+</m:t>
              </m:r>
            </m:sup>
          </m:sSup>
          <m:r>
            <m:rPr>
              <m:sty m:val="p"/>
            </m:rPr>
            <m:t>,</m:t>
          </m:r>
          <m:r>
            <m:t>  </m:t>
          </m:r>
          <m:r>
            <m:t>ε</m:t>
          </m:r>
          <m:r>
            <m:rPr>
              <m:sty m:val="p"/>
            </m:rPr>
            <m:t>&gt;</m:t>
          </m:r>
          <m:r>
            <m:t>0</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t\in(0,\varepsilon),\qquad t\to0^{+},\qquad \varepsilon&gt;0</w:t>
      </w:r>
    </w:p>
    <w:p>
      <w:pPr>
        <w:pStyle w:val="BodyText"/>
        <w:keepLines w:val="0"/>
      </w:pPr>
      <w:r>
        <w:t xml:space="preserve">Eine Funktion gehört zur positiven gerichteten Nullklasse, wenn sie gegen null konvergiert und für alle hinreichend kleinen positiven Parameterwerte strikt positiv ist. Für die negative gerichtete Nullklasse gilt die entsprechende Bedingung mit strikt negativen Funktionswerten. Ich lege die beiden Klassifikationen wie folgt fest.</w:t>
      </w:r>
    </w:p>
    <w:p>
      <w:pPr>
        <w:pStyle w:val="BodyText"/>
        <w:keepNext/>
        <w:keepLines w:val="0"/>
        <w:spacing w:before="180" w:after="40"/>
        <w:jc w:val="center"/>
      </w:pPr>
      <m:oMathPara>
        <m:oMathParaPr>
          <m:jc m:val="center"/>
        </m:oMathParaPr>
        <m:oMath>
          <m:r>
            <m:t>u</m:t>
          </m:r>
          <m:d>
            <m:dPr>
              <m:begChr m:val="("/>
              <m:endChr m:val=")"/>
              <m:sepChr m:val=""/>
              <m:grow/>
            </m:dPr>
            <m:e>
              <m:r>
                <m:t>t</m:t>
              </m:r>
            </m:e>
          </m:d>
          <m:r>
            <m:rPr>
              <m:sty m:val="p"/>
            </m:rPr>
            <m:t>→</m:t>
          </m:r>
          <m:sSubSup>
            <m:e>
              <m:r>
                <m:t>0</m:t>
              </m:r>
            </m:e>
            <m:sub>
              <m:r>
                <m:rPr>
                  <m:sty m:val="p"/>
                </m:rPr>
                <m:t>+</m:t>
              </m:r>
            </m:sub>
            <m:sup>
              <m:r>
                <m:rPr>
                  <m:sty m:val="p"/>
                  <m:scr m:val="sans-serif"/>
                </m:rPr>
                <m:t>F</m:t>
              </m:r>
            </m:sup>
          </m:sSubSup>
          <m:r>
            <m:t> </m:t>
          </m:r>
          <m:r>
            <m:rPr>
              <m:sty m:val="p"/>
            </m:rPr>
            <m:t>⇔</m:t>
          </m:r>
          <m:r>
            <m:t> </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r>
            <m:t>0</m:t>
          </m:r>
          <m:r>
            <m:t> </m:t>
          </m:r>
          <m:r>
            <m:rPr>
              <m:sty m:val="p"/>
            </m:rPr>
            <m:t>∧</m:t>
          </m:r>
          <m:r>
            <m:t> </m:t>
          </m:r>
          <m:r>
            <m:t>u</m:t>
          </m:r>
          <m:d>
            <m:dPr>
              <m:begChr m:val="("/>
              <m:endChr m:val=")"/>
              <m:sepChr m:val=""/>
              <m:grow/>
            </m:dPr>
            <m:e>
              <m:r>
                <m:t>t</m:t>
              </m:r>
            </m:e>
          </m:d>
          <m:r>
            <m:rPr>
              <m:sty m:val="p"/>
            </m:rPr>
            <m:t>&gt;</m:t>
          </m:r>
          <m:r>
            <m:t>0</m:t>
          </m:r>
          <m:r>
            <m:t> </m:t>
          </m:r>
          <m:r>
            <m:rPr>
              <m:sty m:val="p"/>
            </m:rPr>
            <m:t>s</m:t>
          </m:r>
          <m:r>
            <m:rPr>
              <m:sty m:val="p"/>
            </m:rPr>
            <m:t>c</m:t>
          </m:r>
          <m:r>
            <m:rPr>
              <m:sty m:val="p"/>
            </m:rPr>
            <m:t>h</m:t>
          </m:r>
          <m:r>
            <m:rPr>
              <m:sty m:val="p"/>
            </m:rPr>
            <m:t>l</m:t>
          </m:r>
          <m:r>
            <m:rPr>
              <m:sty m:val="p"/>
            </m:rPr>
            <m:t>i</m:t>
          </m:r>
          <m:r>
            <m:rPr>
              <m:sty m:val="p"/>
            </m:rPr>
            <m:t>e</m:t>
          </m:r>
          <m:r>
            <m:rPr>
              <m:sty m:val="p"/>
            </m:rPr>
            <m:t>s</m:t>
          </m:r>
          <m:r>
            <m:rPr>
              <m:sty m:val="p"/>
            </m:rPr>
            <m:t>s</m:t>
          </m:r>
          <m:r>
            <m:rPr>
              <m:sty m:val="p"/>
            </m:rPr>
            <m:t>l</m:t>
          </m:r>
          <m:r>
            <m:rPr>
              <m:sty m:val="p"/>
            </m:rPr>
            <m:t>i</m:t>
          </m:r>
          <m:r>
            <m:rPr>
              <m:sty m:val="p"/>
            </m:rPr>
            <m:t>c</m:t>
          </m:r>
          <m:r>
            <m:rPr>
              <m:sty m:val="p"/>
            </m:rPr>
            <m:t>h</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u(t)\to0_{+}^{\mathsf{F}}\;\Longleftrightarrow\;\lim_{t\to0^{+}}u(t)=0\;\land\;u(t)&gt;0\ \mathrm{schliesslich}</w:t>
      </w:r>
    </w:p>
    <w:p>
      <w:pPr>
        <w:pStyle w:val="BodyText"/>
        <w:keepNext/>
        <w:keepLines w:val="0"/>
        <w:spacing w:before="180" w:after="40"/>
        <w:jc w:val="center"/>
      </w:pPr>
      <m:oMathPara>
        <m:oMathParaPr>
          <m:jc m:val="center"/>
        </m:oMathParaPr>
        <m:oMath>
          <m:r>
            <m:t>u</m:t>
          </m:r>
          <m:d>
            <m:dPr>
              <m:begChr m:val="("/>
              <m:endChr m:val=")"/>
              <m:sepChr m:val=""/>
              <m:grow/>
            </m:dPr>
            <m:e>
              <m:r>
                <m:t>t</m:t>
              </m:r>
            </m:e>
          </m:d>
          <m:r>
            <m:rPr>
              <m:sty m:val="p"/>
            </m:rPr>
            <m:t>→</m:t>
          </m:r>
          <m:sSubSup>
            <m:e>
              <m:r>
                <m:t>0</m:t>
              </m:r>
            </m:e>
            <m:sub>
              <m:r>
                <m:rPr>
                  <m:sty m:val="p"/>
                </m:rPr>
                <m:t>−</m:t>
              </m:r>
            </m:sub>
            <m:sup>
              <m:r>
                <m:rPr>
                  <m:sty m:val="p"/>
                  <m:scr m:val="sans-serif"/>
                </m:rPr>
                <m:t>F</m:t>
              </m:r>
            </m:sup>
          </m:sSubSup>
          <m:r>
            <m:t> </m:t>
          </m:r>
          <m:r>
            <m:rPr>
              <m:sty m:val="p"/>
            </m:rPr>
            <m:t>⇔</m:t>
          </m:r>
          <m:r>
            <m:t> </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r>
            <m:t>0</m:t>
          </m:r>
          <m:r>
            <m:t> </m:t>
          </m:r>
          <m:r>
            <m:rPr>
              <m:sty m:val="p"/>
            </m:rPr>
            <m:t>∧</m:t>
          </m:r>
          <m:r>
            <m:t> </m:t>
          </m:r>
          <m:r>
            <m:t>u</m:t>
          </m:r>
          <m:d>
            <m:dPr>
              <m:begChr m:val="("/>
              <m:endChr m:val=")"/>
              <m:sepChr m:val=""/>
              <m:grow/>
            </m:dPr>
            <m:e>
              <m:r>
                <m:t>t</m:t>
              </m:r>
            </m:e>
          </m:d>
          <m:r>
            <m:rPr>
              <m:sty m:val="p"/>
            </m:rPr>
            <m:t>&lt;</m:t>
          </m:r>
          <m:r>
            <m:t>0</m:t>
          </m:r>
          <m:r>
            <m:t> </m:t>
          </m:r>
          <m:r>
            <m:rPr>
              <m:sty m:val="p"/>
            </m:rPr>
            <m:t>s</m:t>
          </m:r>
          <m:r>
            <m:rPr>
              <m:sty m:val="p"/>
            </m:rPr>
            <m:t>c</m:t>
          </m:r>
          <m:r>
            <m:rPr>
              <m:sty m:val="p"/>
            </m:rPr>
            <m:t>h</m:t>
          </m:r>
          <m:r>
            <m:rPr>
              <m:sty m:val="p"/>
            </m:rPr>
            <m:t>l</m:t>
          </m:r>
          <m:r>
            <m:rPr>
              <m:sty m:val="p"/>
            </m:rPr>
            <m:t>i</m:t>
          </m:r>
          <m:r>
            <m:rPr>
              <m:sty m:val="p"/>
            </m:rPr>
            <m:t>e</m:t>
          </m:r>
          <m:r>
            <m:rPr>
              <m:sty m:val="p"/>
            </m:rPr>
            <m:t>s</m:t>
          </m:r>
          <m:r>
            <m:rPr>
              <m:sty m:val="p"/>
            </m:rPr>
            <m:t>s</m:t>
          </m:r>
          <m:r>
            <m:rPr>
              <m:sty m:val="p"/>
            </m:rPr>
            <m:t>l</m:t>
          </m:r>
          <m:r>
            <m:rPr>
              <m:sty m:val="p"/>
            </m:rPr>
            <m:t>i</m:t>
          </m:r>
          <m:r>
            <m:rPr>
              <m:sty m:val="p"/>
            </m:rPr>
            <m:t>c</m:t>
          </m:r>
          <m:r>
            <m:rPr>
              <m:sty m:val="p"/>
            </m:rPr>
            <m:t>h</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u(t)\to0_{-}^{\mathsf{F}}\;\Longleftrightarrow\;\lim_{t\to0^{+}}u(t)=0\;\land\;u(t)&lt;0\ \mathrm{schliesslich}</w:t>
      </w:r>
    </w:p>
    <w:p>
      <w:pPr>
        <w:pStyle w:val="BodyText"/>
        <w:keepLines w:val="0"/>
      </w:pPr>
      <w:r>
        <w:t xml:space="preserve">Die Bezeichnung „schließlich“ bedeutet, dass die jeweilige Eigenschaft in einem hinreichend kleinen lokalen Intervall für sämtliche zulässigen Parameterwerte erfüllt ist. Ein gelegentlich positives Vorzeichen reicht dafür nicht aus. Ebenso ist eine Funktion, die unendlich oft zwischen positiven und negativen Werten wechselt, trotz eines möglicherweise vorhandenen gewöhnlichen Nullgrenzwerts nicht automatisch einer der gerichteten FRZK-Nullklassen zugeordnet.</w:t>
      </w:r>
    </w:p>
    <w:p>
      <w:pPr>
        <w:pStyle w:val="BodyText"/>
        <w:keepLines w:val="0"/>
      </w:pPr>
      <w:r>
        <w:t xml:space="preserve">Für unbegrenztes Wachstum verwende ich die gewöhnlichen Definitionen uneigentlicher Grenzwerte und ergänze diese um die einheitliche FRZK-Kennzeichnung. Das positive Unendlichkeitssymbol bedeutet, dass der Funktionswert jede feste reelle obere Schranke schließlich überschreitet; das negative Symbol ist entsprechend über beliebig kleine untere Schranken definiert.</w:t>
      </w:r>
    </w:p>
    <w:p>
      <w:pPr>
        <w:pStyle w:val="BodyText"/>
        <w:keepNext/>
        <w:keepLines w:val="0"/>
        <w:spacing w:before="180" w:after="40"/>
        <w:jc w:val="center"/>
      </w:pPr>
      <m:oMathPara>
        <m:oMathParaPr>
          <m:jc m:val="center"/>
        </m:oMathParaPr>
        <m:oMath>
          <m:r>
            <m:t>u</m:t>
          </m:r>
          <m:d>
            <m:dPr>
              <m:begChr m:val="("/>
              <m:endChr m:val=")"/>
              <m:sepChr m:val=""/>
              <m:grow/>
            </m:dPr>
            <m:e>
              <m:r>
                <m:t>t</m:t>
              </m:r>
            </m:e>
          </m:d>
          <m:r>
            <m:rPr>
              <m:sty m:val="p"/>
            </m:rPr>
            <m:t>→</m:t>
          </m:r>
          <m:sSubSup>
            <m:e>
              <m:r>
                <m:rPr>
                  <m:sty m:val="p"/>
                </m:rPr>
                <m:t>∞</m:t>
              </m:r>
            </m:e>
            <m:sub>
              <m:r>
                <m:rPr>
                  <m:sty m:val="p"/>
                </m:rPr>
                <m:t>+</m:t>
              </m:r>
            </m:sub>
            <m:sup>
              <m:r>
                <m:rPr>
                  <m:sty m:val="p"/>
                  <m:scr m:val="sans-serif"/>
                </m:rPr>
                <m:t>F</m:t>
              </m:r>
            </m:sup>
          </m:sSubSup>
          <m:r>
            <m:t> </m:t>
          </m:r>
          <m:r>
            <m:rPr>
              <m:sty m:val="p"/>
            </m:rPr>
            <m:t>⇔</m:t>
          </m:r>
          <m:r>
            <m:t> </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r>
            <m:rPr>
              <m:sty m:val="p"/>
            </m:rPr>
            <m:t>+</m:t>
          </m:r>
          <m:r>
            <m:rPr>
              <m:sty m:val="p"/>
            </m:rPr>
            <m:t>∞</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u(t)\to\infty_{+}^{\mathsf{F}}\;\Longleftrightarrow\;\lim_{t\to0^{+}}u(t)=+\infty</w:t>
      </w:r>
    </w:p>
    <w:p>
      <w:pPr>
        <w:pStyle w:val="BodyText"/>
        <w:keepNext/>
        <w:keepLines w:val="0"/>
        <w:spacing w:before="180" w:after="40"/>
        <w:jc w:val="center"/>
      </w:pPr>
      <m:oMathPara>
        <m:oMathParaPr>
          <m:jc m:val="center"/>
        </m:oMathParaPr>
        <m:oMath>
          <m:r>
            <m:t>u</m:t>
          </m:r>
          <m:d>
            <m:dPr>
              <m:begChr m:val="("/>
              <m:endChr m:val=")"/>
              <m:sepChr m:val=""/>
              <m:grow/>
            </m:dPr>
            <m:e>
              <m:r>
                <m:t>t</m:t>
              </m:r>
            </m:e>
          </m:d>
          <m:r>
            <m:rPr>
              <m:sty m:val="p"/>
            </m:rPr>
            <m:t>→</m:t>
          </m:r>
          <m:sSubSup>
            <m:e>
              <m:r>
                <m:rPr>
                  <m:sty m:val="p"/>
                </m:rPr>
                <m:t>∞</m:t>
              </m:r>
            </m:e>
            <m:sub>
              <m:r>
                <m:rPr>
                  <m:sty m:val="p"/>
                </m:rPr>
                <m:t>−</m:t>
              </m:r>
            </m:sub>
            <m:sup>
              <m:r>
                <m:rPr>
                  <m:sty m:val="p"/>
                  <m:scr m:val="sans-serif"/>
                </m:rPr>
                <m:t>F</m:t>
              </m:r>
            </m:sup>
          </m:sSubSup>
          <m:r>
            <m:t> </m:t>
          </m:r>
          <m:r>
            <m:rPr>
              <m:sty m:val="p"/>
            </m:rPr>
            <m:t>⇔</m:t>
          </m:r>
          <m:r>
            <m:t> </m:t>
          </m:r>
          <m:limLow>
            <m:e>
              <m:r>
                <m:rPr>
                  <m:sty m:val="p"/>
                </m:rPr>
                <m:t>lim</m:t>
              </m:r>
            </m:e>
            <m:lim>
              <m:r>
                <m:t>t</m:t>
              </m:r>
              <m:r>
                <m:rPr>
                  <m:sty m:val="p"/>
                </m:rPr>
                <m:t>→</m:t>
              </m:r>
              <m:sSup>
                <m:e>
                  <m:r>
                    <m:t>0</m:t>
                  </m:r>
                </m:e>
                <m:sup>
                  <m:r>
                    <m:rPr>
                      <m:sty m:val="p"/>
                    </m:rPr>
                    <m:t>+</m:t>
                  </m:r>
                </m:sup>
              </m:sSup>
            </m:lim>
          </m:limLow>
          <m:r>
            <m:t>u</m:t>
          </m:r>
          <m:d>
            <m:dPr>
              <m:begChr m:val="("/>
              <m:endChr m:val=")"/>
              <m:sepChr m:val=""/>
              <m:grow/>
            </m:dPr>
            <m:e>
              <m:r>
                <m:t>t</m:t>
              </m:r>
            </m:e>
          </m:d>
          <m:r>
            <m:rPr>
              <m:sty m:val="p"/>
            </m:rPr>
            <m:t>=</m:t>
          </m:r>
          <m:r>
            <m:rPr>
              <m:sty m:val="p"/>
            </m:rPr>
            <m:t>−</m:t>
          </m:r>
          <m:r>
            <m:rPr>
              <m:sty m:val="p"/>
            </m:rPr>
            <m:t>∞</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u(t)\to\infty_{-}^{\mathsf{F}}\;\Longleftrightarrow\;\lim_{t\to0^{+}}u(t)=-\infty</w:t>
      </w:r>
    </w:p>
    <w:p>
      <w:pPr>
        <w:pStyle w:val="BodyText"/>
        <w:keepLines w:val="0"/>
      </w:pPr>
      <w:r>
        <w:t xml:space="preserve">Diese Definitionen legen die qualitative Bedeutung der vier Symbole eindeutig fest. Sie enthalten jedoch keine Information darüber, wie schnell die Funktion gegen null strebt oder unbegrenzt wächst. Beispielsweise werden unterschiedliche positive Potenzen eines gegen null strebenden Parameters derselben gerichteten Nullklasse zugeordnet, obwohl sich ihre relativen Größen erheblich unterscheiden können. Die Klärung der hieraus entstehenden Rechengrenzen erfolgt zunächst über die funktionale Herkunft und später über asymptotische Zusatzdaten.</w:t>
      </w:r>
    </w:p>
    <w:p>
      <w:pPr>
        <w:pStyle w:val="BodyText"/>
        <w:keepLines w:val="0"/>
      </w:pPr>
      <w:r>
        <w:t xml:space="preserve">Die FRZK-Kennzeichnung darf nicht mit dem Vorzeichen des Grenzparameters verwechselt werden. Ein positiver Grenzparameter kann durch eine geeignete Substitution sowohl eine rechts- als auch eine linksseitige Annäherung der ursprünglichen unabhängigen Variablen beschreiben. Das tiefgestellte Vorzeichen am FRZK-Symbol bezeichnet dagegen stets das Vorzeichen beziehungsweise die Richtung der klassifizierten Funktionswerte. Auf diese Weise bleiben Annäherungsrichtung der Eingangsvariablen und Vorzeichen des Ergebnisses voneinander unterscheidbar.</w:t>
      </w:r>
    </w:p>
    <w:bookmarkEnd w:id="21"/>
    <w:bookmarkStart w:id="22" w:name="Xb95dada99a44747a34bfb08799f58f30e191b3d"/>
    <w:p>
      <w:pPr>
        <w:pStyle w:val="Heading2"/>
        <w:keepNext/>
      </w:pPr>
      <w:r>
        <w:t xml:space="preserve">2.1.3 Exakte Null, gerichtete Null und Nullvektor</w:t>
      </w:r>
    </w:p>
    <w:p>
      <w:pPr>
        <w:pStyle w:val="FirstParagraph"/>
        <w:keepLines w:val="0"/>
      </w:pPr>
      <w:r>
        <w:t xml:space="preserve">Für die mathematische Konsistenz unterscheide ich die beiden gerichteten Nullsymbole ausdrücklich von der exakten Null. Eine positive oder negative Nullannäherung bezeichnet einen Funktionsverlauf, der in der betrachteten lokalen Umgebung von null verschieden bleibt und erst im Grenzübergang den gewöhnlichen Grenzwert null besitzt. Die exakte Null bezeichnet demgegenüber eine Funktion, deren Werte in einer hinreichend kleinen Umgebung des Grenzpunktes bereits identisch null sind. Diese Unterscheidung ist erforderlich, weil algebraische Identitäten andere Informationen enthalten als eine bloße Grenzklassifikation.</w:t>
      </w:r>
    </w:p>
    <w:p>
      <w:pPr>
        <w:pStyle w:val="BodyText"/>
        <w:keepNext/>
        <w:keepLines w:val="0"/>
        <w:spacing w:before="180" w:after="40"/>
        <w:jc w:val="center"/>
      </w:pPr>
      <m:oMathPara>
        <m:oMathParaPr>
          <m:jc m:val="center"/>
        </m:oMathParaPr>
        <m:oMath>
          <m:r>
            <m:t>u</m:t>
          </m:r>
          <m:d>
            <m:dPr>
              <m:begChr m:val="("/>
              <m:endChr m:val=")"/>
              <m:sepChr m:val=""/>
              <m:grow/>
            </m:dPr>
            <m:e>
              <m:r>
                <m:t>t</m:t>
              </m:r>
            </m:e>
          </m:d>
          <m:r>
            <m:rPr>
              <m:sty m:val="p"/>
            </m:rPr>
            <m:t>=</m:t>
          </m:r>
          <m:r>
            <m:t>0</m:t>
          </m:r>
          <m:r>
            <m:t> </m:t>
          </m:r>
          <m:r>
            <m:rPr>
              <m:sty m:val="p"/>
            </m:rPr>
            <m:t>s</m:t>
          </m:r>
          <m:r>
            <m:rPr>
              <m:sty m:val="p"/>
            </m:rPr>
            <m:t>c</m:t>
          </m:r>
          <m:r>
            <m:rPr>
              <m:sty m:val="p"/>
            </m:rPr>
            <m:t>h</m:t>
          </m:r>
          <m:r>
            <m:rPr>
              <m:sty m:val="p"/>
            </m:rPr>
            <m:t>l</m:t>
          </m:r>
          <m:r>
            <m:rPr>
              <m:sty m:val="p"/>
            </m:rPr>
            <m:t>i</m:t>
          </m:r>
          <m:r>
            <m:rPr>
              <m:sty m:val="p"/>
            </m:rPr>
            <m:t>e</m:t>
          </m:r>
          <m:r>
            <m:rPr>
              <m:sty m:val="p"/>
            </m:rPr>
            <m:t>s</m:t>
          </m:r>
          <m:r>
            <m:rPr>
              <m:sty m:val="p"/>
            </m:rPr>
            <m:t>s</m:t>
          </m:r>
          <m:r>
            <m:rPr>
              <m:sty m:val="p"/>
            </m:rPr>
            <m:t>l</m:t>
          </m:r>
          <m:r>
            <m:rPr>
              <m:sty m:val="p"/>
            </m:rPr>
            <m:t>i</m:t>
          </m:r>
          <m:r>
            <m:rPr>
              <m:sty m:val="p"/>
            </m:rPr>
            <m:t>c</m:t>
          </m:r>
          <m:r>
            <m:rPr>
              <m:sty m:val="p"/>
            </m:rPr>
            <m:t>h</m:t>
          </m:r>
          <m:r>
            <m:t> </m:t>
          </m:r>
          <m:r>
            <m:rPr>
              <m:sty m:val="p"/>
            </m:rPr>
            <m:t>⇒</m:t>
          </m:r>
          <m:r>
            <m:t> </m:t>
          </m:r>
          <m:sSub>
            <m:e>
              <m:r>
                <m:t>σ</m:t>
              </m:r>
            </m:e>
            <m:sub>
              <m:r>
                <m:rPr>
                  <m:sty m:val="p"/>
                  <m:scr m:val="sans-serif"/>
                </m:rPr>
                <m:t>F</m:t>
              </m:r>
            </m:sub>
          </m:sSub>
          <m:d>
            <m:dPr>
              <m:begChr m:val="("/>
              <m:endChr m:val=")"/>
              <m:sepChr m:val=""/>
              <m:grow/>
            </m:dPr>
            <m:e>
              <m:r>
                <m:t>u</m:t>
              </m:r>
            </m:e>
          </m:d>
          <m:r>
            <m:rPr>
              <m:sty m:val="p"/>
            </m:rPr>
            <m:t>=</m:t>
          </m:r>
          <m:r>
            <m:t>0</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u(t)=0\ \mathrm{schliesslich}\quad\Longrightarrow\quad\sigma_{\mathsf{F}}(u)=0</w:t>
      </w:r>
    </w:p>
    <w:p>
      <w:pPr>
        <w:pStyle w:val="BodyText"/>
        <w:keepLines w:val="0"/>
      </w:pPr>
      <w:r>
        <w:t xml:space="preserve">Das Symbol ohne hochgestellten Systemindex kennzeichnet in diesem Zusammenhang die gewöhnliche exakte Null. Die beiden gerichteten Nullsymbole sind dagegen zusätzliche typisierte Beschreibungen von Annäherungen, deren reeller Grenzwert ebenfalls null ist. Die symbolische Verschiedenheit ist daher nicht mit der Behauptung zu verwechseln, in der klassischen Analysis existierten mehrere verschiedene reelle Zahlenwerte null.</w:t>
      </w:r>
    </w:p>
    <w:p>
      <w:pPr>
        <w:pStyle w:val="BodyText"/>
        <w:keepNext/>
        <w:keepLines w:val="0"/>
        <w:spacing w:before="180" w:after="40"/>
        <w:jc w:val="center"/>
      </w:pPr>
      <m:oMathPara>
        <m:oMathParaPr>
          <m:jc m:val="center"/>
        </m:oMathParaPr>
        <m:oMath>
          <m:r>
            <m:t>0</m:t>
          </m:r>
          <m:r>
            <m:t> </m:t>
          </m:r>
          <m:r>
            <m:rPr>
              <m:sty m:val="p"/>
            </m:rPr>
            <m:t>≢</m:t>
          </m:r>
          <m:r>
            <m:t> </m:t>
          </m:r>
          <m:sSubSup>
            <m:e>
              <m:r>
                <m:t>0</m:t>
              </m:r>
            </m:e>
            <m:sub>
              <m:r>
                <m:rPr>
                  <m:sty m:val="p"/>
                </m:rPr>
                <m:t>+</m:t>
              </m:r>
            </m:sub>
            <m:sup>
              <m:r>
                <m:rPr>
                  <m:sty m:val="p"/>
                  <m:scr m:val="sans-serif"/>
                </m:rPr>
                <m:t>F</m:t>
              </m:r>
            </m:sup>
          </m:sSubSup>
          <m:r>
            <m:rPr>
              <m:sty m:val="p"/>
            </m:rPr>
            <m:t>,</m:t>
          </m:r>
          <m:r>
            <m:t>  </m:t>
          </m:r>
          <m:r>
            <m:t>0</m:t>
          </m:r>
          <m:r>
            <m:t> </m:t>
          </m:r>
          <m:r>
            <m:rPr>
              <m:sty m:val="p"/>
            </m:rPr>
            <m:t>≢</m:t>
          </m:r>
          <m:r>
            <m:t> </m:t>
          </m:r>
          <m:sSubSup>
            <m:e>
              <m:r>
                <m:t>0</m:t>
              </m:r>
            </m:e>
            <m:sub>
              <m:r>
                <m:rPr>
                  <m:sty m:val="p"/>
                </m:rPr>
                <m:t>−</m:t>
              </m:r>
            </m:sub>
            <m:sup>
              <m:r>
                <m:rPr>
                  <m:sty m:val="p"/>
                  <m:scr m:val="sans-serif"/>
                </m:rPr>
                <m:t>F</m:t>
              </m:r>
            </m:sup>
          </m:sSubSup>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0\;\not\equiv\;0_{+}^{\mathsf{F}},\qquad 0\;\not\equiv\;0_{-}^{\mathsf{F}}</w:t>
      </w:r>
    </w:p>
    <w:p>
      <w:pPr>
        <w:pStyle w:val="BodyText"/>
        <w:keepLines w:val="0"/>
      </w:pPr>
      <w:r>
        <w:t xml:space="preserve">Gerade die Unterscheidung zwischen exakter Null und gerichteter Nullannäherung verhindert eine häufige Fehldeutung algebraischer Umformungen. Wenn sich zwei identische Funktionsterme gegenseitig aufheben, entsteht die exakt verschwindende Funktion. Wenn dagegen zwei verschieden große, aber jeweils gegen null strebende Funktionen subtrahiert werden, kann das Ergebnis von der positiven oder negativen Seite gegen null streben. Die bloße Übereinstimmung der gerichteten Ausgangssymbole rechtfertigt deshalb keine vollständige algebraische Gleichsetzung der zugrunde liegenden Funktionsverläufe.</w:t>
      </w:r>
    </w:p>
    <w:p>
      <w:pPr>
        <w:pStyle w:val="BodyText"/>
        <w:keepLines w:val="0"/>
      </w:pPr>
      <w:r>
        <w:t xml:space="preserve">Vom skalaren Nullbegriff unterscheide ich ferner den Nullvektor. Der Nullvektor ist das additive neutrale Element eines zuvor festgelegten Vektorraums und besitzt als solcher eine andere mathematische Rolle als ein skalarer Grenzzustand. Seine Dimension und seine Koordinatendarstellung hängen vom verwendeten Vektorraum und vom gewählten Bezugssystem ab. Eine gerichtete skalare Nullannäherung darf daher weder als Nullvektor bezeichnet noch ohne eine ausdrücklich definierte Abbildung mit ihm identifiziert werden.</w:t>
      </w:r>
    </w:p>
    <w:p>
      <w:pPr>
        <w:pStyle w:val="BodyText"/>
        <w:keepNext/>
        <w:keepLines w:val="0"/>
        <w:spacing w:before="180" w:after="40"/>
        <w:jc w:val="center"/>
      </w:pPr>
      <m:oMathPara>
        <m:oMathParaPr>
          <m:jc m:val="center"/>
        </m:oMathParaPr>
        <m:oMath>
          <m:sSub>
            <m:e>
              <m:r>
                <m:rPr>
                  <m:sty m:val="b"/>
                </m:rPr>
                <m:t>0</m:t>
              </m:r>
            </m:e>
            <m:sub>
              <m:r>
                <m:t>V</m:t>
              </m:r>
            </m:sub>
          </m:sSub>
          <m:r>
            <m:rPr>
              <m:sty m:val="p"/>
            </m:rPr>
            <m:t>+</m:t>
          </m:r>
          <m:r>
            <m:rPr>
              <m:sty m:val="b"/>
            </m:rPr>
            <m:t>v</m:t>
          </m:r>
          <m:r>
            <m:rPr>
              <m:sty m:val="p"/>
            </m:rPr>
            <m:t>=</m:t>
          </m:r>
          <m:r>
            <m:rPr>
              <m:sty m:val="b"/>
            </m:rPr>
            <m:t>v</m:t>
          </m:r>
          <m:r>
            <m:t>  </m:t>
          </m:r>
          <m:d>
            <m:dPr>
              <m:begChr m:val="("/>
              <m:endChr m:val=")"/>
              <m:sepChr m:val=""/>
              <m:grow/>
            </m:dPr>
            <m:e>
              <m:r>
                <m:rPr>
                  <m:sty m:val="b"/>
                </m:rPr>
                <m:t>v</m:t>
              </m:r>
              <m:r>
                <m:rPr>
                  <m:sty m:val="p"/>
                </m:rPr>
                <m:t>∈</m:t>
              </m:r>
              <m:r>
                <m:t>V</m:t>
              </m:r>
            </m:e>
          </m:d>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\mathbf{0}_{V}+\mathbf{v}=\mathbf{v}\qquad(\mathbf{v}\in V)</w:t>
      </w:r>
    </w:p>
    <w:p>
      <w:pPr>
        <w:pStyle w:val="BodyText"/>
        <w:keepLines w:val="0"/>
      </w:pPr>
      <w:r>
        <w:t xml:space="preserve">Die im FRZK geforderte orthogonale Ausgangsorientierung im Grenzzustand null ist hiervon wiederum zu unterscheiden. Sie legt nicht schon durch die vier skalaren Grenzsymbole eine konkrete Geometrie fest. Insbesondere ist Orthogonalität nur dann eine mathematisch überprüfbare Bedingung, wenn ein Raum, ein geeigneter Orthogonalitätsbegriff sowie die betroffenen Ausgangsrichtungen ausdrücklich bestimmt wurden. Die leere Menge oder der Nullvektor allein liefern keine ausgezeichneten Achsen.</w:t>
      </w:r>
    </w:p>
    <w:p>
      <w:pPr>
        <w:pStyle w:val="BodyText"/>
        <w:keepLines w:val="0"/>
      </w:pPr>
      <w:r>
        <w:t xml:space="preserve">Ich halte deshalb fest, dass eine orthogonale Ausgangsorientierung im FRZK als zusätzliche geometrische Ausgangsbedingung zu präzisieren ist, während die spätere Geometrie der modellierten funktionalen Zusammenhänge nicht vorab auf eine bestimmte Form beschränkt wird. Für die vorliegende skalare Grenzsymbolik ist keine Orthogonalitätsannahme erforderlich. Sie betrifft eine spätere, gesondert zu begründende geometrische Darstellungsebene und darf die hier definierten Rechenregeln weder stillschweigend ersetzen noch erweitern.</w:t>
      </w:r>
    </w:p>
    <w:bookmarkEnd w:id="22"/>
    <w:bookmarkStart w:id="23" w:name="Xa1b2645b9928996d6fdaaf4a8a33f7e7b1ae948"/>
    <w:p>
      <w:pPr>
        <w:pStyle w:val="Heading2"/>
        <w:keepNext/>
      </w:pPr>
      <w:r>
        <w:t xml:space="preserve">2.1.4 Funktionale Grenzbereiche und Klassifikation</w:t>
      </w:r>
    </w:p>
    <w:p>
      <w:pPr>
        <w:pStyle w:val="FirstParagraph"/>
        <w:keepLines w:val="0"/>
      </w:pPr>
      <w:r>
        <w:rPr>
          <w:sz w:val="18"/>
        </w:rPr>
        <w:t xml:space="preserve">Damit FRZK-Symbole als mathematische Rechenobjekte verwendet werden können, muss ihre Zuordnung zu reellen Funktionen eindeutig geregelt sein. Ich betrachte dafür lokale Funktionsverläufe, die in einem gemeinsamen Grenzbereich definiert sind. Zwei solche Funktionen können für die lokale Untersuchung als gleich gelten, wenn sie für alle hinreichend kleinen positiven Parameterwerte übereinstimmen. Die mathematische Idee entspricht dem etablierten Begriff eines Funktionskeims, bei dem nur das Verhalten in einer hinreichend kleinen Umgebung des betrachteten Punktes maßgeblich ist. {[Encyclopedia of Mathematics (o. J.): „Germ“, Definition lokaler Funktionskeime und ihrer Äquivalenzklassen.]}[[2]]</w:t>
      </w:r>
    </w:p>
    <w:p>
      <w:pPr>
        <w:pStyle w:val="BodyText"/>
        <w:keepNext/>
        <w:keepLines w:val="0"/>
        <w:spacing w:before="180" w:after="40"/>
        <w:jc w:val="center"/>
      </w:pPr>
      <m:oMathPara>
        <m:oMathParaPr>
          <m:jc m:val="center"/>
        </m:oMathParaPr>
        <m:oMath>
          <m:r>
            <m:t>u</m:t>
          </m:r>
          <m:sSub>
            <m:e>
              <m:r>
                <m:rPr>
                  <m:sty m:val="p"/>
                </m:rPr>
                <m:t>∼</m:t>
              </m:r>
            </m:e>
            <m:sub>
              <m:r>
                <m:rPr>
                  <m:sty m:val="p"/>
                </m:rPr>
                <m:t>l</m:t>
              </m:r>
              <m:r>
                <m:rPr>
                  <m:sty m:val="p"/>
                </m:rPr>
                <m:t>o</m:t>
              </m:r>
              <m:r>
                <m:rPr>
                  <m:sty m:val="p"/>
                </m:rPr>
                <m:t>k</m:t>
              </m:r>
            </m:sub>
          </m:sSub>
          <m:r>
            <m:t>v</m:t>
          </m:r>
          <m:r>
            <m:t> </m:t>
          </m:r>
          <m:r>
            <m:rPr>
              <m:sty m:val="p"/>
            </m:rPr>
            <m:t>⇔</m:t>
          </m:r>
          <m:r>
            <m:t> </m:t>
          </m:r>
          <m:r>
            <m:rPr>
              <m:sty m:val="p"/>
            </m:rPr>
            <m:t>∃</m:t>
          </m:r>
          <m:r>
            <m:t>δ</m:t>
          </m:r>
          <m:r>
            <m:rPr>
              <m:sty m:val="p"/>
            </m:rPr>
            <m:t>&gt;</m:t>
          </m:r>
          <m:r>
            <m:t>0</m:t>
          </m:r>
          <m:r>
            <m:t> </m:t>
          </m:r>
          <m:r>
            <m:rPr>
              <m:sty m:val="p"/>
            </m:rPr>
            <m:t>∀</m:t>
          </m:r>
          <m:r>
            <m:t>t</m:t>
          </m:r>
          <m:r>
            <m:rPr>
              <m:sty m:val="p"/>
            </m:rPr>
            <m:t>∈</m:t>
          </m:r>
          <m:d>
            <m:dPr>
              <m:begChr m:val="("/>
              <m:endChr m:val=")"/>
              <m:sepChr m:val=""/>
              <m:grow/>
            </m:dPr>
            <m:e>
              <m:r>
                <m:t>0</m:t>
              </m:r>
              <m:r>
                <m:rPr>
                  <m:sty m:val="p"/>
                </m:rPr>
                <m:t>,</m:t>
              </m:r>
              <m:r>
                <m:t>δ</m:t>
              </m:r>
            </m:e>
          </m:d>
          <m:r>
            <m:rPr>
              <m:sty m:val="p"/>
            </m:rPr>
            <m:t>:</m:t>
          </m:r>
          <m:r>
            <m:t> </m:t>
          </m:r>
          <m:r>
            <m:t>u</m:t>
          </m:r>
          <m:d>
            <m:dPr>
              <m:begChr m:val="("/>
              <m:endChr m:val=")"/>
              <m:sepChr m:val=""/>
              <m:grow/>
            </m:dPr>
            <m:e>
              <m:r>
                <m:t>t</m:t>
              </m:r>
            </m:e>
          </m:d>
          <m:r>
            <m:rPr>
              <m:sty m:val="p"/>
            </m:rPr>
            <m:t>=</m:t>
          </m:r>
          <m:r>
            <m:t>v</m:t>
          </m:r>
          <m:d>
            <m:dPr>
              <m:begChr m:val="("/>
              <m:endChr m:val=")"/>
              <m:sepChr m:val=""/>
              <m:grow/>
            </m:dPr>
            <m:e>
              <m:r>
                <m:t>t</m:t>
              </m:r>
            </m:e>
          </m:d>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u\sim_{\mathrm{lok}}v\;\Longleftrightarrow\;\exists\delta&gt;0\;\forall t\in(0,\delta):\;u(t)=v(t)</w:t>
      </w:r>
    </w:p>
    <w:p>
      <w:pPr>
        <w:pStyle w:val="BodyText"/>
        <w:keepLines w:val="0"/>
      </w:pPr>
      <w:r>
        <w:t xml:space="preserve">Auf dieser Grundlage führe ich eine partielle Klassifikationsabbildung ein. Sie ordnet einem ausreichend eindeutig charakterisierten lokalen Funktionsverlauf seinen gerichteten FRZK-Grenzzustand oder seinen gewöhnlichen endlichen Grenzwert zu. Der Definitionsbereich der Klassifikation umfasst gerade die Funktionen, für die eine der vorstehend beschriebenen Klassen feststeht; Funktionen mit nicht eindeutig gerichteter Nullannäherung bleiben gegebenenfalls außerhalb dieses Bereichs. Die Abbildung stellt damit keine behauptete vollständige Klassifikation sämtlicher reellen Grenzprozesse dar.</w:t>
      </w:r>
    </w:p>
    <w:p>
      <w:pPr>
        <w:pStyle w:val="BodyText"/>
        <w:keepNext/>
        <w:keepLines w:val="0"/>
        <w:spacing w:before="180" w:after="40"/>
        <w:jc w:val="center"/>
      </w:pPr>
      <m:oMathPara>
        <m:oMathParaPr>
          <m:jc m:val="center"/>
        </m:oMathParaPr>
        <m:oMath>
          <m:sSub>
            <m:e>
              <m:r>
                <m:t>σ</m:t>
              </m:r>
            </m:e>
            <m:sub>
              <m:r>
                <m:rPr>
                  <m:sty m:val="p"/>
                  <m:scr m:val="sans-serif"/>
                </m:rPr>
                <m:t>F</m:t>
              </m:r>
            </m:sub>
          </m:sSub>
          <m:r>
            <m:rPr>
              <m:sty m:val="p"/>
            </m:rPr>
            <m:t>:</m:t>
          </m:r>
          <m:sSub>
            <m:e>
              <m:r>
                <m:rPr>
                  <m:sty m:val="p"/>
                  <m:scr m:val="script"/>
                </m:rPr>
                <m:t>G</m:t>
              </m:r>
            </m:e>
            <m:sub>
              <m:r>
                <m:rPr>
                  <m:sty m:val="p"/>
                  <m:scr m:val="sans-serif"/>
                </m:rPr>
                <m:t>F</m:t>
              </m:r>
            </m:sub>
          </m:sSub>
          <m:r>
            <m:rPr>
              <m:sty m:val="p"/>
            </m:rPr>
            <m:t>→</m:t>
          </m:r>
          <m:r>
            <m:rPr>
              <m:sty m:val="p"/>
              <m:scr m:val="double-struck"/>
            </m:rPr>
            <m:t>R</m:t>
          </m:r>
          <m:r>
            <m:rPr>
              <m:sty m:val="p"/>
            </m:rPr>
            <m:t>∪</m:t>
          </m:r>
          <m:sSub>
            <m:e>
              <m:r>
                <m:rPr>
                  <m:sty m:val="p"/>
                  <m:scr m:val="script"/>
                </m:rPr>
                <m:t>S</m:t>
              </m:r>
            </m:e>
            <m:sub>
              <m:r>
                <m:rPr>
                  <m:sty m:val="p"/>
                  <m:scr m:val="sans-serif"/>
                </m:rPr>
                <m:t>F</m:t>
              </m:r>
            </m:sub>
          </m:sSub>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\sigma_{\mathsf{F}}:\mathcal{G}_{\mathsf{F}}\longrightarrow\mathbb{R}\cup\mathcal{S}_{\mathsf{F}}</w:t>
      </w:r>
    </w:p>
    <w:p>
      <w:pPr>
        <w:pStyle w:val="BodyText"/>
        <w:keepLines w:val="0"/>
      </w:pPr>
      <w:r>
        <w:t xml:space="preserve">Hier bezeichnet die Funktionsklasse im Definitionsbereich die Menge jener lokalen Verläufe, für die ich die FRZK-Klassifikation als eindeutig festlege. Gewöhnliche endliche Grenzwerte werden als reelle Zahlen abgebildet, mit der zusätzlichen Konvention, dass die exakte Nullfunktion dem gewöhnlichen Wert null zugeordnet wird. Eine nicht exakt verschwindende Funktion mit einem Nullgrenzwert erhält dagegen nur dann eines der beiden gerichteten Nullsymbole, wenn sie schließlich das entsprechende strikte Vorzeichen besitzt. Fehlt diese Voraussetzung, ist die hier definierte Klassifikation nicht verfügbar.</w:t>
      </w:r>
    </w:p>
    <w:p>
      <w:pPr>
        <w:pStyle w:val="BodyText"/>
        <w:keepLines w:val="0"/>
      </w:pPr>
      <w:r>
        <w:t xml:space="preserve">Zur Verdeutlichung untersuche ich einen positiven Grenzparameter und sein Quadrat. Beide Funktionen nähern sich der Null von oben und gehören daher derselben gerichteten FRZK-Klasse an.</w:t>
      </w:r>
    </w:p>
    <w:p>
      <w:pPr>
        <w:pStyle w:val="BodyText"/>
        <w:keepNext/>
        <w:keepLines w:val="0"/>
        <w:spacing w:before="180" w:after="40"/>
        <w:jc w:val="center"/>
      </w:pPr>
      <m:oMathPara>
        <m:oMathParaPr>
          <m:jc m:val="center"/>
        </m:oMathParaPr>
        <m:oMath>
          <m:sSub>
            <m:e>
              <m:r>
                <m:t>σ</m:t>
              </m:r>
            </m:e>
            <m:sub>
              <m:r>
                <m:rPr>
                  <m:sty m:val="p"/>
                  <m:scr m:val="sans-serif"/>
                </m:rPr>
                <m:t>F</m:t>
              </m:r>
            </m:sub>
          </m:sSub>
          <m:d>
            <m:dPr>
              <m:begChr m:val="("/>
              <m:endChr m:val=")"/>
              <m:sepChr m:val=""/>
              <m:grow/>
            </m:dPr>
            <m:e>
              <m:r>
                <m:t>t</m:t>
              </m:r>
            </m:e>
          </m:d>
          <m:r>
            <m:rPr>
              <m:sty m:val="p"/>
            </m:rPr>
            <m:t>=</m:t>
          </m:r>
          <m:sSub>
            <m:e>
              <m:r>
                <m:t>σ</m:t>
              </m:r>
            </m:e>
            <m:sub>
              <m:r>
                <m:rPr>
                  <m:sty m:val="p"/>
                  <m:scr m:val="sans-serif"/>
                </m:rPr>
                <m:t>F</m:t>
              </m:r>
            </m:sub>
          </m:sSub>
          <m:d>
            <m:dPr>
              <m:begChr m:val="("/>
              <m:endChr m:val=")"/>
              <m:sepChr m:val=""/>
              <m:grow/>
            </m:dPr>
            <m:e>
              <m:sSup>
                <m:e>
                  <m:r>
                    <m:t>t</m:t>
                  </m:r>
                </m:e>
                <m:sup>
                  <m:r>
                    <m:t>2</m:t>
                  </m:r>
                </m:sup>
              </m:sSup>
            </m:e>
          </m:d>
          <m:r>
            <m:rPr>
              <m:sty m:val="p"/>
            </m:rPr>
            <m:t>=</m:t>
          </m:r>
          <m:sSubSup>
            <m:e>
              <m:r>
                <m:t>0</m:t>
              </m:r>
            </m:e>
            <m:sub>
              <m:r>
                <m:rPr>
                  <m:sty m:val="p"/>
                </m:rPr>
                <m:t>+</m:t>
              </m:r>
            </m:sub>
            <m:sup>
              <m:r>
                <m:rPr>
                  <m:sty m:val="p"/>
                  <m:scr m:val="sans-serif"/>
                </m:rPr>
                <m:t>F</m:t>
              </m:r>
            </m:sup>
          </m:sSubSup>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\sigma_{\mathsf{F}}(t)=\sigma_{\mathsf{F}}(t^{2})=0_{+}^{\mathsf{F}}</w:t>
      </w:r>
    </w:p>
    <w:p>
      <w:pPr>
        <w:pStyle w:val="BodyText"/>
        <w:keepLines w:val="0"/>
      </w:pPr>
      <w:r>
        <w:rPr>
          <w:sz w:val="18"/>
        </w:rPr>
        <w:t xml:space="preserve">Trotz dieser Übereinstimmung ist das Verhältnis der Funktionen keineswegs durch ihre gemeinsame Grenzklasse bestimmt. Die erste Funktion verschwindet wesentlich langsamer als die zweite. Die Unterscheidung lässt sich beispielsweise durch die asymptotische Vergleichsmethode der klassischen Analysis erfassen, welche das Verhalten des Quotienten gegenüber einem Vergleichsterm untersucht. {[NIST (o. J.): Digital Library of Mathematical Functions, Abschnitt 2.1(i), „Asymptotic and Order Symbols“.]}[[1]]</w:t>
      </w:r>
    </w:p>
    <w:p>
      <w:pPr>
        <w:pStyle w:val="BodyText"/>
        <w:keepNext/>
        <w:keepLines w:val="0"/>
        <w:spacing w:before="180" w:after="40"/>
        <w:jc w:val="center"/>
      </w:pPr>
      <m:oMathPara>
        <m:oMathParaPr>
          <m:jc m:val="center"/>
        </m:oMathParaPr>
        <m:oMath>
          <m:limLow>
            <m:e>
              <m:r>
                <m:rPr>
                  <m:sty m:val="p"/>
                </m:rPr>
                <m:t>lim</m:t>
              </m:r>
            </m:e>
            <m:lim>
              <m:r>
                <m:t>t</m:t>
              </m:r>
              <m:r>
                <m:rPr>
                  <m:sty m:val="p"/>
                </m:rPr>
                <m:t>→</m:t>
              </m:r>
              <m:sSup>
                <m:e>
                  <m:r>
                    <m:t>0</m:t>
                  </m:r>
                </m:e>
                <m:sup>
                  <m:r>
                    <m:rPr>
                      <m:sty m:val="p"/>
                    </m:rPr>
                    <m:t>+</m:t>
                  </m:r>
                </m:sup>
              </m:sSup>
            </m:lim>
          </m:limLow>
          <m:f>
            <m:fPr>
              <m:type m:val="bar"/>
            </m:fPr>
            <m:num>
              <m:sSup>
                <m:e>
                  <m:r>
                    <m:t>t</m:t>
                  </m:r>
                </m:e>
                <m:sup>
                  <m:r>
                    <m:t>2</m:t>
                  </m:r>
                </m:sup>
              </m:sSup>
            </m:num>
            <m:den>
              <m:r>
                <m:t>t</m:t>
              </m:r>
            </m:den>
          </m:f>
          <m:r>
            <m:rPr>
              <m:sty m:val="p"/>
            </m:rPr>
            <m:t>=</m:t>
          </m:r>
          <m:r>
            <m:t>0</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\lim_{t\to0^{+}}\frac{t^{2}}{t}=0</w:t>
      </w:r>
    </w:p>
    <w:p>
      <w:pPr>
        <w:pStyle w:val="BodyText"/>
        <w:keepLines w:val="0"/>
      </w:pPr>
      <w:r>
        <w:t xml:space="preserve">Damit steht fest, dass die FRZK-Klassifikation bewusst Informationen reduziert. Für einfache Richtungsentscheidungen kann diese Reduktion genügen. Für spätere Quotienten oder Differenzen kann sie dagegen gerade diejenigen Angaben entfernen, die für die Berechnung erforderlich sind. Ich halte deshalb am vollständigen ursprünglichen Funktionsterm und an der Definition des Grenzbereichs fest, solange nicht nachgewiesen ist, dass die reduzierte Darstellung für den nächsten Rechenschritt ausreicht.</w:t>
      </w:r>
    </w:p>
    <w:p>
      <w:pPr>
        <w:pStyle w:val="BodyText"/>
        <w:keepLines w:val="0"/>
      </w:pPr>
      <w:r>
        <w:t xml:space="preserve">Die Wahl eines positiven Standardparameters ist keine inhaltliche Beschränkung auf Grenzprozesse an der Stelle null. Ein rechtsseitiger oder linksseitiger Grenzwert an einer beliebigen endlichen Stelle kann durch eine geeignete Substitution auf den positiven Parameter zurückgeführt werden. Ebenso können Grenzprozesse beim Wachstum der ursprünglichen unabhängigen Variablen ins Unendliche durch eine Kehrwertsubstitution behandelt werden. Entscheidend bleibt, dass die jeweilige Transformation dokumentiert wird und die ursprüngliche Annäherungsrichtung nicht verloren geht.</w:t>
      </w:r>
    </w:p>
    <w:p>
      <w:pPr>
        <w:pStyle w:val="BodyText"/>
        <w:keepNext/>
        <w:keepLines w:val="0"/>
        <w:spacing w:before="180" w:after="40"/>
        <w:jc w:val="center"/>
      </w:pPr>
      <m:oMathPara>
        <m:oMathParaPr>
          <m:jc m:val="center"/>
        </m:oMathParaPr>
        <m:oMath>
          <m:r>
            <m:t>t</m:t>
          </m:r>
          <m:r>
            <m:rPr>
              <m:sty m:val="p"/>
            </m:rPr>
            <m:t>=</m:t>
          </m:r>
          <m:f>
            <m:fPr>
              <m:type m:val="bar"/>
            </m:fPr>
            <m:num>
              <m:r>
                <m:t>1</m:t>
              </m:r>
            </m:num>
            <m:den>
              <m:r>
                <m:t>x</m:t>
              </m:r>
            </m:den>
          </m:f>
          <m:r>
            <m:rPr>
              <m:sty m:val="p"/>
            </m:rPr>
            <m:t>,</m:t>
          </m:r>
          <m:r>
            <m:t>  </m:t>
          </m:r>
          <m:r>
            <m:t>x</m:t>
          </m:r>
          <m:r>
            <m:rPr>
              <m:sty m:val="p"/>
            </m:rPr>
            <m:t>→</m:t>
          </m:r>
          <m:r>
            <m:rPr>
              <m:sty m:val="p"/>
            </m:rPr>
            <m:t>+</m:t>
          </m:r>
          <m:r>
            <m:rPr>
              <m:sty m:val="p"/>
            </m:rPr>
            <m:t>∞</m:t>
          </m:r>
          <m:r>
            <m:t> </m:t>
          </m:r>
          <m:r>
            <m:rPr>
              <m:sty m:val="p"/>
            </m:rPr>
            <m:t>⇒</m:t>
          </m:r>
          <m:r>
            <m:t> </m:t>
          </m:r>
          <m:r>
            <m:t>t</m:t>
          </m:r>
          <m:r>
            <m:rPr>
              <m:sty m:val="p"/>
            </m:rPr>
            <m:t>→</m:t>
          </m:r>
          <m:sSup>
            <m:e>
              <m:r>
                <m:t>0</m:t>
              </m:r>
            </m:e>
            <m:sup>
              <m:r>
                <m:rPr>
                  <m:sty m:val="p"/>
                </m:rPr>
                <m:t>+</m:t>
              </m:r>
            </m:sup>
          </m:sSup>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t=\frac{1}{x},\qquad x\to+\infty\;\Longrightarrow\;t\to0^{+}</w:t>
      </w:r>
    </w:p>
    <w:p>
      <w:pPr>
        <w:pStyle w:val="BodyText"/>
        <w:keepLines w:val="0"/>
      </w:pPr>
      <w:r>
        <w:t xml:space="preserve">Durch dieses Vorgehen erhalten sämtliche aufeinander bezogenen Rechenausdrücke eine gemeinsame mathematische Bezugsgröße. Die Vergleichbarkeit zweier FRZK-Symbole darf nicht unabhängig davon vorausgesetzt werden, aus welchen Funktionen und aus welchen Grenzbereichen sie hervorgegangen sind. Erst nach der Festlegung einer gemeinsamen funktionalen Darstellung lässt sich prüfen, ob eine Operation auf ihren Symbolklassen überhaupt sinnvoll und eindeutig ist.</w:t>
      </w:r>
    </w:p>
    <w:bookmarkEnd w:id="23"/>
    <w:bookmarkStart w:id="24" w:name="symbolische-und-funktionale-gleichheit"/>
    <w:p>
      <w:pPr>
        <w:pStyle w:val="Heading2"/>
        <w:keepNext/>
      </w:pPr>
      <w:r>
        <w:t xml:space="preserve">2.1.5 Symbolische und funktionale Gleichheit</w:t>
      </w:r>
    </w:p>
    <w:p>
      <w:pPr>
        <w:pStyle w:val="FirstParagraph"/>
        <w:keepLines w:val="0"/>
      </w:pPr>
      <w:r>
        <w:t xml:space="preserve">Die Unterscheidung zwischen symbolischer Gleichheit und funktionaler Gleichheit ist eine zentrale Voraussetzung für die mathematische Konsistenz des FRZK. Zwei Funktionen können denselben gerichteten Grenzzustand besitzen, obwohl sie zu keinem Zeitpunkt identisch sind und sich hinsichtlich ihrer asymptotischen Größenordnung unterscheiden. Eine Gleichheit ihrer Grenzklassifikationen besagt daher nur, dass die in der Klassifikation erhaltenen Eigenschaften übereinstimmen. Sie gestattet nicht die unbeschränkte Ersetzung einer Funktion durch eine beliebige andere Funktion derselben Klasse.</w:t>
      </w:r>
    </w:p>
    <w:p>
      <w:pPr>
        <w:pStyle w:val="BodyText"/>
        <w:keepNext/>
        <w:keepLines w:val="0"/>
        <w:spacing w:before="180" w:after="40"/>
        <w:jc w:val="center"/>
      </w:pPr>
      <m:oMathPara>
        <m:oMathParaPr>
          <m:jc m:val="center"/>
        </m:oMathParaPr>
        <m:oMath>
          <m:sSub>
            <m:e>
              <m:r>
                <m:t>σ</m:t>
              </m:r>
            </m:e>
            <m:sub>
              <m:r>
                <m:rPr>
                  <m:sty m:val="p"/>
                  <m:scr m:val="sans-serif"/>
                </m:rPr>
                <m:t>F</m:t>
              </m:r>
            </m:sub>
          </m:sSub>
          <m:d>
            <m:dPr>
              <m:begChr m:val="("/>
              <m:endChr m:val=")"/>
              <m:sepChr m:val=""/>
              <m:grow/>
            </m:dPr>
            <m:e>
              <m:r>
                <m:t>u</m:t>
              </m:r>
            </m:e>
          </m:d>
          <m:r>
            <m:rPr>
              <m:sty m:val="p"/>
            </m:rPr>
            <m:t>=</m:t>
          </m:r>
          <m:sSub>
            <m:e>
              <m:r>
                <m:t>σ</m:t>
              </m:r>
            </m:e>
            <m:sub>
              <m:r>
                <m:rPr>
                  <m:sty m:val="p"/>
                  <m:scr m:val="sans-serif"/>
                </m:rPr>
                <m:t>F</m:t>
              </m:r>
            </m:sub>
          </m:sSub>
          <m:d>
            <m:dPr>
              <m:begChr m:val="("/>
              <m:endChr m:val=")"/>
              <m:sepChr m:val=""/>
              <m:grow/>
            </m:dPr>
            <m:e>
              <m:r>
                <m:t>v</m:t>
              </m:r>
            </m:e>
          </m:d>
          <m:r>
            <m:t> </m:t>
          </m:r>
          <m:box>
            <m:boxPr>
              <m:opEmu m:val="on"/>
            </m:boxPr>
            <m:e>
              <m:r>
                <m:rPr>
                  <m:sty m:val="p"/>
                </m:rPr>
                <m:t>⇏</m:t>
              </m:r>
            </m:e>
          </m:box>
          <m:r>
            <m:t> </m:t>
          </m:r>
          <m:r>
            <m:t>u</m:t>
          </m:r>
          <m:r>
            <m:rPr>
              <m:sty m:val="p"/>
            </m:rPr>
            <m:t>=</m:t>
          </m:r>
          <m:r>
            <m:t>v</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\sigma_{\mathsf{F}}(u)=\sigma_{\mathsf{F}}(v)\quad\not\Longrightarrow\quad u=v</w:t>
      </w:r>
    </w:p>
    <w:p>
      <w:pPr>
        <w:pStyle w:val="BodyText"/>
        <w:keepLines w:val="0"/>
      </w:pPr>
      <w:r>
        <w:t xml:space="preserve">Ein Gegenbeispiel entsteht bereits bei der Subtraktion einer Funktion von sich selbst im Vergleich zur Subtraktion zweier unterschiedlich schnell verschwindender Funktionen. Obwohl sämtliche beteiligten Funktionen im Ausgangszustand positive gerichtete Nullannäherungen besitzen, kann das Ergebnis einmal exakt null und ein anderes Mal eine negative gerichtete Nullannäherung sein.</w:t>
      </w:r>
    </w:p>
    <w:p>
      <w:pPr>
        <w:pStyle w:val="BodyText"/>
        <w:keepNext/>
        <w:keepLines w:val="0"/>
        <w:spacing w:before="180" w:after="40"/>
        <w:jc w:val="center"/>
      </w:pPr>
      <m:oMathPara>
        <m:oMathParaPr>
          <m:jc m:val="center"/>
        </m:oMathParaPr>
        <m:oMath>
          <m:sSub>
            <m:e>
              <m:r>
                <m:t>σ</m:t>
              </m:r>
            </m:e>
            <m:sub>
              <m:r>
                <m:rPr>
                  <m:sty m:val="p"/>
                  <m:scr m:val="sans-serif"/>
                </m:rPr>
                <m:t>F</m:t>
              </m:r>
            </m:sub>
          </m:sSub>
          <m:d>
            <m:dPr>
              <m:begChr m:val="("/>
              <m:endChr m:val=")"/>
              <m:sepChr m:val=""/>
              <m:grow/>
            </m:dPr>
            <m:e>
              <m:r>
                <m:t>t</m:t>
              </m:r>
              <m:r>
                <m:rPr>
                  <m:sty m:val="p"/>
                </m:rPr>
                <m:t>−</m:t>
              </m:r>
              <m:r>
                <m:t>t</m:t>
              </m:r>
            </m:e>
          </m:d>
          <m:r>
            <m:rPr>
              <m:sty m:val="p"/>
            </m:rPr>
            <m:t>=</m:t>
          </m:r>
          <m:r>
            <m:t>0</m:t>
          </m:r>
          <m:r>
            <m:rPr>
              <m:sty m:val="p"/>
            </m:rPr>
            <m:t>,</m:t>
          </m:r>
          <m:r>
            <m:t>  </m:t>
          </m:r>
          <m:sSub>
            <m:e>
              <m:r>
                <m:t>σ</m:t>
              </m:r>
            </m:e>
            <m:sub>
              <m:r>
                <m:rPr>
                  <m:sty m:val="p"/>
                  <m:scr m:val="sans-serif"/>
                </m:rPr>
                <m:t>F</m:t>
              </m:r>
            </m:sub>
          </m:sSub>
          <m:d>
            <m:dPr>
              <m:begChr m:val="("/>
              <m:endChr m:val=")"/>
              <m:sepChr m:val=""/>
              <m:grow/>
            </m:dPr>
            <m:e>
              <m:sSup>
                <m:e>
                  <m:r>
                    <m:t>t</m:t>
                  </m:r>
                </m:e>
                <m:sup>
                  <m:r>
                    <m:t>2</m:t>
                  </m:r>
                </m:sup>
              </m:sSup>
              <m:r>
                <m:rPr>
                  <m:sty m:val="p"/>
                </m:rPr>
                <m:t>−</m:t>
              </m:r>
              <m:r>
                <m:t>t</m:t>
              </m:r>
            </m:e>
          </m:d>
          <m:r>
            <m:rPr>
              <m:sty m:val="p"/>
            </m:rPr>
            <m:t>=</m:t>
          </m:r>
          <m:sSubSup>
            <m:e>
              <m:r>
                <m:t>0</m:t>
              </m:r>
            </m:e>
            <m:sub>
              <m:r>
                <m:rPr>
                  <m:sty m:val="p"/>
                </m:rPr>
                <m:t>−</m:t>
              </m:r>
            </m:sub>
            <m:sup>
              <m:r>
                <m:rPr>
                  <m:sty m:val="p"/>
                  <m:scr m:val="sans-serif"/>
                </m:rPr>
                <m:t>F</m:t>
              </m:r>
            </m:sup>
          </m:sSubSup>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\sigma_{\mathsf{F}}(t-t)=0,\qquad\sigma_{\mathsf{F}}(t^{2}-t)=0_{-}^{\mathsf{F}}</w:t>
      </w:r>
    </w:p>
    <w:p>
      <w:pPr>
        <w:pStyle w:val="BodyText"/>
        <w:keepLines w:val="0"/>
      </w:pPr>
      <w:r>
        <w:t xml:space="preserve">Dieser Unterschied beruht nicht auf einem Mangel der gewöhnlichen Algebra. Auf Funktionsebene sind beide Subtraktionen vollständig definiert und eindeutig. Die Mehrdeutigkeit entsteht ausschließlich dann, wenn vor der Subtraktion die Ausgangsfunktionen auf ihre gemeinsame symbolische Grenzklasse reduziert werden. Die Klassifikationsgleichheit ist deshalb keine für sämtliche gewöhnlichen algebraischen Operationen verträgliche Gleichheitsrelation.</w:t>
      </w:r>
    </w:p>
    <w:p>
      <w:pPr>
        <w:pStyle w:val="BodyText"/>
        <w:keepLines w:val="0"/>
      </w:pPr>
      <w:r>
        <w:t xml:space="preserve">Daraus leite ich ein Grundprinzip für alle späteren FRZK-Rechenregeln ab: Eine symbolische Operation darf nur dann allgemein eingeführt werden, wenn sie für alle zulässigen Funktionsrepräsentanten der verwendeten Ausgangssymbole dasselbe klassifizierte Ergebnis liefert. Andernfalls muss ich die Operation auf einen engeren Geltungsbereich beschränken oder die funktionale Herkunft der beteiligten Ausdrücke erhalten. Diese Bedingung verhindert, dass eine bloße Symbolgleichheit zu widersprüchlichen Rechenfolgen führt.</w:t>
      </w:r>
    </w:p>
    <w:p>
      <w:pPr>
        <w:pStyle w:val="BodyText"/>
        <w:keepNext/>
        <w:keepLines w:val="0"/>
        <w:spacing w:before="180" w:after="40"/>
        <w:jc w:val="center"/>
      </w:pPr>
      <m:oMathPara>
        <m:oMathParaPr>
          <m:jc m:val="center"/>
        </m:oMathParaPr>
        <m:oMath>
          <m:sSub>
            <m:e>
              <m:r>
                <m:t>σ</m:t>
              </m:r>
            </m:e>
            <m:sub>
              <m:r>
                <m:rPr>
                  <m:sty m:val="p"/>
                  <m:scr m:val="sans-serif"/>
                </m:rPr>
                <m:t>F</m:t>
              </m:r>
            </m:sub>
          </m:sSub>
          <m:d>
            <m:dPr>
              <m:begChr m:val="("/>
              <m:endChr m:val=")"/>
              <m:sepChr m:val=""/>
              <m:grow/>
            </m:dPr>
            <m:e>
              <m:r>
                <m:t>u</m:t>
              </m:r>
              <m:r>
                <m:rPr>
                  <m:sty m:val="p"/>
                </m:rPr>
                <m:t>∘</m:t>
              </m:r>
              <m:r>
                <m:t>v</m:t>
              </m:r>
            </m:e>
          </m:d>
          <m:r>
            <m:rPr>
              <m:sty m:val="p"/>
            </m:rPr>
            <m:t>=</m:t>
          </m:r>
          <m:r>
            <m:t>c</m:t>
          </m:r>
          <m:r>
            <m:t> </m:t>
          </m:r>
          <m:r>
            <m:rPr>
              <m:sty m:val="p"/>
            </m:rPr>
            <m:t>f</m:t>
          </m:r>
          <m:r>
            <m:rPr>
              <m:sty m:val="p"/>
            </m:rPr>
            <m:t>u</m:t>
          </m:r>
          <m:r>
            <m:rPr>
              <m:sty m:val="p"/>
            </m:rPr>
            <m:t>e</m:t>
          </m:r>
          <m:r>
            <m:rPr>
              <m:sty m:val="p"/>
            </m:rPr>
            <m:t>r</m:t>
          </m:r>
          <m:r>
            <m:rPr>
              <m:sty m:val="p"/>
            </m:rPr>
            <m:t> </m:t>
          </m:r>
          <m:r>
            <m:rPr>
              <m:sty m:val="p"/>
            </m:rPr>
            <m:t>a</m:t>
          </m:r>
          <m:r>
            <m:rPr>
              <m:sty m:val="p"/>
            </m:rPr>
            <m:t>l</m:t>
          </m:r>
          <m:r>
            <m:rPr>
              <m:sty m:val="p"/>
            </m:rPr>
            <m:t>l</m:t>
          </m:r>
          <m:r>
            <m:rPr>
              <m:sty m:val="p"/>
            </m:rPr>
            <m:t>e</m:t>
          </m:r>
          <m:r>
            <m:rPr>
              <m:sty m:val="p"/>
            </m:rPr>
            <m:t> </m:t>
          </m:r>
          <m:r>
            <m:rPr>
              <m:sty m:val="p"/>
            </m:rPr>
            <m:t>z</m:t>
          </m:r>
          <m:r>
            <m:rPr>
              <m:sty m:val="p"/>
            </m:rPr>
            <m:t>u</m:t>
          </m:r>
          <m:r>
            <m:rPr>
              <m:sty m:val="p"/>
            </m:rPr>
            <m:t>l</m:t>
          </m:r>
          <m:r>
            <m:rPr>
              <m:sty m:val="p"/>
            </m:rPr>
            <m:t>a</m:t>
          </m:r>
          <m:r>
            <m:rPr>
              <m:sty m:val="p"/>
            </m:rPr>
            <m:t>e</m:t>
          </m:r>
          <m:r>
            <m:rPr>
              <m:sty m:val="p"/>
            </m:rPr>
            <m:t>s</m:t>
          </m:r>
          <m:r>
            <m:rPr>
              <m:sty m:val="p"/>
            </m:rPr>
            <m:t>s</m:t>
          </m:r>
          <m:r>
            <m:rPr>
              <m:sty m:val="p"/>
            </m:rPr>
            <m:t>i</m:t>
          </m:r>
          <m:r>
            <m:rPr>
              <m:sty m:val="p"/>
            </m:rPr>
            <m:t>g</m:t>
          </m:r>
          <m:r>
            <m:rPr>
              <m:sty m:val="p"/>
            </m:rPr>
            <m:t>e</m:t>
          </m:r>
          <m:r>
            <m:rPr>
              <m:sty m:val="p"/>
            </m:rPr>
            <m:t>n</m:t>
          </m:r>
          <m:r>
            <m:rPr>
              <m:sty m:val="p"/>
            </m:rPr>
            <m:t> </m:t>
          </m:r>
          <m:r>
            <m:rPr>
              <m:sty m:val="p"/>
            </m:rPr>
            <m:t>R</m:t>
          </m:r>
          <m:r>
            <m:rPr>
              <m:sty m:val="p"/>
            </m:rPr>
            <m:t>e</m:t>
          </m:r>
          <m:r>
            <m:rPr>
              <m:sty m:val="p"/>
            </m:rPr>
            <m:t>p</m:t>
          </m:r>
          <m:r>
            <m:rPr>
              <m:sty m:val="p"/>
            </m:rPr>
            <m:t>r</m:t>
          </m:r>
          <m:r>
            <m:rPr>
              <m:sty m:val="p"/>
            </m:rPr>
            <m:t>a</m:t>
          </m:r>
          <m:r>
            <m:rPr>
              <m:sty m:val="p"/>
            </m:rPr>
            <m:t>e</m:t>
          </m:r>
          <m:r>
            <m:rPr>
              <m:sty m:val="p"/>
            </m:rPr>
            <m:t>s</m:t>
          </m:r>
          <m:r>
            <m:rPr>
              <m:sty m:val="p"/>
            </m:rPr>
            <m:t>e</m:t>
          </m:r>
          <m:r>
            <m:rPr>
              <m:sty m:val="p"/>
            </m:rPr>
            <m:t>n</m:t>
          </m:r>
          <m:r>
            <m:rPr>
              <m:sty m:val="p"/>
            </m:rPr>
            <m:t>t</m:t>
          </m:r>
          <m:r>
            <m:rPr>
              <m:sty m:val="p"/>
            </m:rPr>
            <m:t>a</m:t>
          </m:r>
          <m:r>
            <m:rPr>
              <m:sty m:val="p"/>
            </m:rPr>
            <m:t>n</m:t>
          </m:r>
          <m:r>
            <m:rPr>
              <m:sty m:val="p"/>
            </m:rPr>
            <m:t>t</m:t>
          </m:r>
          <m:r>
            <m:rPr>
              <m:sty m:val="p"/>
            </m:rPr>
            <m:t>e</m:t>
          </m:r>
          <m:r>
            <m:rPr>
              <m:sty m:val="p"/>
            </m:rPr>
            <m:t>n</m:t>
          </m:r>
          <m:r>
            <m:t> </m:t>
          </m:r>
          <m:r>
            <m:t>u</m:t>
          </m:r>
          <m:r>
            <m:rPr>
              <m:sty m:val="p"/>
            </m:rPr>
            <m:t>,</m:t>
          </m:r>
          <m:r>
            <m:t>v</m:t>
          </m:r>
        </m:oMath>
      </m:oMathPara>
    </w:p>
    <w:p>
      <w:pPr>
        <w:pStyle w:val="FirstParagraph"/>
        <w:keepLines/>
        <w:spacing w:before="0" w:after="260"/>
        <w:ind w:left="369"/>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\sigma_{\mathsf{F}}(u\circ v)=c\quad\mathrm{fuer\ alle\ zulaessigen\ Repraesentanten}\ u,v</w:t>
      </w:r>
    </w:p>
    <w:p>
      <w:pPr>
        <w:pStyle w:val="BodyText"/>
        <w:keepLines w:val="0"/>
      </w:pPr>
      <w:r>
        <w:t xml:space="preserve">In dieser Bedingung bezeichnet das Operationszeichen eine jeweils ausdrücklich festgelegte gewöhnliche Funktionsoperation. Die Aussage ist als Kriterium und nicht als bereits bewiesener Satz über jede beliebige Operation zu verstehen. Sie setzt zudem voraus, dass die betreffende Verknüpfung definiert ist und ihre Grenzklassifikation existiert. Wenn unterschiedliche zulässige Repräsentanten zu verschiedenen Ergebnissen führen, ist eine allgemeine symbolische Operation für diese Ausgangsklassen nicht definiert.</w:t>
      </w:r>
    </w:p>
    <w:p>
      <w:pPr>
        <w:pStyle w:val="BodyText"/>
        <w:keepLines w:val="0"/>
      </w:pPr>
      <w:r>
        <w:t xml:space="preserve">Von besonderer Bedeutung ist dieser Grundsatz bei der Division zweier gerichteter Nullannäherungen, bei der Differenz unbeschränkt wachsender Funktionswerte und beim Produkt einer verschwindenden mit einer unbeschränkt wachsenden Funktion. Die vier grundlegenden FRZK-Grenzsymbole enthalten allein nicht genügend Informationen, um solche Ausdrücke allgemeingültig auszuwerten. Eine konkrete Funktionsrechnung kann dennoch zu einem eindeutigen Ergebnis führen, sofern die erforderlichen Identitäten oder asymptotischen Verhältnisse bekannt sind.</w:t>
      </w:r>
    </w:p>
    <w:p>
      <w:pPr>
        <w:pStyle w:val="BodyText"/>
        <w:keepLines w:val="0"/>
      </w:pPr>
      <w:r>
        <w:t xml:space="preserve">Die Behandlung dieser Operationen verlangt eine gestufte Auswertungsweise. Zunächst ist die symbolische Klassifikation zu prüfen. Reicht sie aus, darf das Ergebnis unmittelbar auf der FRZK-Ebene festgelegt werden. Reicht sie nicht aus, muss der vollständige Funktionsterm oder eine mathematisch gesicherte asymptotische Verfeinerung herangezogen werden. Die Entwicklung der konkreten arithmetischen Rechentafeln ist Gegenstand des folgenden Abschnitts 2.2; an dieser Stelle beschränke ich mich auf die dafür notwendigen mathematischen Voraussetzungen.</w:t>
      </w:r>
    </w:p>
    <w:p>
      <w:pPr>
        <w:pStyle w:val="BodyText"/>
        <w:keepLines w:val="0"/>
      </w:pPr>
      <w:r>
        <w:t xml:space="preserve">Damit bilden die vier gerichteten Grenzsymbole eine eindeutig definierte, aber nicht überall algebraisch austauschbare Beschreibung von Funktionsverhalten. Ihre Einführung erweitert die Ausdrucksmöglichkeiten der Grenzwertrechnung um eine systematische Kennzeichnung der Vorzeichenrichtung, ohne bereits eine neue vollständig definierte Zahlenarithmetik zu begründen. Ich betrachte diese Trennung als Voraussetzung für die weitere Entwicklung des FRZK und als Grundlage für eine didaktisch kontrollierte Anwendung der symbolischen Verfahren.</w:t>
      </w:r>
    </w:p>
    <w:bookmarkEnd w:id="24"/>
    <w:bookmarkStart w:id="25" w:name="literatur-zu-abschnitt-2.1"/>
    <w:p>
      <w:pPr>
        <w:pStyle w:val="Heading2"/>
        <w:keepNext/>
      </w:pPr>
      <w:r>
        <w:t xml:space="preserve">Literatur zu Abschnitt 2.1</w:t>
      </w:r>
    </w:p>
    <w:p>
      <w:pPr>
        <w:pStyle w:val="FirstParagraph"/>
        <w:keepLines w:val="0"/>
      </w:pPr>
      <w:r>
        <w:rPr>
          <w:sz w:val="18"/>
        </w:rPr>
        <w:t xml:space="preserve">[[1]] National Institute of Standards and Technology (NIST) (o. J.): Digital Library of Mathematical Functions. Kapitel 2: „Asymptotic Approximations“, Abschnitt 2.1: „Definitions and Elementary Properties“. Herausgegeben von F. W. J. Olver, A. B. Olde Daalhuis, D. W. Lozier und weiteren Mitwirkenden.</w:t>
      </w:r>
    </w:p>
    <w:p>
      <w:pPr>
        <w:pStyle w:val="BodyText"/>
        <w:keepLines w:val="0"/>
      </w:pPr>
      <w:r>
        <w:rPr>
          <w:sz w:val="18"/>
        </w:rPr>
        <w:t xml:space="preserve">[[2]] Encyclopedia of Mathematics (o. J.): „Germ“. Grundlegung des Begriffs lokaler Funktionskeime und der dadurch induzierten Äquivalenzrelation.</w:t>
      </w:r>
    </w:p>
    <w:bookmarkEnd w:id="25"/>
    <w:bookmarkEnd w:id="26"/>
    <w:sectPr>
      <w:headerReference w:type="default" r:id="rId9"/>
      <w:footerReference w:type="default" r:id="rId10"/>
      <w:pgMar w:top="1389" w:bottom="1332" w:left="1616" w:right="1502" w:header="680" w:footer="6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E"/>
        <w:sz w:val="16"/>
      </w:rPr>
      <w:t xml:space="preserve">FRZK · Abschnitt 2.1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right"/>
    </w:pPr>
    <w:r>
      <w:rPr>
        <w:rFonts w:ascii="Cambria" w:hAnsi="Cambria"/>
        <w:color w:val="64737E"/>
        <w:sz w:val="16"/>
      </w:rPr>
      <w:t>FRZK  |  KAPITEL 2  ·  MATHEMATISCHE GRUNDLAGEN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00" w:lineRule="auto" w:after="160"/>
    </w:pPr>
    <w:rPr>
      <w:rFonts w:ascii="Cambria" w:hAnsi="Cambria"/>
      <w:color w:val="1D242B"/>
      <w:sz w:val="22"/>
    </w:rPr>
  </w:style>
  <w:style w:styleId="BodyText" w:type="paragraph">
    <w:name w:val="Body Text"/>
    <w:basedOn w:val="Normal"/>
    <w:link w:val="BodyTextChar"/>
    <w:qFormat/>
    <w:pPr>
      <w:spacing w:after="160" w:before="180" w:line="300" w:lineRule="auto"/>
    </w:pPr>
    <w:rPr>
      <w:rFonts w:ascii="Cambria" w:hAnsi="Cambria"/>
      <w:color w:val="1D242B"/>
      <w:sz w:val="22"/>
    </w:rPr>
  </w:style>
  <w:style w:customStyle="1" w:styleId="FirstParagraph" w:type="paragraph">
    <w:name w:val="First Paragraph"/>
    <w:basedOn w:val="BodyText"/>
    <w:next w:val="BodyText"/>
    <w:qFormat/>
    <w:pPr>
      <w:spacing w:line="300" w:lineRule="auto" w:after="160"/>
    </w:pPr>
    <w:rPr>
      <w:rFonts w:ascii="Cambria" w:hAnsi="Cambria"/>
      <w:color w:val="1D242B"/>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60" w:before="36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Mathematische Grundlagen des FRZK</dc:title>
  <dc:creator/>
  <cp:keywords>FRZK, gerichtete Null, Unendlichkeit, Grenzwert, Mathematik</cp:keywords>
  <dcterms:created xsi:type="dcterms:W3CDTF">2026-10-20T07:27:05Z</dcterms:created>
  <dcterms:modified xsi:type="dcterms:W3CDTF">2026-10-20T07:27:05Z</dcterms:modified>
  <dc:subject>FRZK – Mathematik gerichteter Grenzsymbole</dc:subject>
  <cp:lastModifiedBy/>
</cp:coreProperties>
</file>

<file path=docProps/custom.xml><?xml version="1.0" encoding="utf-8"?>
<Properties xmlns="http://schemas.openxmlformats.org/officeDocument/2006/custom-properties" xmlns:vt="http://schemas.openxmlformats.org/officeDocument/2006/docPropsVTypes"/>
</file>