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D7388" w14:textId="4A177565" w:rsidR="000072D7" w:rsidRDefault="000072D7" w:rsidP="000072D7">
      <w:pPr>
        <w:pStyle w:val="berschrift1"/>
        <w:keepNext/>
      </w:pPr>
      <w:r>
        <w:t>Kapitel 1 – Einleitung</w:t>
      </w:r>
    </w:p>
    <w:p w14:paraId="18240739" w14:textId="0D695911" w:rsidR="00BC6FF6" w:rsidRDefault="00BC6FF6" w:rsidP="00BC6FF6">
      <w:r w:rsidRPr="00BC6FF6">
        <w:t>In meiner Nachhilfepraxis beobachte ich wiederholt, dass Lernende bei komplexen Aufgaben Schwierigkeiten haben, relevante Angaben zu ordnen, Beziehungen zu erkennen und den eigenen Lösungsweg zu reflektieren. Ich untersuche deshalb, wie eine ausdrücklich aufgebaute funktionale Orientierung diese Bearbeitung unterstützen kann. Das Funktionale Raum-Zeit-Kohärenzsystem (FRZK) verwende ich in dieser Arbeit zunächst als methodisch-didaktischen Ordnungs- und Darstellungsrahmen. Ob dieser Rahmen das Verständnis, die Fehlerquote und die Übertragbarkeit von Lösungsstrategien verbessert, ist eine empirisch zu prüfende Frage und keine vorausgesetzte Wirkung.</w:t>
      </w:r>
    </w:p>
    <w:p w14:paraId="0D661A15" w14:textId="77777777" w:rsidR="006B3CC8" w:rsidRDefault="00B22CA9" w:rsidP="00BB6463">
      <w:r>
        <w:t>Die Fragestellung berührt wissenschaftliche Diskussionen über Modellbildung, Beobachtung und die Begriffe Raum und Zeit. Rovelli behandelt die Grundlagen unseres Zeitverständnisses und die Grenzen herkömmlicher Vorstellungen von Zeit (Rovelli, Carlo (2018). The Order of Time. London: Penguin Books.)[1]. Ich verwende diese Darstellung als physikalisch-philosophischen Hintergrund, nicht als Bestätigung einer aus dem FRZK hervorgehenden Raumzeit oder als Nachweis seines didaktischen Nutzens.</w:t>
      </w:r>
    </w:p>
    <w:p w14:paraId="6DCF0D4E" w14:textId="741793A0" w:rsidR="00B22CA9" w:rsidRPr="00B22CA9" w:rsidRDefault="00B22CA9" w:rsidP="00BB6463">
      <w:proofErr w:type="spellStart"/>
      <w:proofErr w:type="spellEnd"/>
      <w:proofErr w:type="spellStart"/>
      <w:proofErr w:type="spellEnd"/>
      <w:proofErr w:type="spellStart"/>
      <w:proofErr w:type="spellEnd"/>
      <w:proofErr w:type="spellStart"/>
      <w:proofErr w:type="spellEnd"/>
      <w:r>
        <w:t>Die Systemtheorie und die Kybernetik eröffnen unterschiedliche Perspektiven auf Systembeziehungen, Beobachtung und die Beschreibung von Lern- und Kommunikationsprozessen (von Foerster, Heinz (1981). Observing Systems. Seaside, CA: Intersystems Publications.)[2] (Maturana, Humberto R.; Varela, Francisco J. (1987). The Tree of Knowledge: The Biological Roots of Human Understanding. Boston: Shambhala.)[3]. Für die Entwicklung und Untersuchung didaktischer Verfahren ist die gestaltungsorientierte Lehr-Lernforschung ein methodischer Bezugspunkt (Reinmann, Gabi (2005). Innovation ohne Forschung? Ein Plädoyer für den Design-Based Research-Ansatz in der Lehr-Lernforschung. Unterrichtswissenschaft, 33(1), S. 52–69. DOI: 10.25656/01:5787.)[4]. Einen Ansatz zur Begleitung und Anregung eigenständiger Lernprozesse erläutert Arnold (Arnold, Rolf (2012). Wie man lehrt, ohne zu belehren. 29 Regeln für eine kluge Lehre. Das LENA-Modell. 1. Auflage. Heidelberg: Carl-Auer. ISBN: 978-3-89670-838-0.)[5]. Sfard untersucht mathematisches Denken aus einer kommunikationstheoretischen Perspektive (Sfard, Anna (2008). Thinking as Communicating: Human Development, the Growth of Discourses, and Mathematizing. Cambridge: Cambridge University Press. DOI: 10.1017/CBO9780511499944.)[6]. Luhmann stellt mit seiner Theorie sozialer Systeme einen weiteren, davon zu unterscheidenden systemtheoretischen Bezug bereit (Luhmann, Niklas (1984). Soziale Systeme: Grundriß einer allgemeinen Theorie. Frankfurt am Main: Suhrkamp.)[7]. Keiner dieser Ansätze beweist bereits die Wirksamkeit des FRZK.</w:t>
      </w:r>
    </w:p>
    <w:p w14:paraId="3B3E5096" w14:textId="77777777" w:rsidR="00B22CA9" w:rsidRPr="00B22CA9" w:rsidRDefault="00B22CA9" w:rsidP="00BB6463">
      <w:r>
        <w:t>Ich verstehe das FRZK als allgemeinen methodisch-didaktischen Darstellungs- und Ordnungsrahmen für funktionale Zusammenhänge. Ich möchte mit ihm Größen, Voraussetzungen, Beziehungen, Geltungsbereiche und Lösungswege ausdrücklich sichtbar und nachvollziehbar machen. Dabei lege ich nicht vorab fest, welche Geometrie, zeitliche Entwicklung oder algebraische Struktur ein konkreter Zusammenhang besitzen muss. Rekursionen, Fixpunkte und Kohärenzbedingungen kommen als mögliche besondere Gegenstände einer Modellierung in Betracht, sind aber keine allgemein vorausgesetzten Eigenschaften des FRZK.</w:t>
      </w:r>
    </w:p>
    <w:p>
      <w:pPr>
        <w:keepLines/>
      </w:pPr>
      <w:r>
        <w:t>Begriffe wie leerer Ausgangspunkt, Initialzustand, Nullvektor, gerichtete Grenzannäherung und orthogonale Ausgangsorientierung verwende ich in der Einleitung lediglich zur Orientierung über das Forschungsvorhaben. Ihre unterschiedlichen mathematischen Bedeutungen und die spezifischen Setzungen des FRZK werden erst in Kapitel 3 formal eingeführt. Insbesondere ist die leere Menge weder mit einer Zahl noch mit einem physikalisch leeren Raum gleichzusetzen. Auch die Forderung einer orthogonalen Ausgangsorientierung im Grenzzustand null schreibt der späteren funktionalen Beziehung keine Geometrie vor.</w:t>
      </w:r>
    </w:p>
    <w:p w14:paraId="5D95F94F" w14:textId="7B8D4EB1" w:rsidR="000072D7" w:rsidRDefault="000072D7" w:rsidP="00BC6FF6">
      <w:pPr>
        <w:pStyle w:val="berschrift2"/>
        <w:keepNext/>
      </w:pPr>
      <w:r>
        <w:t>1.1 Entstehung der Forschungsfrage aus der Unterrichtspraxis</w:t>
      </w:r>
    </w:p>
    <w:p w14:paraId="3FDF7B63" w14:textId="7C6CF008" w:rsidR="00BC6FF6" w:rsidRPr="00BC6FF6" w:rsidRDefault="00BC6FF6" w:rsidP="00BB6463">
      <w:pPr>
        <w:pStyle w:val="berschrift3"/>
        <w:keepNext/>
      </w:pPr>
      <w:r>
        <w:t>1.1.1 Praktisches Beispiel: Textaufgabe</w:t>
      </w:r>
    </w:p>
    <w:p w14:paraId="65437270" w14:textId="4CF582DD" w:rsidR="000072D7" w:rsidRDefault="000072D7" w:rsidP="000072D7">
      <w:r>
        <w:t>In meiner Nachhilfepraxis begegnen mir Aufgaben, bei denen Schülerinnen und Schüler die gegebenen Informationen zwar lesen oder notieren können, deren funktionale Beziehungen und die gesuchte Größe aber noch nicht erkennen. Die folgenden Beispiele begründen die Forschungsfrage aus meiner Perspektive. Sie sind zunächst Unterrichtsbeobachtungen und keine repräsentative empirische Untersuchung.</w:t>
      </w:r>
    </w:p>
    <w:p w14:paraId="01AA27DD" w14:textId="782CD6C4" w:rsidR="000072D7" w:rsidRDefault="000072D7" w:rsidP="000072D7">
      <w:r>
        <w:t xml:space="preserve">Beispiel 1: Eine Schülerin 3. Klasse Grundschule sollte die Aufgabe: „Ein Bauer hat 173 Kartoffeln und 8 Säcke. Wieviel Kartoffeln kommen in einen Sack und wie viele bleiben übrig?“. Mein Standardansatz zur Lösung von Textaufgaben besteht darin, alles, was </w:t>
      </w:r>
      <w:r>
        <w:lastRenderedPageBreak/>
        <w:t>gegeben ist, mit blau und alles, was gesucht ist, mit grün zu unterstreichen, dann die Angaben in den Notizblock zu übertragen und schließlich zu lösen. Ich habe der Schülerin diesen Ansatz empfohlen und ihr aufgetragen, die Aufgabe zu lösen. Nach etwa 15 Minuten habe ich versucht die Lösung zu kontrollieren und festgestellt, dass die Schülerin die gesamte Aufgabe mit blau unterstrichen hatte und in ihren Notizblock 1:1 übernommen hatte.</w:t>
      </w:r>
    </w:p>
    <w:p w14:paraId="665BAAD2" w14:textId="7D53232A" w:rsidR="00351660" w:rsidRDefault="00EF084C" w:rsidP="000072D7">
      <w:r>
        <w:t>Man könnte zunächst feststellen, dass die Aufgabe nicht im erwarteten Sinne gelöst wurde. Bei genauerer Betrachtung hatte die Schülerin jedoch meinen Arbeitsauftrag befolgt und die gesamte Aufgabenstellung als gegeben markiert. Ich deutete dieses Verhalten als möglichen Hinweis darauf, dass sie die für die Lösung benötigten Informationen noch nicht voneinander unterscheiden konnte. Ob ihr insbesondere die Situation mit Bauer und Kartoffeln unvertraut war, lässt sich aus dieser einen Beobachtung allein nicht sicher ableiten. Die Schülerin zeigte eine erkennbare Bearbeitungsaktivität; die mathematische Lösung und die dafür notwendige Interpretation der Angaben blieben zunächst offen.</w:t>
      </w:r>
      <w:r w:rsidR="00351660"/>
    </w:p>
    <w:p w14:paraId="7978F7BE" w14:textId="6FA1BADE" w:rsidR="00BC6FF6" w:rsidRDefault="00BC6FF6" w:rsidP="000072D7">
      <w:r>
        <w:t>Ich erarbeitete daraufhin mit der Schülerin auf einem leeren Blatt Papier eine schrittweise Strukturierung der Situation: Zunächst hielten wir die gegebenen Größen fest, anschließend formulierten wir die gesuchte Anzahl je Sack und den möglichen Rest. Diese Vorgehensweise dokumentiere ich als Beispiel meiner Nachhilfepraxis in Anlage 1A. Die beobachtete Bearbeitung ist ein Ausgangspunkt für die Fragestellung, aber noch kein standardisiert erhobener Lernfortschritt.</w:t>
      </w:r>
    </w:p>
    <w:p w14:paraId="1BF95BBE" w14:textId="77777777" w:rsidR="00BC6FF6" w:rsidRDefault="00000000" w:rsidP="00BC6FF6">
      <w:r>
        <w:pict w14:anchorId="47337416">
          <v:rect id="_x0000_i1026" style="width:0;height:1.5pt" o:hralign="center" o:hrstd="t" o:hr="t" fillcolor="#a0a0a0" stroked="f"/>
        </w:pict>
      </w:r>
    </w:p>
    <w:p w14:paraId="1D84A2B3" w14:textId="61FD7FA6" w:rsidR="00BC6FF6" w:rsidRPr="00BC6FF6" w:rsidRDefault="00BC6FF6" w:rsidP="00BB6463">
      <w:pPr>
        <w:pStyle w:val="berschrift3"/>
        <w:keepNext/>
      </w:pPr>
      <w:r>
        <w:t>1.1.2 Praktisches Beispiel: Lineare Zusammenhänge</w:t>
      </w:r>
    </w:p>
    <w:p w14:paraId="5CC9B56F" w14:textId="1574DAE6" w:rsidR="00175519" w:rsidRPr="00175519" w:rsidRDefault="00175519" w:rsidP="00FE51E9">
      <w:r w:rsidRPr="00175519">
        <w:t xml:space="preserve">Zwei Schülerinnen aus der 9. Klasse Gymnasium standen vor der Aufgabe: „Wie würdest du deinem besten Freund oder deiner besten Freundin erklären, was eine lineare Gleichung ist?“ Die Aufgabe zielte darauf ab, ein grundlegendes Verständnis für lineare Funktionen zu entwickeln, indem die Schülerinnen den Begriff selbstständig formulieren und ihre eigenen Worte finden sollten, um diese mathematische Beziehung zu erklären. Doch </w:t>
      </w:r>
      <w:proofErr w:type="gramStart"/>
      <w:r w:rsidR="006E78CF" w:rsidRPr="00175519">
        <w:t>anstatt eine klare Vorstellung</w:t>
      </w:r>
      <w:proofErr w:type="gramEnd"/>
      <w:r w:rsidRPr="00175519">
        <w:t xml:space="preserve"> von linearen Gleichung zu entwickeln, standen die Schülerinnen vor einer mentalen Blockade.</w:t>
      </w:r>
    </w:p>
    <w:p w14:paraId="41423EF7" w14:textId="77777777" w:rsidR="00175519" w:rsidRPr="00175519" w:rsidRDefault="00175519" w:rsidP="00FE51E9">
      <w:r>
        <w:t>In einer ersten Rückmeldung erklärten beide Schülerinnen, dass sie nicht wüssten, wie sie ihre Antwort beginnen sollten. Ich deutete dies als Hinweis darauf, dass ihnen ein sprachlicher und anschaulicher Zugang zu der gefragten Beziehung fehlte. Ob dabei die Begriffskenntnis, das Vorwissen, die konkrete Aufgabenstellung oder weitere Faktoren entscheidend waren, ließ sich in dieser Situation nicht isolieren.</w:t>
      </w:r>
    </w:p>
    <w:p w14:paraId="25764E4B" w14:textId="77777777" w:rsidR="00175519" w:rsidRPr="00175519" w:rsidRDefault="00175519" w:rsidP="00FE51E9">
      <w:r w:rsidRPr="00175519">
        <w:t>Eine der Schülerinnen äußerte: „Was ist das, eine Linie? Es sind doch Zahlen, aber wie hängen die zusammen?“ Sie hatte Schwierigkeiten, das Konzept einer linearen Funktion als eine mathematische Beziehung zu begreifen, die über abstrakte Zahlen und Parameter hinausgeht und in einem konkreten Zusammenhang, wie etwa einer realen Situation (z.B. eine Geschwindigkeit über Zeit oder den Zusammenhang zwischen dem Einkommen und den Arbeitsstunden), interpretiert werden könnte. Auch die andere Schülerin konnte die Aufgabe nicht anders angehen, als die Parameter der linearen Funktion als isolierte mathematische Elemente zu betrachten, ohne deren Einfluss auf die Gestalt der Linie oder auf die Veränderung der Werte in einer praktischen Anwendung zu begreifen.</w:t>
      </w:r>
    </w:p>
    <w:p w14:paraId="46A64E70" w14:textId="264BD39D" w:rsidR="00175519" w:rsidRPr="00175519" w:rsidRDefault="00175519" w:rsidP="00FE51E9">
      <w:r>
        <w:t>In der Situation konnten die Schülerinnen die Formel einer linearen Funktion benennen, hatten aber Schwierigkeiten, die Bedeutung der Parameter und den Zusammenhang der Größen in eigenen Worten zu erläutern. Für meine Untersuchung ist daran besonders interessant, ob eine ausdrücklich geordnete Darstellung von Größen, Beziehungen und Beispielen den Übergang von einer symbolischen Schreibweise zu einer fachlich angemessenen Erklärung unterstützen kann.</w:t>
      </w:r>
    </w:p>
    <w:p w14:paraId="751C0B8E" w14:textId="282A8A24" w:rsidR="00175519" w:rsidRDefault="00175519" w:rsidP="00FE51E9">
      <w:r>
        <w:t>Ich beobachtete, dass die Schülerinnen zunächst nach einer bekannten Definition suchten und eigene Beispiele kaum verwendeten. Daraus ergibt sich für mich eine prüfbare didaktische Frage: Welche Darstellungshilfen erleichtern es Lernenden, den mathematischen Zusammenhang als Beziehung veränderlicher Größen zu beschreiben? Die Beobachtung allein lässt weder auf eine allgemeine Ursache noch auf die Wirksamkeit einer bestimmten Unterrichtsmethode schließen.</w:t>
      </w:r>
    </w:p>
    <w:p w14:paraId="2CAE27B8" w14:textId="6EEC0E4B" w:rsidR="006B3CC8" w:rsidRDefault="006B3CC8" w:rsidP="00FE51E9">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Die beiden Unterrichtsbeobachtungen lassen sich mit der didaktischen Frage verbinden, wie Lernende tragfähige Begriffe aufbauen und neues Wissen mit vorhandenem Wissen verknüpfen. Bruner behandelt die Struktur von Unterrichtsinhalten und die schrittweise Vertiefung grundlegender Vorstellungen (Bruner, Jerome S. (1960). The Process of Education. Cambridge, MA: Harvard University Press. DOI: 10.4159/9780674028999.)[8]. Ausubels Arbeiten befassen sich mit der Bedeutung der kognitiven Struktur für sinnvolles sprachliches Lernen (Ausubel, David P. (1963). The Psychology of Meaningful Verbal Learning. New York: Grune &amp; Stratton.)[9]. Die genaue Zuordnung einzelner Buchseiten bleibt bis zur Editionsprüfung offen.</w:t>
      </w:r>
    </w:p>
    <w:p w14:paraId="03025AA1" w14:textId="4099DEF2" w:rsidR="00512AE0" w:rsidRDefault="00512AE0" w:rsidP="00512AE0">
      <w:pPr>
        <w:pStyle w:val="berschrift3"/>
        <w:keepNext/>
      </w:pPr>
      <w:r>
        <w:t>1.1.3 Ergänzendes Beispiel: Ungewöhnliche Lösungswege</w:t>
      </w:r>
    </w:p>
    <w:p w14:paraId="6A0AC4BA" w14:textId="77777777" w:rsidR="00512AE0" w:rsidRDefault="00512AE0" w:rsidP="00FE51E9"/>
    <w:p w14:paraId="4A535CA2" w14:textId="13152D48" w:rsidR="00512AE0" w:rsidRDefault="00512AE0" w:rsidP="00512AE0">
      <w:pPr>
        <w:shd w:val="clear" w:color="auto" w:fill="FFFFFF"/>
        <w:spacing w:before="0" w:after="0"/>
        <w:rPr>
          <w:rFonts w:ascii="Roboto" w:hAnsi="Roboto"/>
          <w:color w:val="0F0F0F"/>
          <w:sz w:val="48"/>
          <w:szCs w:val="48"/>
        </w:rPr>
      </w:pPr>
      <w:r>
        <w:t>Rudolf Taschner: Der Irrtum des Pythagoras</w:t>
      </w:r>
    </w:p>
    <w:p w14:paraId="3C901EEA" w14:textId="2380FA4A" w:rsidR="00512AE0" w:rsidRDefault="009F2278" w:rsidP="00FE51E9">
      <w:r>
        <w:t>Als Beispiel für die öffentliche Vermittlung mathematischer Fragestellungen nenne ich Rudolf Taschners Vortrag „Der Irrtum des Pythagoras“ (Taschner, Rudolf (2013). Der Irrtum des Pythagoras. Videoaufzeichnung, math.space, TIB AV-Portal. DOI: 10.5446/15789.)[10]. Für meine Arbeit ist daran die Frage relevant, wie ein zunächst ungewohnter mathematischer Zugang fachlich geprüft und verständlich erläutert werden kann. Ich übernehme aus dem Vortrag weder ein wörtliches Zitat noch eine Abbildung; seine Erwähnung dient als Anregung für diese didaktische Fragestellung, nicht als Beleg für die Wirksamkeit des FRZK.</w:t>
      </w:r>
    </w:p>
    <w:p w14:paraId="2E4E6780" w14:textId="77777777" w:rsidR="00BC6FF6" w:rsidRDefault="00000000" w:rsidP="00BC6FF6">
      <w:r>
        <w:pict w14:anchorId="7330B2F5">
          <v:rect id="_x0000_i1027" style="width:0;height:1.5pt" o:hralign="center" o:hrstd="t" o:hr="t" fillcolor="#a0a0a0" stroked="f"/>
        </w:pict>
      </w:r>
    </w:p>
    <w:p w14:paraId="309C31D6" w14:textId="76601CFC" w:rsidR="00BC6FF6" w:rsidRPr="00175519" w:rsidRDefault="00BC6FF6" w:rsidP="00BB6463">
      <w:pPr>
        <w:pStyle w:val="berschrift3"/>
        <w:keepNext/>
      </w:pPr>
      <w:r>
        <w:t>1.1.4 Zwischenbilanz</w:t>
      </w:r>
    </w:p>
    <w:p w14:paraId="3A3BE3D5" w14:textId="7112AE3D" w:rsidR="00175519" w:rsidRPr="00175519" w:rsidRDefault="00351660" w:rsidP="00FE51E9">
      <w:r>
        <w:t>Die Unterrichtsbeispiele verdeutlichen mein Erkenntnisinteresse: Lernende benötigen bei mathematischen Aufgaben nicht allein Rechenverfahren, sondern müssen Angaben, Begriffe und funktionale Beziehungen unterscheiden und aufeinander beziehen können. Ich möchte prüfen, ob ein systematischer Darstellungsrahmen dabei unterstützt, die Problemstellung zu verstehen, den Lösungsweg zu begründen und das Verfahren auf neue Aufgaben zu übertragen. Die Beispiele zeigen den Anlass dieser Untersuchung, nicht bereits deren Ergebnis.</w:t>
      </w:r>
    </w:p>
    <w:p w14:paraId="1DDDEFE0" w14:textId="77777777" w:rsidR="00645A94" w:rsidRDefault="00000000" w:rsidP="00645A94">
      <w:r>
        <w:pict w14:anchorId="6FEACD96">
          <v:rect id="_x0000_i1028" style="width:0;height:1.5pt" o:hralign="center" o:hrstd="t" o:hr="t" fillcolor="#a0a0a0" stroked="f"/>
        </w:pict>
      </w:r>
    </w:p>
    <w:p w14:paraId="00027123" w14:textId="26A9EFE2" w:rsidR="000072D7" w:rsidRDefault="000928CC" w:rsidP="001456EC">
      <w:pPr>
        <w:pStyle w:val="berschrift2"/>
        <w:keepNext/>
      </w:pPr>
      <w:r>
        <w:t>1.2 Lösungsweg und Ergebnis</w:t>
      </w:r>
    </w:p>
    <w:p w14:paraId="406EC021" w14:textId="6F80DE0E" w:rsidR="006E78CF" w:rsidRDefault="006E78CF" w:rsidP="00FE51E9">
      <w:r>
        <w:t xml:space="preserve">Nun ist es so, dass ich als </w:t>
      </w:r>
      <w:r w:rsidRPr="000072D7">
        <w:t>Nachhilfelehrer</w:t>
      </w:r>
      <w:r>
        <w:t xml:space="preserve"> die Aufgaben meiner Schüler in ihren Stunden-Concept-Maps selbst erarbeite und damit auch genaue Vorstellungen über das betreffende Bezugssystem und die Lösung der Aufgaben habe. Ich musste mir also eine Aufgabe stellen, von der ich fachlich erst einmal keine Ahnung hatte und dann einen Weg aufarbeiten, diese Aufgabe zu lösen. Die Aufgabe, die ich mir gestellt habe, war: „Wie bilde ich nichteuklidische Flächen auf einer 2-dimensionalen Fläche als Beobachter ab“. Dies war ein Thema, was mich persönlich interessiert hat, da ich mich in meiner Freizeit gern mit Problemen aus der Astronomie, Raum-Zeit-Gefüge, Kernfusion, Quantenphysik und allgemeinen physikalischen und mathematischen Problemen beschäftige. Dort tritt dieses Problem häufiger auf.</w:t>
      </w:r>
    </w:p>
    <w:p w14:paraId="5B810321" w14:textId="77777777" w:rsidR="00D70678" w:rsidRPr="00D70678" w:rsidRDefault="00D70678" w:rsidP="00FE51E9">
      <w:r w:rsidRPr="00D70678">
        <w:t>Um die mir gestellte Aufgabe zu lösen, musste ich zunächst alles ausblenden, was für die Bearbeitung nicht notwendig war. Dank meiner vielfältigen beruflichen Tätigkeiten verfüge ich über ein ausgeprägtes Abstraktionsvermögen, das mir erlaubte, die Komplexität der Situation auf ihre wesentlichen Elemente zu reduzieren. Daraus ergab sich die zentrale Erkenntnis, dass der beste Ausgangspunkt die Konstruktion eines vollkommen leeren Bezugssystems war. In dieses Bezugssystem konnte ich die gegebenen Fakten Schritt für Schritt eintragen.</w:t>
      </w:r>
    </w:p>
    <w:p w14:paraId="7F61E047" w14:textId="77777777" w:rsidR="00D70678" w:rsidRPr="00D70678" w:rsidRDefault="00D70678" w:rsidP="00FE51E9">
      <w:r w:rsidRPr="00D70678">
        <w:t>Als Ausgangspunkt definierte ich den Beobachter lediglich als einen Punkt im Koordinatensystem. Anschließend fügte ich die nichteuklidische Funktion hinzu, die die Einführung eines geeigneten Koordinatensystems erforderlich machte. Schließlich legte ich die Beobachtungsfläche fest.</w:t>
      </w:r>
    </w:p>
    <w:p w14:paraId="280CFE9D" w14:textId="77777777" w:rsidR="00D70678" w:rsidRDefault="00D70678" w:rsidP="00D70678">
      <w:pPr>
        <w:pStyle w:val="Abbildungsname"/>
      </w:pPr>
      <w:r w:rsidRPr="006E78CF">
        <w:rPr>
          <w:noProof/>
        </w:rPr>
        <w:drawing>
          <wp:inline distT="0" distB="0" distL="0" distR="0" wp14:anchorId="63E11049" wp14:editId="4C3AAE37">
            <wp:extent cx="5760720" cy="3483610"/>
            <wp:effectExtent l="0" t="0" r="0" b="25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483610"/>
                    </a:xfrm>
                    <a:prstGeom prst="rect">
                      <a:avLst/>
                    </a:prstGeom>
                  </pic:spPr>
                </pic:pic>
              </a:graphicData>
            </a:graphic>
          </wp:inline>
        </w:drawing>
      </w:r>
    </w:p>
    <w:p w14:paraId="1590823D" w14:textId="77777777" w:rsidR="00D70678" w:rsidRDefault="00D70678" w:rsidP="00D70678">
      <w:pPr>
        <w:pStyle w:val="Abbildungsname"/>
      </w:pPr>
      <w:r>
        <w:t>Abb.1 geometrischer Aufbau – Abbildung der gegebenen Werte</w:t>
      </w:r>
    </w:p>
    <w:p w14:paraId="68E5F515" w14:textId="62A67CC2" w:rsidR="00D70678" w:rsidRPr="00D70678" w:rsidRDefault="00D70678" w:rsidP="00FE51E9">
      <w:r w:rsidRPr="00D70678">
        <w:t>Der Beobachter befindet sich im Ursprung des Koordinatensystems. Die Beobachtungsfläche wurde als gleichseitiges Dreieck definiert, und der rote Bereich markiert die zu untersuchende nichteuklidische Fläche.</w:t>
      </w:r>
    </w:p>
    <w:p w14:paraId="58F8190B" w14:textId="77777777" w:rsidR="00D70678" w:rsidRPr="00D70678" w:rsidRDefault="00D70678" w:rsidP="00FE51E9">
      <w:r w:rsidRPr="00D70678">
        <w:t>Auf der Netzhaut entsteht eine zweidimensionale Verteilung optischer Reize; die räumliche Wahrnehmung wird unter Beteiligung weiterer visueller und kognitiver Prozesse erschlossen. Dies nutze ich als Analogie für die Unterscheidung zwischen einer gemessenen beziehungsweise dargestellten Größe und ihrer Interpretation. Daraus folgt ausdrücklich nicht, dass der physikalische Raum durch meine Darstellung erst entsteht. Das Modell ordnet vielmehr festgelegte Größen in einem Bezugssystem, um die Bearbeitung des geometrischen Problems zu ermöglichen.</w:t>
      </w:r>
    </w:p>
    <w:p w14:paraId="14241C73" w14:textId="77777777" w:rsidR="00BD6645" w:rsidRPr="00BD6645" w:rsidRDefault="00BD6645" w:rsidP="00FE51E9">
      <w:r w:rsidRPr="00BD6645">
        <w:t xml:space="preserve">Nun verfügte ich zwar über eine geometrische Konstruktion des Problems, doch stellte sich schnell heraus, dass diese Darstellung allein nicht ausreichte. Im dreidimensionalen Raum blieb die Aufgabe für mich zunächst unfassbar – ich hatte lediglich ein statisches Abbild der Situation, aber noch keine Möglichkeit, Dynamik oder Relationen zu interpretieren. Um das Bezugssystem handlungsfähig zu machen, benötigte ich zusätzlich eine </w:t>
      </w:r>
      <w:r w:rsidRPr="00BD6645">
        <w:rPr>
          <w:b/>
          <w:bCs/>
        </w:rPr>
        <w:t>Bezugsfunktion</w:t>
      </w:r>
      <w:r w:rsidRPr="00BD6645">
        <w:t>. Erst eine solche Funktion eröffnet die Möglichkeit, Relationen zwischen den Elementen des Systems – Beobachter, Fläche und nichteuklidische Struktur – abzubilden und zu analysieren. Ohne diese Bezugsfunktion wäre das Bezugssystem leerer Rahmen geblieben; mit ihr jedoch konnte ich den Übergang von einer bloßen Konstruktion hin zu einer interpretierbaren, mathematisch beschreibbaren Struktur vollziehen.</w:t>
      </w:r>
    </w:p>
    <w:p w14:paraId="75A99026" w14:textId="77777777" w:rsidR="00BD6645" w:rsidRPr="00BD6645" w:rsidRDefault="00BD6645" w:rsidP="00FE51E9">
      <w:r w:rsidRPr="00BD6645">
        <w:t xml:space="preserve">Um das Ergebnis schließlich fassbar zu machen, genügte die bloße Konstruktion nicht. Ich benötigte einen </w:t>
      </w:r>
      <w:r w:rsidRPr="00BD6645">
        <w:rPr>
          <w:b/>
          <w:bCs/>
        </w:rPr>
        <w:t>Akteur</w:t>
      </w:r>
      <w:r w:rsidRPr="00BD6645">
        <w:t xml:space="preserve">, der innerhalb des Bezugssystems eine aktive Rolle übernimmt und die abstrakten Strukturen mit messbaren Werten füllt. In meinem Fall definierte ich diesen Akteur als </w:t>
      </w:r>
      <w:r w:rsidRPr="00BD6645">
        <w:rPr>
          <w:i/>
          <w:iCs/>
        </w:rPr>
        <w:t>Sender</w:t>
      </w:r>
      <w:r w:rsidRPr="00BD6645">
        <w:t>, der die relevanten Daten erzeugte und damit die Auswertung des Abbilds überhaupt erst ermöglichte. Der Sender fungierte sozusagen als Schnittstelle zwischen der abstrakten Modellierung und der konkreten Messbarkeit. Erst durch seine Einbindung erhielt das System Dynamik: Aus einer geometrischen Konstruktion mit einer Bezugsfunktion wurde ein funktionales Modell, in dem Beobachtung, Messung und Auswertung miteinander verknüpft sind.</w:t>
      </w:r>
    </w:p>
    <w:p w14:paraId="79D43DA6" w14:textId="77777777" w:rsidR="00BD6645" w:rsidRPr="00BD6645" w:rsidRDefault="00BD6645" w:rsidP="00FE51E9">
      <w:r w:rsidRPr="00BD6645">
        <w:t xml:space="preserve">Schlussendlich bestand die Lösung darin, die </w:t>
      </w:r>
      <w:r w:rsidRPr="00BD6645">
        <w:rPr>
          <w:b/>
          <w:bCs/>
        </w:rPr>
        <w:t>Lichtlaufzeiten</w:t>
      </w:r>
      <w:r w:rsidRPr="00BD6645">
        <w:t xml:space="preserve"> vom Sender über die nichteuklidische Fläche bis hin zum Beobachtungsdreieck als Grundlage der Signalauswertung heranzuziehen und diese in </w:t>
      </w:r>
      <w:r w:rsidRPr="00BD6645">
        <w:rPr>
          <w:b/>
          <w:bCs/>
        </w:rPr>
        <w:t>Farbendarstellungen</w:t>
      </w:r>
      <w:r w:rsidRPr="00BD6645">
        <w:t xml:space="preserve"> umzuwandeln. Auf diese Weise wurde aus der abstrakten Modellierung ein sichtbares, interpretierbares Ergebnis: Die zuvor nur rechnerisch erfassbaren Relationen konnten in einer anschaulichen Form wahrgenommen und analysiert werden.</w:t>
      </w:r>
    </w:p>
    <w:p w14:paraId="414F5566" w14:textId="3DD3B1A7" w:rsidR="001456EC" w:rsidRPr="00FE51E9" w:rsidRDefault="001456EC" w:rsidP="00FE51E9">
      <w:r>
        <w:t>Als Verfahrenstechniker entwickelte ich aus diesem Beispiel einen Modellierungsweg, der die Annahmen der geometrischen Darstellung, eine Bezugsfunktion und einen Sender mit beobachtbaren Laufzeitgrößen verbindet. Ich verwende diesen Weg hier ausschließlich zur Erläuterung der Entstehung meiner Forschungsfrage. Der Nachweis eines eigenständigen Schutzrechts, dessen rechtlicher Status und die Originalunterlagen sind für diese methodische Einführung nicht erforderlich; darüber treffe ich in Kapitel 1 keine Feststellung.</w:t>
      </w:r>
    </w:p>
    <w:p w14:paraId="523504C0" w14:textId="475703D1" w:rsidR="000C0F90" w:rsidRPr="000C0F90" w:rsidRDefault="000C0F90" w:rsidP="000C0F90">
      <w:pPr>
        <w:pStyle w:val="Abbildungsname"/>
      </w:pPr>
      <w:r w:rsidRPr="000C0F90">
        <w:rPr>
          <w:noProof/>
        </w:rPr>
        <w:drawing>
          <wp:inline distT="0" distB="0" distL="0" distR="0" wp14:anchorId="703A4FF3" wp14:editId="36171701">
            <wp:extent cx="2880000" cy="2088000"/>
            <wp:effectExtent l="0" t="0" r="0"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80000" cy="2088000"/>
                    </a:xfrm>
                    <a:prstGeom prst="rect">
                      <a:avLst/>
                    </a:prstGeom>
                  </pic:spPr>
                </pic:pic>
              </a:graphicData>
            </a:graphic>
          </wp:inline>
        </w:drawing>
      </w:r>
    </w:p>
    <w:p w14:paraId="371246C6" w14:textId="77777777" w:rsidR="000C0F90" w:rsidRPr="000C0F90" w:rsidRDefault="000C0F90" w:rsidP="000C0F90">
      <w:pPr>
        <w:pStyle w:val="Abbildungsname"/>
      </w:pPr>
      <w:r w:rsidRPr="000C0F90">
        <w:t>Abb. - 3D-Darstellung der Signallaufzeit auf dem Betrachtungsdreieck</w:t>
      </w:r>
    </w:p>
    <w:p w14:paraId="190C2991" w14:textId="77777777" w:rsidR="000202C2" w:rsidRPr="00FE51E9" w:rsidRDefault="006F1FAD" w:rsidP="00FE51E9">
      <w:r w:rsidRPr="00FE51E9">
        <w:t>Durch die Verallgemeinerung meines Vorgehens entwickelte ich einen methodischen Ordnungsrahmen, den ich Funktionales Raum-Zeit-Kohärenzsystem (FRZK) nenne. Seine Begriffe, Voraussetzungen und mathematischen Operationen müssen eigenständig definiert werden; die technische Beispielkonstruktion belegt noch keine allgemeine mathematische oder didaktische Gültigkeit.</w:t>
      </w:r>
      <w:r w:rsidR="000202C2" w:rsidRPr="00FE51E9"/>
      <w:r w:rsidRPr="00FE51E9"/>
      <w:r w:rsidR="000202C2" w:rsidRPr="00FE51E9"/>
    </w:p>
    <w:p w14:paraId="1B8BF79C" w14:textId="2C782ABC" w:rsidR="001456EC" w:rsidRPr="001456EC" w:rsidRDefault="001456EC" w:rsidP="00FE51E9">
      <w:r>
        <w:t>Zwischen dem technischen Beispiel und meinen Unterrichtsbeobachtungen erkenne ich ein gemeinsames methodisches Motiv: Ich bestimme zunächst die relevanten Größen und Annahmen, ordne ihre Beziehungen und überprüfe, welche Schlussfolgerungen unter diesen Voraussetzungen möglich sind. Bei der Kartoffelaufgabe betrifft dies beispielsweise die Unterscheidung zwischen bekannten und gesuchten Angaben. Bei linearen Funktionen geht es um die Bedeutung der Parameter und ihrer Abhängigkeit. Ob die explizite Darstellung dieser Beziehungen Lernleistungen verbessert, muss untersucht werden.</w:t>
      </w:r>
    </w:p>
    <w:p w14:paraId="4834E9C8" w14:textId="7BA8EE13" w:rsidR="00AF4333" w:rsidRPr="00AF4333" w:rsidRDefault="00AF4333" w:rsidP="00FE51E9">
      <w:proofErr w:type="spellStart"/>
      <w:proofErr w:type="gramStart"/>
      <w:proofErr w:type="spellEnd"/>
      <w:proofErr w:type="gramEnd"/>
      <w:r>
        <w:t>Das technische Modell und meine Unterrichtsbeobachtungen verbinde ich als methodische Analogie, nicht als identischen Vorgang. Carroll diskutiert das Verhältnis naturwissenschaftlicher Weltbeschreibung zu weiterführenden philosophischen Fragestellungen (Carroll, Sean (2016). The Big Picture: On the Origins of Life, Meaning, and the Universe Itself. New York: Dutton.)[11]. Diese Literatur liefert einen allgemeinen Vergleich von Erklärungsebenen, aber weder einen methodischen Nachweis für das FRZK noch eine Aussage zu dessen Unterrichtswirksamkeit.</w:t>
      </w:r>
    </w:p>
    <w:p w14:paraId="30F98BA7" w14:textId="77777777" w:rsidR="00AF4333" w:rsidRPr="00AF4333" w:rsidRDefault="00AF4333" w:rsidP="00FE51E9">
      <w:r>
        <w:t>Im Beispiel der Grundschülerin konnte ich beobachten, dass sie zunächst alle Informationen als gleichwertig behandelte. Eine schrittweise Strukturierung der Aufgabe bot die Gelegenheit, zwischen den vorhandenen Angaben und der gesuchten Größe zu unterscheiden. Welche Rolle dabei die konkrete Alltagssituation, das Vorwissen und die sprachliche Aufgabenformulierung spielten, blieb offen.</w:t>
      </w:r>
    </w:p>
    <w:p w14:paraId="706F5204" w14:textId="77777777" w:rsidR="00AF4333" w:rsidRPr="00AF4333" w:rsidRDefault="00AF4333" w:rsidP="00FE51E9">
      <w:r>
        <w:t>Bei den Schülerinnen der neunten Klasse zeigte sich eine andere Schwierigkeit: Eine bekannte Formel konnte nicht ohne Weiteres in eine verständliche Erklärung überführt werden. Für die Modellierung ist deshalb zu unterscheiden zwischen einer symbolischen Darstellung, den Bedeutungen ihrer Variablen und den funktionalen Beziehungen im jeweiligen Sachkontext. Die mögliche didaktische Wirkung einer solchen Unterscheidung ist Gegenstand meiner Untersuchung.</w:t>
      </w:r>
    </w:p>
    <w:p w14:paraId="79AA672D" w14:textId="77777777" w:rsidR="00AF4333" w:rsidRPr="00AF4333" w:rsidRDefault="00AF4333" w:rsidP="00FE51E9">
      <w:r>
        <w:t>Aus beiden Situationen leite ich keine allgemeine Lerntheorie ab. Ich entwickle daraus eine Forschungsfrage nach dem Nutzen expliziter Orientierung: Hilft es, wenn Lernende einen mathematischen Zusammenhang durch eigene Beschreibungen, Beispiele und überprüfbare Zuordnungen erschließen?</w:t>
      </w:r>
    </w:p>
    <w:p w14:paraId="79CA3534" w14:textId="77777777" w:rsidR="00645A94" w:rsidRDefault="00000000" w:rsidP="00645A94">
      <w:r>
        <w:pict w14:anchorId="66482BEE">
          <v:rect id="_x0000_i1029" style="width:0;height:1.5pt" o:hralign="center" o:hrstd="t" o:hr="t" fillcolor="#a0a0a0" stroked="f"/>
        </w:pict>
      </w:r>
    </w:p>
    <w:p w14:paraId="656A8477" w14:textId="7CC9F945" w:rsidR="000072D7" w:rsidRPr="000072D7" w:rsidRDefault="000928CC" w:rsidP="001456EC">
      <w:pPr>
        <w:pStyle w:val="berschrift2"/>
        <w:keepNext/>
        <w:rPr>
          <w:rFonts w:ascii="Times New Roman" w:hAnsi="Times New Roman"/>
          <w:bCs/>
          <w:sz w:val="27"/>
          <w:szCs w:val="27"/>
        </w:rPr>
      </w:pPr>
      <w:r>
        <w:t>1.</w:t>
      </w:r>
      <w:r w:rsidR="00645A94">
        <w:t>3</w:t>
      </w:r>
      <w:r>
        <w:t xml:space="preserve"> </w:t>
      </w:r>
      <w:r w:rsidR="000072D7" w:rsidRPr="000072D7">
        <w:t>Die Rolle des Tutors und die Struktur von Nachhilfe im Kontext der individuellen Lernförderung</w:t>
      </w:r>
    </w:p>
    <w:p w14:paraId="5D8A33FF" w14:textId="1AD50513" w:rsidR="000072D7" w:rsidRDefault="000072D7" w:rsidP="00645A94">
      <w:r w:rsidRPr="000072D7">
        <w:t>Die Praxis der Nachhilfe hat sich im Laufe der Jahre von einer rein unterstützenden Funktion hin zu einer zunehmend komplexeren und individueller gestalteten Form des Lernens entwickelt. In vielen Fällen wird der Begriff „Nachhilfelehrer“ verwendet, um jemanden zu beschreiben, der Wissenslücken aufarbeitet und versäumte Inhalte nachholt. Doch dieser Begriff ist aus meiner Sicht irreführend, da er nicht das volle Spektrum der Rolle widerspiegelt, die ein Tutor oder Lernbegleiter heutzutage einnimmt. Nachhilfe, so wie sie in der Praxis gelebt wird, muss sich grundlegend von regulärem Unterricht unterscheiden, da sie auf die spezifischen Bedürfnisse des Einzelnen zugeschnitten ist und eine intensivere und flexiblere Auseinandersetzung mit dem Lernstoff ermöglicht.</w:t>
      </w:r>
    </w:p>
    <w:p w14:paraId="1D9EEB1E" w14:textId="77777777" w:rsidR="002F631F" w:rsidRPr="002F631F" w:rsidRDefault="002F631F" w:rsidP="00645A94">
      <w:r w:rsidRPr="002F631F">
        <w:t xml:space="preserve">Dabei wird deutlich, wie sich die </w:t>
      </w:r>
      <w:r w:rsidRPr="002F631F">
        <w:rPr>
          <w:b/>
          <w:bCs/>
        </w:rPr>
        <w:t>Struktur und Didaktik der Nachhilfe</w:t>
      </w:r>
      <w:r w:rsidRPr="002F631F">
        <w:t xml:space="preserve"> vom traditionellen Unterricht unterscheidet. Während der reguläre Unterricht häufig nach einem festen Lehrplan und standardisierten Methoden abläuft, ist Nachhilfe stärker </w:t>
      </w:r>
      <w:r w:rsidRPr="002F631F">
        <w:rPr>
          <w:b/>
          <w:bCs/>
        </w:rPr>
        <w:t>individualisiert und flexibel</w:t>
      </w:r>
      <w:r w:rsidRPr="002F631F">
        <w:t>. Sie orientiert sich unmittelbar an den Bedürfnissen und dem aktuellen Wissensstand der Lernenden.</w:t>
      </w:r>
    </w:p>
    <w:p w14:paraId="74AE93FE" w14:textId="77777777" w:rsidR="002F631F" w:rsidRPr="002F631F" w:rsidRDefault="002F631F" w:rsidP="00645A94">
      <w:r w:rsidRPr="002F631F">
        <w:t xml:space="preserve">Ein zentrales Element ist die </w:t>
      </w:r>
      <w:r w:rsidRPr="002F631F">
        <w:rPr>
          <w:b/>
          <w:bCs/>
        </w:rPr>
        <w:t>Einflussnahme des Tutors auf den Lernprozess</w:t>
      </w:r>
      <w:r w:rsidRPr="002F631F">
        <w:t xml:space="preserve">: Durch gezielte Fragestellungen, Rückmeldungen und die Anpassung des Schwierigkeitsgrades kann der Tutor die Lernenden aktiv in den Denkprozess einbeziehen und deren Verständnis fördern. Dabei geht es nicht nur um die Vermittlung von Fakten oder Rechenmethoden, sondern auch um die Entwicklung von </w:t>
      </w:r>
      <w:r w:rsidRPr="002F631F">
        <w:rPr>
          <w:b/>
          <w:bCs/>
        </w:rPr>
        <w:t>mentalen Strukturen</w:t>
      </w:r>
      <w:r w:rsidRPr="002F631F">
        <w:t>, die das eigenständige Problemlösen ermöglichen.</w:t>
      </w:r>
    </w:p>
    <w:p w14:paraId="68707D05" w14:textId="6E0FB00E" w:rsidR="002F631F" w:rsidRPr="002F631F" w:rsidRDefault="002F631F" w:rsidP="00645A94">
      <w:r>
        <w:t>Ich messe der Lernatmosphäre, dem fachlichen Feedback und der nachvollziehbaren Rückmeldung über Lösungswege besondere Aufmerksamkeit bei. Hattie bündelt umfangreiche Forschung zu Faktoren schulischen Lernens und behandelt unter anderem die Bedeutung von Rückmeldung (Hattie, John (2009). Visible Learning: A Synthesis of Over 800 Meta-Analyses Relating to Achievement. London: Routledge.)[12]. Daraus lässt sich für meine konkreten Lerngruppen weder eine bestimmte Effektstärke ableiten noch die Wirksamkeit des FRZK voraussetzen; diese Zusammenhänge müssen im Untersuchungsdesign getrennt beobachtet werden.</w:t>
      </w:r>
    </w:p>
    <w:p w14:paraId="3E790B7F" w14:textId="77777777" w:rsidR="002F631F" w:rsidRPr="002F631F" w:rsidRDefault="002F631F" w:rsidP="00645A94">
      <w:r w:rsidRPr="002F631F">
        <w:t xml:space="preserve">Ebenso wichtig ist die </w:t>
      </w:r>
      <w:r w:rsidRPr="002F631F">
        <w:rPr>
          <w:b/>
          <w:bCs/>
        </w:rPr>
        <w:t>individuelle Förderung</w:t>
      </w:r>
      <w:r w:rsidRPr="002F631F">
        <w:t xml:space="preserve">: Jeder Lernende bringt unterschiedliche Vorkenntnisse, Stärken, Schwächen und Interessen mit. Der Tutor muss diese Aspekte erkennen, die Aufgaben gezielt anpassen und Lernwege so gestalten, dass die </w:t>
      </w:r>
      <w:proofErr w:type="spellStart"/>
      <w:proofErr w:type="gramStart"/>
      <w:r w:rsidRPr="002F631F">
        <w:t>Schüler:innen</w:t>
      </w:r>
      <w:proofErr w:type="spellEnd"/>
      <w:proofErr w:type="gramEnd"/>
      <w:r w:rsidRPr="002F631F">
        <w:t xml:space="preserve"> Schritt für Schritt Erfolge erleben und Vertrauen in ihre Fähigkeiten entwickeln.</w:t>
      </w:r>
    </w:p>
    <w:p w14:paraId="44BAE971" w14:textId="77777777" w:rsidR="002F631F" w:rsidRPr="002F631F" w:rsidRDefault="002F631F" w:rsidP="00645A94">
      <w:r w:rsidRPr="002F631F">
        <w:t xml:space="preserve">Nicht zuletzt spielt die </w:t>
      </w:r>
      <w:r w:rsidRPr="002F631F">
        <w:rPr>
          <w:b/>
          <w:bCs/>
        </w:rPr>
        <w:t>Berücksichtigung der persönlichen Bezugssysteme der Lernenden</w:t>
      </w:r>
      <w:r w:rsidRPr="002F631F">
        <w:t xml:space="preserve"> eine zentrale Rolle. Lernende können nur dann effektiv lernen, wenn neue Informationen in ein für sie verständliches und handhabbares System eingebunden werden. Durch die Aktivierung und den Aufbau eines solchen Bezugssystems werden abstrakte Inhalte greifbar, Zusammenhänge sichtbar und das eigenständige Arbeiten gefördert.</w:t>
      </w:r>
    </w:p>
    <w:p w14:paraId="5F7293F7" w14:textId="77777777" w:rsidR="002D0AE5" w:rsidRPr="000072D7" w:rsidRDefault="002D0AE5" w:rsidP="00645A94">
      <w:r w:rsidRPr="000072D7">
        <w:t>Die Wirkung des Tutors auf die Lernenden ist entscheidend für den Erfolg der Nachhilfestunde. Ein Tutor hat die Aufgabe, eine positive, unterstützende Lernatmosphäre zu schaffen, die es den Lernenden ermöglicht, sich mit dem Stoff auseinanderzusetzen und gleichzeitig Vertrauen in ihre eigenen Fähigkeiten zu entwickeln. Die zwischenmenschliche Beziehung zwischen Tutor und Lernendem spielt dabei eine ebenso wichtige Rolle wie die fachliche Expertise. Empathie, Verständnis und die Fähigkeit, auf die individuellen Bedürfnisse des Lernenden einzugehen, sind ebenso entscheidend wie das Fachwissen.</w:t>
      </w:r>
    </w:p>
    <w:p w14:paraId="49A34133" w14:textId="77777777" w:rsidR="002D0AE5" w:rsidRPr="000072D7" w:rsidRDefault="002D0AE5" w:rsidP="00645A94">
      <w:r>
        <w:t>Diese wechselseitige Beziehung bildet in meiner Nachhilfepraxis eine wesentliche Arbeitsbedingung. Ich verstehe meine Rolle nicht allein als Wissensvermittler, sondern auch als Lernbegleiter, der zur eigenständigen Entwicklung und Überprüfung von Lösungsstrategien anregen soll. Ob diese Gestaltung tatsächlich zu einem besseren Verständnis oder zu stabileren Lernleistungen führt, lässt sich ohne systematische Untersuchung nicht feststellen.</w:t>
      </w:r>
    </w:p>
    <w:p w14:paraId="491E96A4" w14:textId="77777777" w:rsidR="00645A94" w:rsidRDefault="00000000" w:rsidP="00645A94">
      <w:r>
        <w:pict w14:anchorId="6B6CD46F">
          <v:rect id="_x0000_i1030" style="width:0;height:1.5pt" o:hralign="center" o:hrstd="t" o:hr="t" fillcolor="#a0a0a0" stroked="f"/>
        </w:pict>
      </w:r>
    </w:p>
    <w:p>
      <w:pPr>
        <w:pStyle w:val="berschrift2"/>
        <w:keepNext/>
      </w:pPr>
      <w:r>
        <w:t>1.4 Didaktische Differenzierung und Lernende</w:t>
      </w:r>
    </w:p>
    <w:p w14:paraId="1C0EBD20" w14:textId="18094C88" w:rsidR="000072D7" w:rsidRPr="000072D7" w:rsidRDefault="000072D7" w:rsidP="001456EC">
      <w:pPr>
        <w:pStyle w:val="berschrift3"/>
        <w:keepNext/>
      </w:pPr>
      <w:r w:rsidRPr="000072D7">
        <w:t>1.</w:t>
      </w:r>
      <w:r w:rsidR="001456EC">
        <w:t>4.1</w:t>
      </w:r>
      <w:r w:rsidRPr="000072D7">
        <w:t xml:space="preserve"> Die Didaktische Differenzierung zwischen Nachhilfe und regulärem Unterricht</w:t>
      </w:r>
    </w:p>
    <w:p w14:paraId="7C7A3E6D" w14:textId="77777777" w:rsidR="000072D7" w:rsidRPr="000072D7" w:rsidRDefault="000072D7" w:rsidP="0080611F">
      <w:r w:rsidRPr="000072D7">
        <w:t>Ein grundlegender Unterschied zwischen Nachhilfe und regulärem Unterricht ist die Art und Weise, wie die Lernprozesse strukturiert sind. Im traditionellen Unterricht sind Lehrpläne oft für die gesamte Klasse vorgegeben und berücksichtigen die individuellen Bedürfnisse der Schülerinnen und Schüler nur bedingt. Nachhilfe hingegen kann sich gezielt auf die spezifischen Schwierigkeiten und Fragen des Einzelnen fokussieren. Diese maßgeschneiderte Form der Lernbegleitung ermöglicht es, direkt auf die Bedürfnisse der Lernenden einzugehen und flexibel auf deren Lernfortschritte und Schwierigkeiten zu reagieren.</w:t>
      </w:r>
    </w:p>
    <w:p w14:paraId="78B9D893" w14:textId="77777777" w:rsidR="000072D7" w:rsidRPr="000072D7" w:rsidRDefault="000072D7" w:rsidP="0080611F">
      <w:r w:rsidRPr="000072D7">
        <w:t>Während regulärer Unterricht oft von einem festen Curriculum und einem Standardansatz geprägt ist, der allen Lernenden mehr oder weniger die gleiche Methode und den gleichen Lerninhalt bietet, erfordert Nachhilfe eine individuellere und oft kreativer gestaltete Herangehensweise. Der Tutor wird nicht nur zum Wissensvermittler, sondern vielmehr zu einem Lernbegleiter, der die Lernenden auf ihrem individuellen Lernweg unterstützt und ihnen hilft, ihre eigenen Lernstrategien zu entwickeln. Dies erfordert nicht nur Fachwissen, sondern auch eine hohe soziale und didaktische Kompetenz, um die Lernenden dort abzuholen, wo sie stehen.</w:t>
      </w:r>
    </w:p>
    <w:p w14:paraId="6F4326EB" w14:textId="77777777" w:rsidR="00645A94" w:rsidRDefault="00000000" w:rsidP="00645A94">
      <w:r>
        <w:pict w14:anchorId="3585F635">
          <v:rect id="_x0000_i1031" style="width:0;height:1.5pt" o:hralign="center" o:hrstd="t" o:hr="t" fillcolor="#a0a0a0" stroked="f"/>
        </w:pict>
      </w:r>
    </w:p>
    <w:p w14:paraId="0CB67EB5" w14:textId="07D1171A" w:rsidR="000072D7" w:rsidRPr="000072D7" w:rsidRDefault="000072D7" w:rsidP="001456EC">
      <w:pPr>
        <w:pStyle w:val="berschrift3"/>
        <w:keepNext/>
      </w:pPr>
      <w:r w:rsidRPr="000072D7">
        <w:t>1.</w:t>
      </w:r>
      <w:r w:rsidR="001456EC">
        <w:t>4.2</w:t>
      </w:r>
      <w:r w:rsidRPr="000072D7">
        <w:t xml:space="preserve"> Die Bedeutung der Bezugssysteme und der persönlichen Relevanz</w:t>
      </w:r>
    </w:p>
    <w:p w14:paraId="3329F23B" w14:textId="7B72799A" w:rsidR="001456EC" w:rsidRPr="001456EC" w:rsidRDefault="001456EC" w:rsidP="0080611F">
      <w:r w:rsidRPr="001456EC">
        <w:t xml:space="preserve">Ein zentrales Thema </w:t>
      </w:r>
      <w:r w:rsidR="00830E3F">
        <w:t xml:space="preserve">meiner </w:t>
      </w:r>
      <w:r w:rsidRPr="001456EC">
        <w:t xml:space="preserve">Nachhilfe ist das </w:t>
      </w:r>
      <w:r w:rsidRPr="001456EC">
        <w:rPr>
          <w:b/>
          <w:bCs/>
        </w:rPr>
        <w:t>Bezugssystem der Lernenden</w:t>
      </w:r>
      <w:r w:rsidRPr="001456EC">
        <w:t xml:space="preserve">. Während im regulären Unterricht häufig eine universelle Herangehensweise gewählt wird, die oft wenig Bezug zur Lebenswelt der </w:t>
      </w:r>
      <w:proofErr w:type="spellStart"/>
      <w:proofErr w:type="gramStart"/>
      <w:r w:rsidRPr="001456EC">
        <w:t>Schüler:innen</w:t>
      </w:r>
      <w:proofErr w:type="spellEnd"/>
      <w:proofErr w:type="gramEnd"/>
      <w:r w:rsidRPr="001456EC">
        <w:t xml:space="preserve"> herstellt, ist es in der Nachhilfe entscheidend, dass Aufgaben und Inhalte eine </w:t>
      </w:r>
      <w:r w:rsidRPr="001456EC">
        <w:rPr>
          <w:b/>
          <w:bCs/>
        </w:rPr>
        <w:t>persönliche Relevanz</w:t>
      </w:r>
      <w:r w:rsidRPr="001456EC">
        <w:t xml:space="preserve"> für die Lernenden besitzen. </w:t>
      </w:r>
      <w:r w:rsidR="00830E3F">
        <w:t>Die</w:t>
      </w:r>
      <w:r w:rsidRPr="001456EC">
        <w:t xml:space="preserve"> zuvor </w:t>
      </w:r>
      <w:r w:rsidR="00830E3F">
        <w:t xml:space="preserve">in Abschnitt 1.1 </w:t>
      </w:r>
      <w:r w:rsidRPr="001456EC">
        <w:t>geschilderte</w:t>
      </w:r>
      <w:r w:rsidR="00830E3F">
        <w:t>n</w:t>
      </w:r>
      <w:r w:rsidRPr="001456EC">
        <w:t xml:space="preserve"> Beispiel</w:t>
      </w:r>
      <w:r w:rsidR="00830E3F">
        <w:t>e</w:t>
      </w:r>
      <w:r w:rsidRPr="001456EC">
        <w:t xml:space="preserve"> verdeutlicht dieses Prinzip</w:t>
      </w:r>
      <w:r w:rsidR="00830E3F">
        <w:t>.</w:t>
      </w:r>
    </w:p>
    <w:p w14:paraId="1DAF15C2" w14:textId="51CA481A" w:rsidR="000072D7" w:rsidRDefault="000072D7" w:rsidP="0080611F">
      <w:r w:rsidRPr="000072D7">
        <w:t>Die Reaktion</w:t>
      </w:r>
      <w:r w:rsidR="00830E3F">
        <w:t xml:space="preserve"> in den Beispielen</w:t>
      </w:r>
      <w:r w:rsidRPr="000072D7">
        <w:t xml:space="preserve"> zeig</w:t>
      </w:r>
      <w:r w:rsidR="00830E3F">
        <w:t>en</w:t>
      </w:r>
      <w:r w:rsidRPr="000072D7">
        <w:t xml:space="preserve">, wie wichtig es ist, dass die Aufgabenstellungen für die Lernenden in einem Kontext eingebettet sind, den sie nachvollziehen können. Wird dies nicht berücksichtigt, kann es dazu führen, dass der Lernende die Aufgabe nicht als Herausforderung, sondern als isolierte Information wahrnimmt. In </w:t>
      </w:r>
      <w:r w:rsidR="00830E3F">
        <w:t>meiner</w:t>
      </w:r>
      <w:r w:rsidRPr="000072D7">
        <w:t xml:space="preserve"> Nachhilfe ist es daher entscheidend, dass die Aufgabenstellungen so gestaltet sind, dass sie die Lernenden aktiv in den Lernprozess einbeziehen und ihre kognitiven Fähigkeiten fördern.</w:t>
      </w:r>
    </w:p>
    <w:p w14:paraId="69D489F6" w14:textId="77777777" w:rsidR="00645A94" w:rsidRDefault="00000000" w:rsidP="00645A94">
      <w:r>
        <w:pict w14:anchorId="7E38F323">
          <v:rect id="_x0000_i1032" style="width:0;height:1.5pt" o:hralign="center" o:hrstd="t" o:hr="t" fillcolor="#a0a0a0" stroked="f"/>
        </w:pict>
      </w:r>
    </w:p>
    <w:p w14:paraId="5329B45C" w14:textId="77777777" w:rsidR="000202C2" w:rsidRDefault="000202C2" w:rsidP="000202C2">
      <w:pPr>
        <w:pStyle w:val="berschrift3"/>
        <w:keepNext/>
        <w:rPr>
          <w:sz w:val="27"/>
          <w:szCs w:val="27"/>
        </w:rPr>
      </w:pPr>
      <w:r>
        <w:t>1.4.3 Die Lernenden</w:t>
      </w:r>
    </w:p>
    <w:p w14:paraId="01F91534" w14:textId="33F68DEC" w:rsidR="000202C2" w:rsidRDefault="000202C2" w:rsidP="006F4D88">
      <w:r>
        <w:t>In meiner bisherigen Nachhilfepraxis begleite ich häufig Lernende, deren schulische Leistungen sehr unterschiedlich sind und die zum Teil erhebliche fachliche Schwierigkeiten mitbringen. Beobachtete Notenverteilungen aus meinen Gruppen sind bislang nicht nach einem einheitlichen Erhebungsverfahren dokumentiert worden. Deshalb verwende ich an dieser Stelle keine Prozentanteile als vermeintlich statistisch gesicherte Stichprobenbeschreibung. Die Ausgangsleistungen werden erst für die geplante Untersuchung nach festgelegten Kriterien erfasst.</w:t>
      </w:r>
    </w:p>
    <w:p w14:paraId="4BAF0EF5" w14:textId="77777777" w:rsidR="000202C2" w:rsidRDefault="000202C2" w:rsidP="006F4D88">
      <w:r>
        <w:t>Für die Unterrichtsgestaltung bedeutet dies, dass unterschiedliche Vorkenntnisse und Schwierigkeiten im Unterricht zu berücksichtigen sind. Standardisierte Erklärungen können hilfreich sein, müssen jedoch nicht für alle Lernenden ausreichen. Das Prinzip eines zunächst bewusst reduzierten Bezugssystems soll es ermöglichen, aufgabenrelevante Informationen schrittweise zu ordnen. Es setzt nicht voraus, dass die Lernenden tatsächlich ohne Vorwissen lernen können; vielmehr muss ich den Zusammenhang zu bereits vorhandenen Kenntnissen im Lernprozess untersuchen.</w:t>
      </w:r>
      <w:proofErr w:type="spellStart"/>
      <w:r/>
      <w:proofErr w:type="spellEnd"/>
      <w:r/>
      <w:r>
        <w:rPr>
          <w:rStyle w:val="Fett"/>
        </w:rPr>
      </w:r>
      <w:r/>
    </w:p>
    <w:p w14:paraId="15DDA726" w14:textId="77777777" w:rsidR="000202C2" w:rsidRDefault="000202C2" w:rsidP="006F4D88">
      <w:r>
        <w:t>Das Bezugssystem der Lernenden ist nicht mit einem mathematischen Koordinatensystem gleichzusetzen. Ich verwende den Ausdruck an dieser Stelle als didaktische Metapher für die jeweils verfügbaren Vorstellungen, Erfahrungen und Kenntnisse, mit denen Lernende Angaben einer Aufgabe einordnen. Ob die schrittweise explizite Darstellung funktionaler Beziehungen das eigene Verständnis und den Transfer unterstützt, bleibt Gegenstand der Untersuchung.</w:t>
      </w:r>
    </w:p>
    <w:p w14:paraId="736214A0" w14:textId="77777777" w:rsidR="000202C2" w:rsidRDefault="000202C2" w:rsidP="006F4D88">
      <w:r>
        <w:t>Das zunächst leere Darstellungsblatt nutze ich als methodisches Hilfsmittel, um aufgabenrelevante Angaben, Begriffe und Beziehungen schrittweise festzuhalten. Ich verbinde es in der Nachhilfe mit Fragen, Rückmeldungen und einer möglichst unterstützenden Lernatmosphäre. Ein nachweisbarer Lernvorteil folgt aus dieser Beschreibung noch nicht.</w:t>
      </w:r>
    </w:p>
    <w:p w14:paraId="14BE2455" w14:textId="77777777" w:rsidR="000202C2" w:rsidRDefault="000202C2" w:rsidP="006F4D88">
      <w:r>
        <w:t>Meine Erfahrungen als Nachhilfelehrer sowie meine Tätigkeiten als Verfahrenstechniker, IT-Projektleiter und Dozent helfen mir bei der Strukturierung von Aufgabenstellungen und bei der Gestaltung individueller Lernangebote. Das leere Bezugssystem setze ich in meiner Praxis als methodische Unterstützung ein. Ob diese Unterstützung zu nachweisbaren Verbesserungen beim Aufgabenverständnis, bei der eigenständigen Bearbeitung oder beim Transfer führt, muss ich anhand dokumentierter Lernverläufe und geeigneter Vergleichsmaßstäbe untersuchen.</w:t>
      </w:r>
      <w:r>
        <w:rPr>
          <w:rStyle w:val="Fett"/>
        </w:rPr>
      </w:r>
      <w:r/>
    </w:p>
    <w:p w14:paraId="6D0A01DE" w14:textId="00DCF8F6" w:rsidR="006347DA" w:rsidRDefault="000202C2" w:rsidP="006F4D88">
      <w:r>
        <w:t>Für meine Unterrichtspraxis bildet dieses Vorgehen einen erprobungsbedürftigen Ausgangspunkt zur individuellen Anpassung von Aufgaben und Hilfen. Darin sehe ich einen möglichen Untersuchungsgegenstand des FRZK, nicht bereits ein gegenüber regulärem Unterricht überlegenes Verfahren.</w:t>
      </w:r>
    </w:p>
    <w:p w14:paraId="012209E2" w14:textId="66617807" w:rsidR="001456EC" w:rsidRPr="00645A94" w:rsidRDefault="00000000" w:rsidP="00645A94">
      <w:r>
        <w:pict w14:anchorId="7503C607">
          <v:rect id="_x0000_i1033" style="width:0;height:1.5pt" o:hralign="center" o:hrstd="t" o:hr="t" fillcolor="#a0a0a0" stroked="f"/>
        </w:pict>
      </w:r>
    </w:p>
    <w:p w14:paraId="49C80318" w14:textId="6BDF5760" w:rsidR="00645A94" w:rsidRDefault="00645A94" w:rsidP="00B20227">
      <w:pPr>
        <w:pStyle w:val="berschrift2"/>
        <w:keepNext/>
      </w:pPr>
      <w:r>
        <w:t>1.</w:t>
      </w:r>
      <w:r w:rsidR="00B20227">
        <w:t>5</w:t>
      </w:r>
      <w:r>
        <w:t xml:space="preserve"> Die Lernumgebung</w:t>
      </w:r>
      <w:r w:rsidR="00830E3F">
        <w:t xml:space="preserve"> und Unterrichtsführung</w:t>
      </w:r>
    </w:p>
    <w:p w14:paraId="3413391F" w14:textId="5EA4DF90" w:rsidR="00645A94" w:rsidRDefault="00645A94" w:rsidP="00645A94">
      <w:r>
        <w:t xml:space="preserve">Die Nachhilfe findet immer in Räumen der „Schülerhilfe“ statt. Diese haben 8 Plätze die rund um einen quadratischen Tisch angeordnet sind. Ich habe inzwischen einen Stammplatz an eine Ecke des Tisches, der auch von den Lernenden als solcher akzeptiert wird. Die Lernenden versuchen eher zu kommen um ihren „Stammplatz“ zu bekommen, die Platzwahl ist aber frei. Es kommt vor, dass ich Schüler umsetze um </w:t>
      </w:r>
      <w:proofErr w:type="spellStart"/>
      <w:r>
        <w:t>z.Bsp</w:t>
      </w:r>
      <w:proofErr w:type="spellEnd"/>
      <w:r>
        <w:t>. eine Gruppenarbeit zu ermöglichen, störende Elemente durch zusammensitzende Schüler beseitige oder Z</w:t>
      </w:r>
      <w:r w:rsidR="00E2021E">
        <w:t>u</w:t>
      </w:r>
      <w:r>
        <w:t xml:space="preserve">gang zum Laptop zu gewährleisten. </w:t>
      </w:r>
      <w:r w:rsidR="009508F7">
        <w:t>Im Raum befindet sich zusätzlich eine Tafel.</w:t>
      </w:r>
    </w:p>
    <w:p w14:paraId="76216F33" w14:textId="67FE0655" w:rsidR="009508F7" w:rsidRDefault="009508F7" w:rsidP="00645A94">
      <w:r>
        <w:t>Mein Ziel ist es, diese Lernumgebung (den Raum) in einen Platz zu verwandeln, zu dem die Lernenden einen persönlichen Bezug haben und sich wohlfühlen. Der Raum hat 8 Plätze, die ich grundsätzlich nicht ausreize, sondern meine Lerngruppen sin</w:t>
      </w:r>
      <w:r w:rsidR="00B20227">
        <w:t>d</w:t>
      </w:r>
      <w:r>
        <w:t xml:space="preserve"> maximal </w:t>
      </w:r>
      <w:r w:rsidR="00B20227">
        <w:t>5</w:t>
      </w:r>
      <w:r>
        <w:t xml:space="preserve"> Lernende groß. Zwei Lerngruppen habe inzwischen ihre eigenen Plakate angebracht („Mathe macht stark“ und „Ma(</w:t>
      </w:r>
      <w:proofErr w:type="spellStart"/>
      <w:r>
        <w:t>ke</w:t>
      </w:r>
      <w:proofErr w:type="spellEnd"/>
      <w:r>
        <w:t>)</w:t>
      </w:r>
      <w:proofErr w:type="spellStart"/>
      <w:proofErr w:type="gramStart"/>
      <w:r>
        <w:t>the</w:t>
      </w:r>
      <w:proofErr w:type="spellEnd"/>
      <w:r>
        <w:t xml:space="preserve">  Best</w:t>
      </w:r>
      <w:proofErr w:type="gramEnd"/>
      <w:r>
        <w:t xml:space="preserve">“) Das sind persönliche Texte, auf die ich keinen Einfluss genommen habe, die aber ein deutliches Bild der Haltung der Lernenden </w:t>
      </w:r>
      <w:r w:rsidR="00B20227">
        <w:t>widerspiegeln</w:t>
      </w:r>
      <w:r>
        <w:t>.</w:t>
      </w:r>
    </w:p>
    <w:p w14:paraId="1BA3DE9F" w14:textId="77777777" w:rsidR="00B20227" w:rsidRDefault="00B20227" w:rsidP="00645A94">
      <w:r>
        <w:t>Meine Lerneinheiten folgen einer festen Struktur:</w:t>
      </w:r>
    </w:p>
    <w:p w14:paraId="47364688" w14:textId="7DCE6336" w:rsidR="00B20227" w:rsidRDefault="00B20227" w:rsidP="006F4D88">
      <w:pPr>
        <w:pStyle w:val="Aufzhlung"/>
      </w:pPr>
      <w:r>
        <w:t xml:space="preserve">Blitzlicht – 5 min - die Lernenden erzählen über Erlebtes und nennen </w:t>
      </w:r>
      <w:r w:rsidR="00280D55">
        <w:t>einen Gemütszustand</w:t>
      </w:r>
      <w:r>
        <w:t xml:space="preserve"> </w:t>
      </w:r>
    </w:p>
    <w:p w14:paraId="51A3A82D" w14:textId="36656788" w:rsidR="00E2021E" w:rsidRDefault="00B20227" w:rsidP="006F4D88">
      <w:pPr>
        <w:pStyle w:val="Aufzhlung"/>
      </w:pPr>
      <w:r>
        <w:t xml:space="preserve">Arbeitszeit – 75 min </w:t>
      </w:r>
      <w:r w:rsidR="006F4D88">
        <w:t>- die</w:t>
      </w:r>
      <w:r>
        <w:t xml:space="preserve"> Lernenden erarbeiten mit ihren spezifischen Concept-Maps das Ausbildungsziel</w:t>
      </w:r>
    </w:p>
    <w:p w14:paraId="5D3FBA8F" w14:textId="15E01DCB" w:rsidR="00B20227" w:rsidRDefault="00B20227" w:rsidP="006F4D88">
      <w:pPr>
        <w:pStyle w:val="Aufzhlung"/>
      </w:pPr>
      <w:r>
        <w:t xml:space="preserve">Formaler Abschluss – 5 min </w:t>
      </w:r>
      <w:r w:rsidR="006F4D88">
        <w:t>–</w:t>
      </w:r>
      <w:r>
        <w:t xml:space="preserve"> </w:t>
      </w:r>
      <w:r w:rsidR="006F4D88">
        <w:t>die Lernenden führen ihre Nachhilfehefter (der Nachhilfehefter folgt einer von mir festgelegten Form und soll den Lernenden ermöglichen, vergangenen Stoff schnell zu finden)</w:t>
      </w:r>
    </w:p>
    <w:p w14:paraId="51E3C1D9" w14:textId="2F491E97" w:rsidR="006F4D88" w:rsidRDefault="006F4D88" w:rsidP="006F4D88">
      <w:pPr>
        <w:pStyle w:val="Aufzhlung"/>
      </w:pPr>
      <w:r>
        <w:t>Auswertung – 5 min – jeder Lernende berichtet über seine Arbeit und erhält von mir ein Feedback zur geleisteten Arbeit</w:t>
      </w:r>
    </w:p>
    <w:p w14:paraId="632D168F" w14:textId="42E45C26" w:rsidR="00830E3F" w:rsidRDefault="00830E3F" w:rsidP="00830E3F">
      <w:r w:rsidRPr="00830E3F">
        <w:t>Die von mir erstellten Concept-Maps sollen die Lernenden da abholen, wo sie sich befinden. Mein Ziel der Unterrichtseinheiten besteht immer darin, Defizit</w:t>
      </w:r>
      <w:r>
        <w:t>e</w:t>
      </w:r>
      <w:r w:rsidRPr="00830E3F">
        <w:t xml:space="preserve"> zu bearbeiten, so dass die Lernenden einen Lösungsweg für sich erarbeiten, um in Zukunft die Aufgaben erfüllen zu können. Gleichzeitig werden die Lernenden in der Regel soweit gefordert, dass sie bis an ihre Grenzen gehen. Natürlich wird in meinen Unterrichtseinheiten gerechnet, das Hauptaugenmerk liegt aber in der Erarbeitung von Problembearbeitungskompetenz.</w:t>
      </w:r>
      <w:r>
        <w:t xml:space="preserve"> Hier muss man aber das Alter und Klassenstufe/Schultyp beachten. Der grundsätzliche Anteil zwischen „Rechnen“ und </w:t>
      </w:r>
      <w:r w:rsidRPr="00830E3F">
        <w:t>Problembearbeitungskompetenz</w:t>
      </w:r>
      <w:r>
        <w:t xml:space="preserve"> bei mir ist inzwischen wie folgt aufgeteilt:</w:t>
      </w:r>
    </w:p>
    <w:p w14:paraId="4DAFF6F8" w14:textId="4DC28325" w:rsidR="00830E3F" w:rsidRDefault="00830E3F" w:rsidP="00280D55">
      <w:pPr>
        <w:pStyle w:val="Aufzhlung"/>
      </w:pPr>
      <w:r>
        <w:t xml:space="preserve">Bis 4.Klasse – 80% Rechnen und 20% </w:t>
      </w:r>
      <w:r w:rsidRPr="00830E3F">
        <w:t>Problembearbeitungskompetenz</w:t>
      </w:r>
      <w:r>
        <w:t xml:space="preserve"> (einfache Textaufgaben)</w:t>
      </w:r>
    </w:p>
    <w:p w14:paraId="3A2E019A" w14:textId="1EEC4E60" w:rsidR="00830E3F" w:rsidRDefault="00830E3F" w:rsidP="00280D55">
      <w:pPr>
        <w:pStyle w:val="Aufzhlung"/>
      </w:pPr>
      <w:r>
        <w:t xml:space="preserve">5. bis 7. Klasse – 50% Rechnen und 50% </w:t>
      </w:r>
      <w:r w:rsidRPr="00830E3F">
        <w:t>Problembearbeitungskompetenz</w:t>
      </w:r>
      <w:r>
        <w:t xml:space="preserve"> (einfache Problemstellungen)</w:t>
      </w:r>
    </w:p>
    <w:p w14:paraId="6A876A7A" w14:textId="00197DA4" w:rsidR="00830E3F" w:rsidRDefault="00830E3F" w:rsidP="00280D55">
      <w:pPr>
        <w:pStyle w:val="Aufzhlung"/>
      </w:pPr>
      <w:r>
        <w:t xml:space="preserve">Ab 8. Klasse - 20% Rechnen und 80% </w:t>
      </w:r>
      <w:r w:rsidRPr="00830E3F">
        <w:t>Problembearbeitungskompetenz</w:t>
      </w:r>
      <w:r>
        <w:t xml:space="preserve"> (komplexe Aufgaben)</w:t>
      </w:r>
    </w:p>
    <w:p w14:paraId="6CF5BB84" w14:textId="32D1FF25" w:rsidR="00830E3F" w:rsidRPr="00830E3F" w:rsidRDefault="00830E3F" w:rsidP="00830E3F">
      <w:r>
        <w:t>Natürlich beachte ich hier immer den Lernstand des Lernenden</w:t>
      </w:r>
      <w:r w:rsidR="00280D55">
        <w:t>, insgesamt hat sich die Aufteilung bisher bewährt.</w:t>
      </w:r>
    </w:p>
    <w:p w14:paraId="4FF18DE2" w14:textId="77777777" w:rsidR="008C477D" w:rsidRPr="00645A94" w:rsidRDefault="00000000" w:rsidP="008C477D">
      <w:r>
        <w:pict w14:anchorId="085C172B">
          <v:rect id="_x0000_i1034" style="width:0;height:1.5pt" o:hralign="center" o:hrstd="t" o:hr="t" fillcolor="#a0a0a0" stroked="f"/>
        </w:pict>
      </w:r>
    </w:p>
    <w:p w14:paraId="79CEF5C9" w14:textId="250817DF" w:rsidR="00BB6463" w:rsidRDefault="00BB6463" w:rsidP="00BB6463">
      <w:pPr>
        <w:pStyle w:val="berschrift2"/>
        <w:keepNext/>
        <w:rPr>
          <w:sz w:val="36"/>
          <w:szCs w:val="36"/>
        </w:rPr>
      </w:pPr>
      <w:r>
        <w:t>1.6 Forschungsstand und wissenschaftlicher Kontext</w:t>
      </w:r>
    </w:p>
    <w:p w14:paraId="13B81BA7" w14:textId="77777777" w:rsidR="00BB6463" w:rsidRDefault="00BB6463" w:rsidP="00BB6463">
      <w:pPr>
        <w:pStyle w:val="berschrift3"/>
        <w:keepNext/>
      </w:pPr>
      <w:r>
        <w:t>1.6.1 Physikalische Perspektiven: Emergenz von Raumzeit</w:t>
      </w:r>
    </w:p>
    <w:p w14:paraId="1909A46C" w14:textId="77777777" w:rsidR="00BB6463" w:rsidRDefault="00BB6463" w:rsidP="0039789C">
      <w:r>
        <w:t>Einige Ansätze der theoretischen Physik untersuchen, ob bestimmte Raumzeit- oder Gravitationseigenschaften aus tieferliegenden Strukturen hervorgehen können (Rovelli, Carlo (2016). Reality Is Not What It Seems: The Journey to Quantum Gravity. London: Penguin.)[13] (Verlinde, Erik P. (2017). Emergent Gravity and the Dark Universe. SciPost Physics, 2(3), Artikel 016. DOI: 10.21468/SciPostPhys.2.3.016.)[14]. Diese Ansätze sind nicht allgemein bestätigte Aussagen über die Entstehung der Raumzeit und stellen keinen physikalischen Gültigkeitsbeleg für das FRZK dar. Für meine Arbeit dienen sie ausschließlich als Beispiel dafür, warum die Unterscheidung von Grundannahmen und abgeleiteten Modellgrößen wichtig ist.</w:t>
      </w:r>
    </w:p>
    <w:p w14:paraId="21F5730A" w14:textId="77777777" w:rsidR="00BB6463" w:rsidRDefault="00BB6463" w:rsidP="00BB6463">
      <w:pPr>
        <w:pStyle w:val="berschrift3"/>
        <w:keepNext/>
      </w:pPr>
      <w:r>
        <w:t>1.6.2 Systemtheoretische und kybernetische Ansätze</w:t>
      </w:r>
    </w:p>
    <w:p w14:paraId="604B1C20" w14:textId="77777777" w:rsidR="00BB6463" w:rsidRDefault="00BB6463" w:rsidP="0039789C">
      <w:r>
        <w:t>Systemtheoretische und kybernetische Arbeiten untersuchen unter anderem Rückbezüge, Beobachtungsbedingungen und die Abhängigkeit von Beschreibungen [2][3]. Für mein Vorhaben ist dies ein möglicher begrifflicher Vergleichsrahmen. Ich setze jedoch weder eine rekursive Selbstbezüglichkeit noch eine besondere Beobachterstruktur als notwendige Eigenschaft sämtlicher im FRZK dargestellter Funktionen voraus.</w:t>
      </w:r>
    </w:p>
    <w:p w14:paraId="3C82DB21" w14:textId="77777777" w:rsidR="00BB6463" w:rsidRDefault="00BB6463" w:rsidP="00BB6463">
      <w:pPr>
        <w:pStyle w:val="berschrift3"/>
        <w:keepNext/>
      </w:pPr>
      <w:r>
        <w:t>1.6.3 Didaktische und bildungswissenschaftliche Modelle</w:t>
      </w:r>
    </w:p>
    <w:p w14:paraId="031D6339" w14:textId="77777777" w:rsidR="00BB6463" w:rsidRDefault="00BB6463" w:rsidP="0039789C">
      <w:r>
        <w:t>In der Bildungsforschung existieren unterschiedliche Ansätze zur Analyse und Gestaltung von Lernprozessen, darunter Design-Based Research und selbstgesteuertes Lernen [4][5]. Mit dem FRZK möchte ich ergänzend untersuchen, ob eine schrittweise aufgebaute funktionale Darstellung zur Orientierung bei mathematischen Aufgaben beitragen kann. Eine solche Wirkung darf ich nicht aus der formalen Modellstruktur allein ableiten.</w:t>
      </w:r>
    </w:p>
    <w:p w14:paraId="19743A35" w14:textId="77777777" w:rsidR="00BB6463" w:rsidRDefault="00BB6463" w:rsidP="00BB6463">
      <w:pPr>
        <w:pStyle w:val="berschrift3"/>
        <w:keepNext/>
      </w:pPr>
      <w:r>
        <w:t>1.6.4 Interdisziplinäre Verortung des FRZK</w:t>
      </w:r>
    </w:p>
    <w:p w14:paraId="1AE9B516" w14:textId="77777777" w:rsidR="00BB6463" w:rsidRDefault="00BB6463" w:rsidP="0039789C">
      <w:r>
        <w:t>Das FRZK lässt sich zwischen mathematischer Modellierung, systematischer Beschreibung von Beobachtungsbedingungen und didaktischer Gestaltung verorten. Diese interdisziplinären Anknüpfungen bezeichnen unterschiedliche Forschungszusammenhänge. Die gemeinsame Verwendung bestimmter Begriffe begründet weder eine mathematische Identität der Ansätze noch eine physikalische oder pädagogische Wirksamkeit.</w:t>
      </w:r>
    </w:p>
    <w:p w14:paraId="771974FB" w14:textId="0D274E5B" w:rsidR="006F4D88" w:rsidRDefault="006F4D88" w:rsidP="00BA0E1F">
      <w:pPr>
        <w:pStyle w:val="berschrift2"/>
        <w:keepNext/>
      </w:pPr>
      <w:r>
        <w:t>1.</w:t>
      </w:r>
      <w:r w:rsidR="00BB6463">
        <w:t>7</w:t>
      </w:r>
      <w:r>
        <w:t xml:space="preserve"> Forschungsziel</w:t>
      </w:r>
    </w:p>
    <w:p w14:paraId="17A8F170" w14:textId="77777777" w:rsidR="00C914C0" w:rsidRPr="00C914C0" w:rsidRDefault="00C914C0" w:rsidP="00C914C0">
      <w:r>
        <w:t>Ich unterscheide im Folgenden die Entwicklung eines allgemein anwendbaren Darstellungs- und Ordnungsrahmens von der Frage, ob sein Einsatz im Unterricht Vorteile bietet. Daraus ergeben sich theoretische, methodische und didaktische Forschungsfragen, die anhand unterschiedlicher Kriterien zu prüfen sind.</w:t>
      </w:r>
    </w:p>
    <w:p w14:paraId="474321D1" w14:textId="729C7A0C" w:rsidR="00C914C0" w:rsidRPr="00C914C0" w:rsidRDefault="00C914C0" w:rsidP="00C914C0">
      <w:r w:rsidRPr="00C914C0">
        <w:t>Mit dem Funktionalen Raum-Zeit-Kohärenzsystem (FRZK) verfolge ich das Ziel, Aufgaben und ihre Bearbeitung in einem expliziten, formal beschreibbaren Bezugssystem zu ordnen. Dabei untersuche ich, welche Voraussetzungen, Variablen und funktionalen Beziehungen für eine nachvollziehbare Lösung erforderlich sind und wie Lernende diese Beziehungen verstehen und übertragen. Begriffe wie Raum und Zeit dienen, soweit sie in didaktischen Beispielen eingesetzt werden, zunächst als Modellierungs- und Darstellungsbegriffe; ich leite daraus keine neue physikalische Theorie oder ontologische Erzeugung der Welt ab.</w:t>
      </w:r>
    </w:p>
    <w:p w14:paraId="75751761" w14:textId="78030B27" w:rsidR="00C914C0" w:rsidRPr="00C914C0" w:rsidRDefault="00C914C0" w:rsidP="00C914C0">
      <w:r>
        <w:t>Die erste Forschungsfrage lautet, wie funktionale Zusammenhänge so beschrieben werden können, dass ihre Größen, Definitionsbereiche, Annahmen und Abhängigkeiten verständlich und nachvollziehbar bleiben, ohne bereits eine bestimmte Geometrie oder Dynamik vorzugeben. Anschließend ist zu untersuchen, welche zusätzlichen Modellvoraussetzungen für besondere Fälle wie Rekursion, Rückbezug oder Kohärenzprüfung erforderlich werden.</w:t>
      </w:r>
    </w:p>
    <w:p w14:paraId="280ED6E1" w14:textId="27CFD905" w:rsidR="00C914C0" w:rsidRPr="00C914C0" w:rsidRDefault="00C914C0" w:rsidP="00C914C0">
      <w:r w:rsidRPr="00C914C0">
        <w:t>Ein weiterer Schwerpunkt ist die formale Prüfung des Modells. Ich untersuche, ob Definitionen, Operatoren, Abhängigkeiten und Folgerungen widerspruchsfrei und reproduzierbar angegeben werden können. Modellinterne Konsistenz ist dabei von einer empirischen Bestätigung der didaktischen Wirksamkeit strikt zu unterscheiden; eine selbstbezügliche Darstellung allein kann den externen Wirksamkeitsnachweis nicht ersetzen.</w:t>
      </w:r>
      <w:r w:rsidRPr="00C914C0">
        <w:rPr>
          <w:b/>
          <w:bCs/>
        </w:rPr>
      </w:r>
      <w:r w:rsidRPr="00C914C0"/>
      <w:r w:rsidRPr="00C914C0">
        <w:rPr>
          <w:b/>
          <w:bCs/>
        </w:rPr>
      </w:r>
      <w:proofErr w:type="spellStart"/>
      <w:r w:rsidRPr="00C914C0">
        <w:rPr>
          <w:b/>
          <w:bCs/>
        </w:rPr>
      </w:r>
      <w:proofErr w:type="spellEnd"/>
      <w:r w:rsidRPr="00C914C0">
        <w:rPr>
          <w:b/>
          <w:bCs/>
        </w:rPr>
      </w:r>
    </w:p>
    <w:p w14:paraId="5C564C47" w14:textId="6BC56669" w:rsidR="00C914C0" w:rsidRPr="00C914C0" w:rsidRDefault="00C914C0" w:rsidP="00C914C0">
      <w:r>
        <w:t>Die didaktische Forschungsfrage lautet, ob und unter welchen Bedingungen eine systematische funktionale Darstellung das Verständnis mathematischer Aufgaben, die Auswahl eines geeigneten Lösungswegs, die Fehlererkennung und die Übertragung auf neue Aufgaben unterstützt. Ich möchte insbesondere untersuchen, ob die ausdrückliche Trennung zwischen gegebenen Informationen, gesuchten Größen, Annahmen und funktionalen Beziehungen für Lernende hilfreich ist.</w:t>
      </w:r>
    </w:p>
    <w:p w14:paraId="75B93820" w14:textId="0EF6C2EF" w:rsidR="00C914C0" w:rsidRPr="00C914C0" w:rsidRDefault="00C914C0" w:rsidP="00C914C0">
      <w:r>
        <w:t>Ergänzend frage ich, wie die Nachvollziehbarkeit solcher Darstellungen beurteilt werden kann: Welche Merkmale machen einen Lösungsweg überprüfbar, welche Voraussetzungen müssen offengelegt werden und wie lassen sich Schwierigkeiten in der Anwendung des FRZK selbst dokumentieren? Dabei berücksichtige ich ausdrücklich auch Fälle, in denen der Ansatz keinen erkennbaren Zusatznutzen bietet.</w:t>
      </w:r>
    </w:p>
    <w:p w14:paraId="5DAB18E3" w14:textId="2BA0F6CF" w:rsidR="00C914C0" w:rsidRPr="00C914C0" w:rsidRDefault="00C914C0" w:rsidP="00C914C0">
      <w:r>
        <w:t>Diese Fragen bestimmen die Gliederung der Untersuchung. Zunächst arbeite ich die relevanten wissenschaftlichen Bezüge und die mathematischen Voraussetzungen heraus. Darauf folgen die Beschreibung des Modellierungsrahmens sowie seine fachliche und didaktische Prüfung. Ein interner Konsistenznachweis ersetzt keine empirische Untersuchung.</w:t>
      </w:r>
    </w:p>
    <w:p w14:paraId="68E2BC30" w14:textId="540E579A" w:rsidR="008C477D" w:rsidRDefault="008C477D" w:rsidP="006F4D88">
      <w:r>
        <w:t>Für eine explorative Untersuchung der FRZK-Anwendung in kleinen Lerngruppen steht mir voraussichtlich eine Stichprobe von ungefähr 25 Lernenden zur Verfügung. Ich habe zur Datenerfassung eine didaktisch-methodische Datenbank entwickelt. Vor Beginn einer systematischen Auswertung muss ich die Einschlusskriterien, Einwilligungen und Datenschutzmaßnahmen, die Aufgaben- und Vergleichsbedingungen sowie die Erhebungsinstrumente definieren. Als mögliche Indikatoren kommen Aufgabenverständnis, Art und Häufigkeit von Fehlern, Bearbeitungszeit, Begründungsqualität und Transferleistungen in Betracht. Die technische Dokumentation meiner Datenerfassung erfolgt im Methodenteil; eine dort verwendete Systembezeichnung ist vor ihrer wissenschaftlichen Verwendung eindeutig zu identifizieren.</w:t>
      </w:r>
    </w:p>
    <w:p>
      <w:pPr/>
      <w:r>
        <w:rPr>
          <w:b/>
        </w:rPr>
        <w:t xml:space="preserve">Untersuchungsanlage. </w:t>
      </w:r>
      <w:r>
        <w:t>Ich plane eine explorative, in meiner Nachhilfepraxis verortete Vergleichsuntersuchung, deren Protokoll vor der Datenerhebung festzulegen ist. Dabei unterscheide ich die übliche, fachlich angeleitete Bearbeitung mathematischer Aufgaben von einer Bearbeitung, bei der die Lernenden den FRZK-Darstellungsrahmen ausdrücklich zur Ordnung gegebener Größen, gesuchter Größen, Annahmen und funktionaler Beziehungen nutzen. Beide Bedingungen müssen eine vergleichbare Unterrichtszeit, gleiche fachliche Hilfe und Aufgaben mit überprüfter Schwierigkeit erhalten. Für eine mögliche Zuordnung von Aufgaben und Reihenfolgen sehe ich eine ausbalancierte Abfolge vor; eine randomisierte Zuordnung darf ich erst behaupten, wenn sie tatsächlich durchgeführt und dokumentiert wurde.</w:t>
      </w:r>
    </w:p>
    <w:p>
      <w:pPr/>
      <w:r>
        <w:rPr>
          <w:b/>
        </w:rPr>
        <w:t xml:space="preserve">Stichprobe und Geltungsbereich. </w:t>
      </w:r>
      <w:r>
        <w:t>Die voraussichtlich etwa 25 Lernenden bilden eine kleine, nicht repräsentativ gezogene Gelegenheitsstichprobe unterschiedlicher Lernstände. Einschlusskriterien, Jahrgangsstufe, Teilnahmezeitraum, Ausgangsleistungen, Fehlzeiten und mögliche Ausschlüsse werden vor Beginn dokumentiert. Ich werte Lernende nicht ohne Weiteres als austauschbare Fälle aus: Schulart, Alter, Stoffgebiet und Vorerfahrung können die Ergebnisse wesentlich beeinflussen. Die Untersuchung ist deshalb zunächst auf Machbarkeit, Verständlichkeit des Verfahrens und explorative Hinweise auf mögliche Unterschiede ausgerichtet.</w:t>
      </w:r>
    </w:p>
    <w:p>
      <w:pPr/>
      <w:r>
        <w:rPr>
          <w:b/>
        </w:rPr>
        <w:t xml:space="preserve">Aufgaben und Vergleichbarkeit. </w:t>
      </w:r>
      <w:r>
        <w:t>Für die Erhebung entwickle ich paarweise vergleichbare Aufgaben zu denselben mathematischen Kompetenzen, darunter das Erkennen relevanter Angaben in Textaufgaben, das Erklären linearer funktionaler Beziehungen und der Transfer auf einen veränderten Sachkontext. Eine kleine fachliche Vorprüfung soll sicherstellen, dass die Aufgaben innerhalb eines Paares ähnliche Anforderungen stellen. Aufgabenreihenfolge, Bearbeitungsdauer, erlaubte Hilfen und Hinweise des Tutors werden vorab festgelegt. Wiederholungs-, Übungs-, Reihenfolge- und Übertragungseffekte bleiben mögliche Störfaktoren, insbesondere bei einer Untersuchung innerhalb derselben Lerngruppen.</w:t>
      </w:r>
    </w:p>
    <w:p>
      <w:pPr/>
      <w:r>
        <w:rPr>
          <w:b/>
        </w:rPr>
        <w:t xml:space="preserve">Messkriterien. </w:t>
      </w:r>
      <w:r>
        <w:t>Als primären Beobachtungsgegenstand bestimme ich die fachliche Nachvollziehbarkeit des Lösungswegs. Hierzu verwende ich ein vorab festgelegtes Bewertungsraster mit vier getrennten Kriterien: richtige Identifikation der gegebenen und gesuchten Größen, korrekte Beschreibung der funktionalen Beziehungen, fachlich begründete Auswahl des Lösungsverfahrens und selbstständige Übertragung auf eine strukturell ähnliche neue Aufgabe. Jedes Kriterium wird anhand dokumentierter Ankerbeispiele auf einer Skala von 0 bis 3 Punkten bewertet; die Summenbewertung reicht damit von 0 bis 12 Punkten. Zusätzlich werden Bearbeitungszeit, Art und Anzahl fachlicher Fehler sowie der Umfang der Tutorhinweise erfasst. Die Punktzahlen sind zunächst ein geplantes Instrument und keine bereits validierte Messskala.</w:t>
      </w:r>
    </w:p>
    <w:p>
      <w:pPr/>
      <w:r>
        <w:rPr>
          <w:b/>
        </w:rPr>
        <w:t xml:space="preserve">Auswertung und Qualitätssicherung. </w:t>
      </w:r>
      <w:r>
        <w:t>Ich plane zunächst eine beschreibende Auswertung einzelner Lernverläufe und vergleichbarer Aufgabenpaare. Unterschiede zwischen den Bearbeitungsbedingungen dokumentiere ich einschließlich Stichprobengröße, Verteilung, Median, Streuung und fehlender Werte. Falls wiederholte, zuordenbare Beobachtungen vorliegen, können innerhalb derselben Person gepaarte Differenzen beschrieben werden. Die Auswertung wird nach Jahrgangsstufen und Aufgabentypen getrennt betrachtet, soweit die jeweiligen Fallzahlen dies erlauben. Eine zweite fachkundige Person soll anhand eines Teils anonymisierter Lösungen das Bewertungsraster unabhängig anwenden; Abweichungen dienen der Überarbeitung des Instruments. Mit der geplanten Stichprobengröße lassen sich keine belastbaren allgemeinen Kausalbehauptungen oder universellen Effektstärken begründen.</w:t>
      </w:r>
    </w:p>
    <w:p>
      <w:pPr/>
      <w:r>
        <w:rPr>
          <w:b/>
        </w:rPr>
        <w:t xml:space="preserve">Datenschutz und Forschungsethik. </w:t>
      </w:r>
      <w:r>
        <w:t>Da die Untersuchung auch minderjährige Lernende betreffen kann und ich zugleich ihr Tutor bin, trenne ich die freiwillige Studienteilnahme konsequent von der regulären Nachhilfe. Vor der Datenerhebung müssen die erforderlichen Zustimmungen der Sorgeberechtigten und die altersangemessene Zustimmung der Lernenden, die Information über einen jederzeit möglichen Rückzug ohne Nachteile sowie die jeweils geltenden schulischen, institutionellen und datenschutzrechtlichen Vorgaben geklärt sein. Personenbezug und Auswertung werden durch ein gesondert geschütztes Zuordnungssystem getrennt; in den Forschungsdaten verwende ich Pseudonyme und nur notwendige Merkmale. Aufbewahrungsdauer, Zugriffsrechte, Löschregeln und eine eventuelle externe ethische Prüfung sind vorab festzulegen.</w:t>
      </w:r>
    </w:p>
    <w:p>
      <w:pPr/>
      <w:r>
        <w:rPr>
          <w:b/>
        </w:rPr>
        <w:t xml:space="preserve">Entscheidungsmaßstab. </w:t>
      </w:r>
      <w:r>
        <w:t>Ich werte das FRZK nur dann als einen möglicherweise hilfreichen Darstellungsrahmen, wenn die dokumentierten Aufgabenlösungen eine nachvollziehbare Verbesserung in den zuvor bestimmten Merkmalen erkennen lassen und alternative Erklärungen – insbesondere Übung, Tutorhilfe und Unterschiede im Aufgabenschwierigkeitsgrad – kritisch berücksichtigt wurden. Auch Nullbefunde, Verschlechterungen und Anwendungsprobleme werden vollständig berichtet. Die fachliche Schlüssigkeit einer funktionalen Darstellung und eine empirisch beobachtete Lernwirkung bleiben zwei voneinander unabhängige Prüfgegenstände.</w:t>
      </w:r>
    </w:p>
    <w:p w14:paraId="2F53EA41" w14:textId="77777777" w:rsidR="005033F4" w:rsidRPr="00645A94" w:rsidRDefault="00000000" w:rsidP="005033F4">
      <w:r>
        <w:pict w14:anchorId="3DE257ED">
          <v:rect id="_x0000_i1035" style="width:0;height:1.5pt" o:hralign="center" o:hrstd="t" o:hr="t" fillcolor="#a0a0a0" stroked="f"/>
        </w:pict>
      </w:r>
    </w:p>
    <w:p w14:paraId="414E7A35" w14:textId="67059425" w:rsidR="005033F4" w:rsidRDefault="005033F4" w:rsidP="00BA0E1F">
      <w:pPr>
        <w:pStyle w:val="berschrift2"/>
        <w:keepNext/>
      </w:pPr>
      <w:r>
        <w:t>1.8 Persönliche und berufliche Motivation</w:t>
      </w:r>
    </w:p>
    <w:p w14:paraId="1CE5E5EE" w14:textId="77777777" w:rsidR="005033F4" w:rsidRDefault="005033F4" w:rsidP="005033F4">
      <w:r>
        <w:t>Mein Interesse an einer wissenschaftlichen Auseinandersetzung mit mathematischen und technischen Fragestellungen reicht bis in meine Schul- und Studienzeit zurück. In späteren beruflichen Tätigkeiten konnte ich wissenschaftliche Methoden vor allem in der Entwicklung, Organisation und Vermittlung komplexer Systeme anwenden. Die Frage, wie aus einer umfangreichen Aufgabenstellung eine nachvollziehbare Struktur entsteht, begleitete mich dabei in unterschiedlichen Zusammenhängen.</w:t>
      </w:r>
    </w:p>
    <w:p w14:paraId="44AF308C" w14:textId="4EE406CE" w:rsidR="005033F4" w:rsidRDefault="005033F4" w:rsidP="005033F4">
      <w:r>
        <w:t>Erfahrungen aus der Verfahrenstechnik, aus der Informationstechnologie und aus der Erwachsenenbildung haben mein Verständnis dafür geprägt, dass die explizite Darstellung von Voraussetzungen und Beziehungen eine wichtige Voraussetzung für die gemeinsame Bearbeitung komplexer Probleme sein kann. Diese Berufserfahrung ist eine Motivation für die Themenwahl, aber kein wissenschaftlicher Nachweis der Eignung des FRZK.</w:t>
      </w:r>
    </w:p>
    <w:p w14:paraId="55CFBA26" w14:textId="492B01D6" w:rsidR="005033F4" w:rsidRDefault="005033F4" w:rsidP="005033F4">
      <w:r>
        <w:t>In meiner späteren Unterrichts- und Nachhilfetätigkeit rückte für mich die Frage in den Mittelpunkt, wie sich ein solches Vorgehen auf mathematische Lernaufgaben übertragen lässt. Ich habe dabei wiederkehrende Schwierigkeiten beobachtet, aus denen ich prüfbare Fragestellungen ableite. Ihre Ursachen und mögliche Verbesserungen müssen im Rahmen einer systematisch dokumentierten Untersuchung geklärt werden.</w:t>
      </w:r>
    </w:p>
    <w:p w14:paraId="5F44E001" w14:textId="1FBAAF63" w:rsidR="003C794D" w:rsidRDefault="003C794D" w:rsidP="005033F4">
      <w:r>
        <w:t>Mit der Dissertation möchte ich diese Erfahrungen in ein wissenschaftlich kontrollierbares Vorhaben überführen. Mein Ziel ist, einen offen gelegten Darstellungsrahmen zu formulieren, seine Grenzen zu benennen und seinen möglichen didaktischen Nutzen anhand geeigneter Kriterien untersuchen zu lassen. Persönliche Überzeugung und wissenschaftlicher Befund bleiben dabei ausdrücklich getrennt.</w:t>
      </w:r>
    </w:p>
    <w:p w14:paraId="4BE2F251" w14:textId="65725CF3" w:rsidR="00287807" w:rsidRDefault="00287807" w:rsidP="00BA0E1F">
      <w:pPr>
        <w:pStyle w:val="berschrift2"/>
        <w:keepNext/>
        <w:rPr>
          <w:sz w:val="27"/>
          <w:szCs w:val="27"/>
        </w:rPr>
      </w:pPr>
      <w:r>
        <w:t>1.9 Wissenschaftliche Relevanz und Abgrenzung des Vorhabens</w:t>
      </w:r>
    </w:p>
    <w:p w14:paraId="5C76E22B" w14:textId="77777777" w:rsidR="00287807" w:rsidRDefault="00287807" w:rsidP="00BA0E1F">
      <w:r>
        <w:t>Die wissenschaftliche Relevanz des Projekts liegt nicht in meiner beruflichen Laufbahn, sondern in der überprüfbaren Frage, ob ein expliziter Darstellungs- und Ordnungsrahmen funktionale Beziehungen besser zugänglich macht. Die dazu entwickelten Modellierungsregeln sollen unabhängig von meiner Person nachvollziehbar sein und in unterschiedlichen mathematischen und didaktischen Situationen angewandt und kritisch geprüft werden können.</w:t>
      </w:r>
    </w:p>
    <w:p w14:paraId="57CF762B" w14:textId="77777777" w:rsidR="00287807" w:rsidRDefault="00287807" w:rsidP="00BA0E1F">
      <w:r>
        <w:t>Ich gehe von der Arbeitsannahme aus, dass ein fehlender oder unzureichend strukturierter Überblick über Variablen und Beziehungen die Bearbeitung mathematischer Aufgaben erschweren kann. Diese Annahme ist weder allgemein noch für jede Lernsituation bewiesen. Die Dissertation muss deshalb die Bedingungen angeben, unter denen eine FRZK-Darstellung nützlich, entbehrlich oder möglicherweise hinderlich ist.</w:t>
      </w:r>
    </w:p>
    <w:p w14:paraId="4CF534B3" w14:textId="77777777" w:rsidR="00287807" w:rsidRDefault="00287807" w:rsidP="00BA0E1F">
      <w:r>
        <w:t>Unter einem zunächst leeren Darstellungsrahmen verstehe ich hier methodisch, dass die für eine konkrete Aufgabe benötigten Angaben und Beziehungen schrittweise eingetragen werden. Dies ist nicht mit der leeren Menge der Mathematik identisch. Eine solche Arbeitsweise soll Vorannahmen sichtbar machen; sie bedeutet nicht, dass Lernende ohne Vorwissen arbeiten oder dass mathematische Strukturen aus dem Nichts entstehen.</w:t>
      </w:r>
    </w:p>
    <w:p w14:paraId="75F39223" w14:textId="77777777" w:rsidR="00287807" w:rsidRDefault="00287807" w:rsidP="00BA0E1F">
      <w:r>
        <w:t>Die Analogie zu technischen Modellierungs- und Datenbanksystemen hilft mir, Annahmen, Eingaben, Verknüpfungen und Ausgaben getrennt zu dokumentieren. Ich verwende diese Analogie als heuristisches Werkzeug, nicht als Beweis dafür, dass kognitive Prozesse denselben Regeln wie Softwarearchitekturen folgen.</w:t>
      </w:r>
    </w:p>
    <w:p w14:paraId="1C3A4420" w14:textId="77777777" w:rsidR="00287807" w:rsidRDefault="00287807" w:rsidP="00BA0E1F">
      <w:r>
        <w:t>Für die Dissertation ergibt sich daraus ein begrenzter Anspruch: Ich will das schrittweise Aufbauen eines Darstellungsrahmens beschreiben, fachlich präzisieren und auf ausgewählte mathematische Lernaufgaben anwenden. Ob Lernende dadurch besser verstehen oder begründen können, muss anhand geeigneter Aufgaben, Beobachtungskriterien und Vergleiche geprüft werden.</w:t>
      </w:r>
    </w:p>
    <w:p w14:paraId="7CA47329" w14:textId="441AD28F" w:rsidR="00287807" w:rsidRPr="005033F4" w:rsidRDefault="00287807" w:rsidP="00BA0E1F">
      <w:r>
        <w:t>Die mathematischen Definitionen, insbesondere zu Nullwerten, Grenzrichtungen, Initialzuständen, Orthogonalität und den verwendeten Operatoren, behandle ich im Grundlagenkapitel. Hier genügt die begriffliche Kennzeichnung des Forschungsvorhabens. So vermeide ich, dass die Einleitung bereits Voraussetzungen festschreibt, deren Bedeutung und Geltungsbereich erst später begründet werden müssen.</w:t>
      </w:r>
    </w:p>
    <w:p w14:paraId="327648B5" w14:textId="77777777" w:rsidR="00D008DA" w:rsidRPr="00D008DA" w:rsidRDefault="00D008DA" w:rsidP="00D008DA">
      <w:pPr>
        <w:pStyle w:val="berschrift2"/>
        <w:keepNext/>
        <w:spacing w:before="100" w:beforeAutospacing="1" w:after="100" w:afterAutospacing="1"/>
        <w:rPr>
          <w:rFonts w:ascii="Times New Roman" w:hAnsi="Times New Roman"/>
          <w:b/>
          <w:bCs/>
        </w:rPr>
      </w:pPr>
      <w:r>
        <w:t>1.10 Aufbau der Arbeit</w:t>
      </w:r>
    </w:p>
    <w:p w14:paraId="7ED01A19" w14:textId="77777777" w:rsidR="00D008DA" w:rsidRPr="00D008DA" w:rsidRDefault="00D008DA" w:rsidP="00D008DA">
      <w:pPr>
        <w:spacing w:before="100" w:beforeAutospacing="1" w:after="100" w:afterAutospacing="1"/>
        <w:rPr>
          <w:rFonts w:ascii="Times New Roman" w:hAnsi="Times New Roman"/>
        </w:rPr>
      </w:pPr>
      <w:r>
        <w:t>Kapitel 2 ordnet das Vorhaben in den Forschungsstand ein. Ich untersuche mathematische Darstellungs- und Modellierungsansätze sowie didaktische Literatur zur Bedeutung von Vorwissen, Aufgabenverständnis und nachvollziehbaren Lernprozessen. Die verschiedenen theoretischen Bezüge werden dabei nach ihren jeweiligen Geltungsansprüchen unterschieden.</w:t>
      </w:r>
    </w:p>
    <w:p w14:paraId="108622D4" w14:textId="77777777" w:rsidR="00D008DA" w:rsidRPr="00D008DA" w:rsidRDefault="00D008DA" w:rsidP="00D008DA">
      <w:pPr>
        <w:spacing w:before="100" w:beforeAutospacing="1" w:after="100" w:afterAutospacing="1"/>
        <w:rPr>
          <w:rFonts w:ascii="Times New Roman" w:hAnsi="Times New Roman"/>
        </w:rPr>
      </w:pPr>
      <w:r>
        <w:t>Kapitel 3 entwickelt die formal erforderlichen Grundlagen des FRZK. Dort werden die verwendeten Mengen, Symbole, Grenzrichtungen, der Nullvektor, die Initialisierung und die orthogonale Ausgangsorientierung im Nullgrenzzustand definiert. Auch die Eigenschaften der jeweiligen Funktionen und möglicher Zusatzoperatoren werden erst dort festgelegt. Die später entstehende Geometrie bleibt von den konkret konstruierten funktionalen Beziehungen abhängig.</w:t>
      </w:r>
    </w:p>
    <w:p w14:paraId="04F2C84E" w14:textId="77777777" w:rsidR="00D008DA" w:rsidRPr="00D008DA" w:rsidRDefault="00D008DA" w:rsidP="00D008DA">
      <w:pPr>
        <w:spacing w:before="100" w:beforeAutospacing="1" w:after="100" w:afterAutospacing="1"/>
        <w:rPr>
          <w:rFonts w:ascii="Times New Roman" w:hAnsi="Times New Roman"/>
        </w:rPr>
      </w:pPr>
      <w:r>
        <w:t>Die folgenden Untersuchungskapitel behandeln modellbezogene Fragestellungen und die fachliche Prüfung von Annahmen, Darstellungen und Lösungswegen. Gegebenenfalls untersuche ich Rekursionen, Fixpunkte oder Kohärenzbedingungen als speziell definierte Beispiele. Solche Fälle werden weder zur universellen Grundstruktur des FRZK erhoben noch als Nachweise neuer physikalischer Gesetze ausgegeben.</w:t>
      </w:r>
    </w:p>
    <w:p w14:paraId="48AD2C8F" w14:textId="77777777" w:rsidR="00D008DA" w:rsidRPr="00D008DA" w:rsidRDefault="00D008DA" w:rsidP="00D008DA">
      <w:pPr>
        <w:spacing w:before="100" w:beforeAutospacing="1" w:after="100" w:afterAutospacing="1"/>
        <w:rPr>
          <w:rFonts w:ascii="Times New Roman" w:hAnsi="Times New Roman"/>
        </w:rPr>
      </w:pPr>
      <w:r>
        <w:t>Der didaktische Teil der Arbeit soll die Anwendung des FRZK an ausgewählten mathematischen Aufgaben untersuchen. Dazu lege ich Beobachtungskriterien, Aufgabenformate und Auswertungsverfahren offen. Die gegebenenfalls verwendeten Maße und Operatoren müssen vor ihrer Anwendung definiert, die erhobenen Daten dokumentiert und die Grenzen einer explorativen Stichprobe beachtet werden.</w:t>
      </w:r>
    </w:p>
    <w:p w14:paraId="36934F41" w14:textId="77777777" w:rsidR="00D008DA" w:rsidRPr="00D008DA" w:rsidRDefault="00D008DA" w:rsidP="00D008DA">
      <w:pPr>
        <w:spacing w:before="100" w:beforeAutospacing="1" w:after="100" w:afterAutospacing="1"/>
        <w:rPr>
          <w:rFonts w:ascii="Times New Roman" w:hAnsi="Times New Roman"/>
        </w:rPr>
      </w:pPr>
      <w:r>
        <w:t>Mit dieser Abfolge trenne ich Literaturbefund, mathematische Definition, modellinterne Prüfung und empirische Untersuchung. Ich möchte auf diese Weise einen transparenten Forschungsweg eröffnen, in dem auch nicht bestätigte Annahmen und die Grenzen des entwickelten Ansatzes systematisch ausgewertet werden können.</w:t>
      </w:r>
    </w:p>
    <w:p w14:paraId="5F434BA7" w14:textId="6ED2E45D" w:rsidR="000072D7" w:rsidRPr="000072D7" w:rsidRDefault="000072D7" w:rsidP="00BA0E1F">
      <w:pPr>
        <w:pStyle w:val="berschrift2"/>
        <w:keepNext/>
      </w:pPr>
      <w:r>
        <w:t>1.11 Zusammenfassung</w:t>
      </w:r>
    </w:p>
    <w:p w14:paraId="30A5D14D" w14:textId="77777777" w:rsidR="00BA0E1F" w:rsidRPr="00BA0E1F" w:rsidRDefault="00BA0E1F" w:rsidP="0039789C">
      <w:r>
        <w:t>Mit dieser Einleitung stelle ich das Funktionale Raum-Zeit-Kohärenzsystem als Gegenstand einer methodisch-didaktischen Untersuchung vor. Ich leite das Forschungsinteresse aus konkreten Schwierigkeiten beim Erfassen von Aufgaben, Größen und funktionalen Beziehungen ab. Die Einleitung beschreibt den Anlass, die Zielsetzung, die wissenschaftliche Abgrenzung und den geplanten Untersuchungsweg, ohne die formalen Grundlagen bereits vorwegzunehmen.</w:t>
      </w:r>
    </w:p>
    <w:p w14:paraId="645B5468" w14:textId="77777777" w:rsidR="00BA0E1F" w:rsidRPr="00BA0E1F" w:rsidRDefault="00BA0E1F" w:rsidP="0039789C">
      <w:r>
        <w:t>Der angestrebte Beitrag besteht in einem nachvollziehbaren Verfahren zur Darstellung mathematischer und weiterer funktionaler Zusammenhänge und in der kritischen Prüfung seines möglichen didaktischen Nutzens. Ob Vorteile gegenüber vorhandenen Verfahren bestehen, kann ich weder aus den bisherigen Unterrichtsbeobachtungen noch aus der Modellbeschreibung allein folgern.</w:t>
      </w:r>
    </w:p>
    <w:p w14:paraId="1EC20707" w14:textId="2DB24CD9" w:rsidR="00BA0E1F" w:rsidRDefault="00BA0E1F" w:rsidP="0039789C">
      <w:r>
        <w:t>Die folgenden Kapitel müssen daher sowohl den mathematischen Aufbau des FRZK als auch die Grenzen seiner Anwendbarkeit und seine didaktische Tragfähigkeit prüfen. Die Unterscheidung zwischen Darstellung, formaler Konsistenz und empirischer Wirksamkeit bleibt dabei leitend.</w:t>
      </w:r>
    </w:p>
    <w:p w14:paraId="332C5086" w14:textId="77777777" w:rsidR="00B22CA9" w:rsidRDefault="00B22CA9" w:rsidP="00B22CA9">
      <w:pPr>
        <w:pStyle w:val="berschrift2"/>
        <w:keepNext/>
        <w:pageBreakBefore/>
        <w:rPr>
          <w:sz w:val="27"/>
          <w:szCs w:val="27"/>
        </w:rPr>
      </w:pPr>
      <w:r>
        <w:t>Literaturverzeichnis</w:t>
      </w:r>
    </w:p>
    <w:p w14:paraId="4619F634" w14:textId="77777777" w:rsidR="00B22CA9" w:rsidRDefault="00B22CA9" w:rsidP="0039789C">
      <w:pPr>
        <w:spacing w:after="0"/>
      </w:pPr>
      <w:r>
        <w:t>[1] Rovelli, Carlo (2018). The Order of Time. London: Penguin Books.</w:t>
      </w:r>
    </w:p>
    <w:p w14:paraId="6D06F457" w14:textId="77777777" w:rsidR="00B22CA9" w:rsidRDefault="00B22CA9" w:rsidP="0039789C">
      <w:pPr>
        <w:spacing w:after="0"/>
      </w:pPr>
      <w:r>
        <w:t>[2] von Foerster, Heinz (1981). Observing Systems. Seaside, CA: Intersystems Publications.</w:t>
      </w:r>
    </w:p>
    <w:p w14:paraId="3ED8AA70" w14:textId="77777777" w:rsidR="00B22CA9" w:rsidRDefault="00B22CA9" w:rsidP="0039789C">
      <w:pPr>
        <w:spacing w:after="0"/>
      </w:pPr>
      <w:r>
        <w:t>[3] Maturana, Humberto R.; Varela, Francisco J. (1987). The Tree of Knowledge: The Biological Roots of Human Understanding. Boston: Shambhala.</w:t>
      </w:r>
    </w:p>
    <w:p w14:paraId="190F55D8" w14:textId="77777777" w:rsidR="00B22CA9" w:rsidRDefault="00B22CA9" w:rsidP="0039789C">
      <w:pPr>
        <w:spacing w:after="0"/>
      </w:pPr>
      <w:r>
        <w:t>[4] Reinmann, Gabi (2005). Innovation ohne Forschung? Ein Plädoyer für den Design-Based Research-Ansatz in der Lehr-Lernforschung. Unterrichtswissenschaft, 33(1), S. 52–69. DOI: 10.25656/01:5787.</w:t>
      </w:r>
    </w:p>
    <w:p w14:paraId="7C5CFA0F" w14:textId="77777777" w:rsidR="00B22CA9" w:rsidRDefault="00B22CA9" w:rsidP="0039789C">
      <w:pPr>
        <w:spacing w:after="0"/>
      </w:pPr>
      <w:r>
        <w:t>[5] Arnold, Rolf (2012). Wie man lehrt, ohne zu belehren. 29 Regeln für eine kluge Lehre. Das LENA-Modell. 1. Auflage. Heidelberg: Carl-Auer. ISBN: 978-3-89670-838-0.</w:t>
      </w:r>
    </w:p>
    <w:p w14:paraId="15F2134E" w14:textId="77777777" w:rsidR="00B22CA9" w:rsidRDefault="00B22CA9" w:rsidP="0039789C">
      <w:pPr>
        <w:spacing w:after="0"/>
      </w:pPr>
      <w:r>
        <w:t>[6] Sfard, Anna (2008). Thinking as Communicating: Human Development, the Growth of Discourses, and Mathematizing. Cambridge: Cambridge University Press. DOI: 10.1017/CBO9780511499944.</w:t>
      </w:r>
    </w:p>
    <w:p>
      <w:pPr>
        <w:spacing w:after="0"/>
      </w:pPr>
      <w:r>
        <w:t>[7] Luhmann, Niklas (1984). Soziale Systeme: Grundriß einer allgemeinen Theorie. Frankfurt am Main: Suhrkamp.</w:t>
      </w:r>
    </w:p>
    <w:p>
      <w:pPr>
        <w:spacing w:after="0"/>
      </w:pPr>
      <w:r>
        <w:t>[8] Bruner, Jerome S. (1960). The Process of Education. Cambridge, MA: Harvard University Press. DOI: 10.4159/9780674028999.</w:t>
      </w:r>
    </w:p>
    <w:p>
      <w:pPr>
        <w:spacing w:after="0"/>
      </w:pPr>
      <w:r>
        <w:t>[9] Ausubel, David P. (1963). The Psychology of Meaningful Verbal Learning. New York: Grune &amp; Stratton.</w:t>
      </w:r>
    </w:p>
    <w:p>
      <w:pPr>
        <w:spacing w:after="0"/>
      </w:pPr>
      <w:r>
        <w:t>[10] Taschner, Rudolf (2013). Der Irrtum des Pythagoras. Videoaufzeichnung. Herausgeber: math.space; archiviert im TIB AV-Portal. DOI: 10.5446/15789.</w:t>
      </w:r>
    </w:p>
    <w:p>
      <w:pPr>
        <w:spacing w:after="0"/>
      </w:pPr>
      <w:r>
        <w:t>[11] Carroll, Sean (2016). The Big Picture: On the Origins of Life, Meaning, and the Universe Itself. New York: Dutton.</w:t>
      </w:r>
    </w:p>
    <w:p>
      <w:pPr>
        <w:spacing w:after="0"/>
      </w:pPr>
      <w:r>
        <w:t>[12] Hattie, John (2009). Visible Learning: A Synthesis of Over 800 Meta-Analyses Relating to Achievement. London: Routledge.</w:t>
      </w:r>
    </w:p>
    <w:p>
      <w:pPr>
        <w:spacing w:after="0"/>
      </w:pPr>
      <w:r>
        <w:t>[13] Rovelli, Carlo (2016). Reality Is Not What It Seems: The Journey to Quantum Gravity. London: Penguin.</w:t>
      </w:r>
    </w:p>
    <w:p>
      <w:pPr>
        <w:spacing w:after="0"/>
      </w:pPr>
      <w:r>
        <w:t>[14] Verlinde, Erik P. (2017). Emergent Gravity and the Dark Universe. SciPost Physics, 2(3), Artikel 016. DOI: 10.21468/SciPostPhys.2.3.016.</w:t>
      </w:r>
    </w:p>
    <w:sectPr w:rsidR="000072D7" w:rsidRPr="000072D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509BF"/>
    <w:multiLevelType w:val="multilevel"/>
    <w:tmpl w:val="0C6A85D4"/>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F37CF"/>
    <w:multiLevelType w:val="multilevel"/>
    <w:tmpl w:val="85C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5212F"/>
    <w:multiLevelType w:val="multilevel"/>
    <w:tmpl w:val="6BBC6DC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9737C8C"/>
    <w:multiLevelType w:val="multilevel"/>
    <w:tmpl w:val="C14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D6CCB"/>
    <w:multiLevelType w:val="multilevel"/>
    <w:tmpl w:val="016A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24ADD"/>
    <w:multiLevelType w:val="multilevel"/>
    <w:tmpl w:val="71C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37C26"/>
    <w:multiLevelType w:val="multilevel"/>
    <w:tmpl w:val="0E70446A"/>
    <w:lvl w:ilvl="0">
      <w:start w:val="1"/>
      <w:numFmt w:val="decimal"/>
      <w:lvlText w:val="%1"/>
      <w:lvlJc w:val="left"/>
      <w:pPr>
        <w:ind w:left="360" w:hanging="360"/>
      </w:pPr>
      <w:rPr>
        <w:rFonts w:ascii="Calibri" w:hAnsi="Calibri" w:hint="default"/>
        <w:b w:val="0"/>
        <w:sz w:val="24"/>
      </w:rPr>
    </w:lvl>
    <w:lvl w:ilvl="1">
      <w:start w:val="2"/>
      <w:numFmt w:val="decimal"/>
      <w:lvlText w:val="%1.%2"/>
      <w:lvlJc w:val="left"/>
      <w:pPr>
        <w:ind w:left="360" w:hanging="360"/>
      </w:pPr>
      <w:rPr>
        <w:rFonts w:ascii="Calibri" w:hAnsi="Calibri" w:hint="default"/>
        <w:b w:val="0"/>
        <w:sz w:val="24"/>
      </w:rPr>
    </w:lvl>
    <w:lvl w:ilvl="2">
      <w:start w:val="1"/>
      <w:numFmt w:val="decimal"/>
      <w:lvlText w:val="%1.%2.%3"/>
      <w:lvlJc w:val="left"/>
      <w:pPr>
        <w:ind w:left="720" w:hanging="720"/>
      </w:pPr>
      <w:rPr>
        <w:rFonts w:ascii="Calibri" w:hAnsi="Calibri" w:hint="default"/>
        <w:b w:val="0"/>
        <w:sz w:val="24"/>
      </w:rPr>
    </w:lvl>
    <w:lvl w:ilvl="3">
      <w:start w:val="1"/>
      <w:numFmt w:val="decimal"/>
      <w:lvlText w:val="%1.%2.%3.%4"/>
      <w:lvlJc w:val="left"/>
      <w:pPr>
        <w:ind w:left="1080" w:hanging="1080"/>
      </w:pPr>
      <w:rPr>
        <w:rFonts w:ascii="Calibri" w:hAnsi="Calibri" w:hint="default"/>
        <w:b w:val="0"/>
        <w:sz w:val="24"/>
      </w:rPr>
    </w:lvl>
    <w:lvl w:ilvl="4">
      <w:start w:val="1"/>
      <w:numFmt w:val="decimal"/>
      <w:lvlText w:val="%1.%2.%3.%4.%5"/>
      <w:lvlJc w:val="left"/>
      <w:pPr>
        <w:ind w:left="1080" w:hanging="1080"/>
      </w:pPr>
      <w:rPr>
        <w:rFonts w:ascii="Calibri" w:hAnsi="Calibri" w:hint="default"/>
        <w:b w:val="0"/>
        <w:sz w:val="24"/>
      </w:rPr>
    </w:lvl>
    <w:lvl w:ilvl="5">
      <w:start w:val="1"/>
      <w:numFmt w:val="decimal"/>
      <w:lvlText w:val="%1.%2.%3.%4.%5.%6"/>
      <w:lvlJc w:val="left"/>
      <w:pPr>
        <w:ind w:left="1440" w:hanging="1440"/>
      </w:pPr>
      <w:rPr>
        <w:rFonts w:ascii="Calibri" w:hAnsi="Calibri" w:hint="default"/>
        <w:b w:val="0"/>
        <w:sz w:val="24"/>
      </w:rPr>
    </w:lvl>
    <w:lvl w:ilvl="6">
      <w:start w:val="1"/>
      <w:numFmt w:val="decimal"/>
      <w:lvlText w:val="%1.%2.%3.%4.%5.%6.%7"/>
      <w:lvlJc w:val="left"/>
      <w:pPr>
        <w:ind w:left="1440" w:hanging="1440"/>
      </w:pPr>
      <w:rPr>
        <w:rFonts w:ascii="Calibri" w:hAnsi="Calibri" w:hint="default"/>
        <w:b w:val="0"/>
        <w:sz w:val="24"/>
      </w:rPr>
    </w:lvl>
    <w:lvl w:ilvl="7">
      <w:start w:val="1"/>
      <w:numFmt w:val="decimal"/>
      <w:lvlText w:val="%1.%2.%3.%4.%5.%6.%7.%8"/>
      <w:lvlJc w:val="left"/>
      <w:pPr>
        <w:ind w:left="1800" w:hanging="1800"/>
      </w:pPr>
      <w:rPr>
        <w:rFonts w:ascii="Calibri" w:hAnsi="Calibri" w:hint="default"/>
        <w:b w:val="0"/>
        <w:sz w:val="24"/>
      </w:rPr>
    </w:lvl>
    <w:lvl w:ilvl="8">
      <w:start w:val="1"/>
      <w:numFmt w:val="decimal"/>
      <w:lvlText w:val="%1.%2.%3.%4.%5.%6.%7.%8.%9"/>
      <w:lvlJc w:val="left"/>
      <w:pPr>
        <w:ind w:left="1800" w:hanging="1800"/>
      </w:pPr>
      <w:rPr>
        <w:rFonts w:ascii="Calibri" w:hAnsi="Calibri" w:hint="default"/>
        <w:b w:val="0"/>
        <w:sz w:val="24"/>
      </w:rPr>
    </w:lvl>
  </w:abstractNum>
  <w:abstractNum w:abstractNumId="10" w15:restartNumberingAfterBreak="0">
    <w:nsid w:val="770F5B60"/>
    <w:multiLevelType w:val="multilevel"/>
    <w:tmpl w:val="716C9BAE"/>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93691435">
    <w:abstractNumId w:val="0"/>
  </w:num>
  <w:num w:numId="2" w16cid:durableId="1693649262">
    <w:abstractNumId w:val="2"/>
  </w:num>
  <w:num w:numId="3" w16cid:durableId="1657880372">
    <w:abstractNumId w:val="3"/>
  </w:num>
  <w:num w:numId="4" w16cid:durableId="666324855">
    <w:abstractNumId w:val="5"/>
  </w:num>
  <w:num w:numId="5" w16cid:durableId="480272941">
    <w:abstractNumId w:val="9"/>
  </w:num>
  <w:num w:numId="6" w16cid:durableId="2010131024">
    <w:abstractNumId w:val="4"/>
  </w:num>
  <w:num w:numId="7" w16cid:durableId="1267692345">
    <w:abstractNumId w:val="6"/>
  </w:num>
  <w:num w:numId="8" w16cid:durableId="2014070803">
    <w:abstractNumId w:val="1"/>
  </w:num>
  <w:num w:numId="9" w16cid:durableId="585454624">
    <w:abstractNumId w:val="8"/>
  </w:num>
  <w:num w:numId="10" w16cid:durableId="961303546">
    <w:abstractNumId w:val="7"/>
  </w:num>
  <w:num w:numId="11" w16cid:durableId="1983582555">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2D7"/>
    <w:rsid w:val="000072D7"/>
    <w:rsid w:val="000202C2"/>
    <w:rsid w:val="000467F2"/>
    <w:rsid w:val="00081ECD"/>
    <w:rsid w:val="00082214"/>
    <w:rsid w:val="000859CE"/>
    <w:rsid w:val="000928CC"/>
    <w:rsid w:val="000C0F90"/>
    <w:rsid w:val="00106528"/>
    <w:rsid w:val="001456EC"/>
    <w:rsid w:val="00175519"/>
    <w:rsid w:val="001830F2"/>
    <w:rsid w:val="0019229D"/>
    <w:rsid w:val="00280D55"/>
    <w:rsid w:val="00287807"/>
    <w:rsid w:val="002B03D4"/>
    <w:rsid w:val="002D0AE5"/>
    <w:rsid w:val="002D4202"/>
    <w:rsid w:val="002E675D"/>
    <w:rsid w:val="002E79DD"/>
    <w:rsid w:val="002F631F"/>
    <w:rsid w:val="00324306"/>
    <w:rsid w:val="003508F1"/>
    <w:rsid w:val="00351660"/>
    <w:rsid w:val="0039789C"/>
    <w:rsid w:val="003C794D"/>
    <w:rsid w:val="0042399F"/>
    <w:rsid w:val="00433ECB"/>
    <w:rsid w:val="00436FC4"/>
    <w:rsid w:val="00446557"/>
    <w:rsid w:val="00500020"/>
    <w:rsid w:val="005033F4"/>
    <w:rsid w:val="00512AE0"/>
    <w:rsid w:val="00536DE4"/>
    <w:rsid w:val="005454E6"/>
    <w:rsid w:val="00560B17"/>
    <w:rsid w:val="005B5EFD"/>
    <w:rsid w:val="005C6469"/>
    <w:rsid w:val="005E4CED"/>
    <w:rsid w:val="006016DC"/>
    <w:rsid w:val="006347DA"/>
    <w:rsid w:val="00645A94"/>
    <w:rsid w:val="006B3CC8"/>
    <w:rsid w:val="006D3411"/>
    <w:rsid w:val="006E78CF"/>
    <w:rsid w:val="006F1FAD"/>
    <w:rsid w:val="006F4D88"/>
    <w:rsid w:val="007A3369"/>
    <w:rsid w:val="007B7DE7"/>
    <w:rsid w:val="007E333F"/>
    <w:rsid w:val="0080611F"/>
    <w:rsid w:val="00830E3F"/>
    <w:rsid w:val="008871CF"/>
    <w:rsid w:val="008B0C43"/>
    <w:rsid w:val="008C477D"/>
    <w:rsid w:val="008C4935"/>
    <w:rsid w:val="008F6345"/>
    <w:rsid w:val="009032D7"/>
    <w:rsid w:val="009508F7"/>
    <w:rsid w:val="00997246"/>
    <w:rsid w:val="009F2278"/>
    <w:rsid w:val="00A307C9"/>
    <w:rsid w:val="00AA4222"/>
    <w:rsid w:val="00AF4333"/>
    <w:rsid w:val="00AF6392"/>
    <w:rsid w:val="00B04313"/>
    <w:rsid w:val="00B20227"/>
    <w:rsid w:val="00B22CA9"/>
    <w:rsid w:val="00B40133"/>
    <w:rsid w:val="00B53EE0"/>
    <w:rsid w:val="00B873C2"/>
    <w:rsid w:val="00B8794C"/>
    <w:rsid w:val="00BA0E1F"/>
    <w:rsid w:val="00BA664A"/>
    <w:rsid w:val="00BB6463"/>
    <w:rsid w:val="00BC6FF6"/>
    <w:rsid w:val="00BD6645"/>
    <w:rsid w:val="00C2343F"/>
    <w:rsid w:val="00C914C0"/>
    <w:rsid w:val="00C94735"/>
    <w:rsid w:val="00CC1047"/>
    <w:rsid w:val="00CD2089"/>
    <w:rsid w:val="00D008DA"/>
    <w:rsid w:val="00D33BDA"/>
    <w:rsid w:val="00D44FE7"/>
    <w:rsid w:val="00D542C6"/>
    <w:rsid w:val="00D630EB"/>
    <w:rsid w:val="00D67542"/>
    <w:rsid w:val="00D70678"/>
    <w:rsid w:val="00D80CC8"/>
    <w:rsid w:val="00E2021E"/>
    <w:rsid w:val="00E211FD"/>
    <w:rsid w:val="00E6450A"/>
    <w:rsid w:val="00EA1CC2"/>
    <w:rsid w:val="00EC35D8"/>
    <w:rsid w:val="00EF084C"/>
    <w:rsid w:val="00F2456D"/>
    <w:rsid w:val="00F74A0F"/>
    <w:rsid w:val="00FE51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557B"/>
  <w15:chartTrackingRefBased/>
  <w15:docId w15:val="{3031AAD5-F120-4BFD-8B83-E1DD9B3B9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D630EB"/>
    <w:rPr>
      <w:i/>
      <w:iCs/>
    </w:rPr>
  </w:style>
  <w:style w:type="character" w:customStyle="1" w:styleId="katex-mathml">
    <w:name w:val="katex-mathml"/>
    <w:basedOn w:val="Absatz-Standardschriftart"/>
    <w:rsid w:val="00175519"/>
  </w:style>
  <w:style w:type="character" w:customStyle="1" w:styleId="mord">
    <w:name w:val="mord"/>
    <w:basedOn w:val="Absatz-Standardschriftart"/>
    <w:rsid w:val="00175519"/>
  </w:style>
  <w:style w:type="character" w:customStyle="1" w:styleId="mrel">
    <w:name w:val="mrel"/>
    <w:basedOn w:val="Absatz-Standardschriftart"/>
    <w:rsid w:val="00175519"/>
  </w:style>
  <w:style w:type="character" w:customStyle="1" w:styleId="mbin">
    <w:name w:val="mbin"/>
    <w:basedOn w:val="Absatz-Standardschriftart"/>
    <w:rsid w:val="00175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7438">
      <w:bodyDiv w:val="1"/>
      <w:marLeft w:val="0"/>
      <w:marRight w:val="0"/>
      <w:marTop w:val="0"/>
      <w:marBottom w:val="0"/>
      <w:divBdr>
        <w:top w:val="none" w:sz="0" w:space="0" w:color="auto"/>
        <w:left w:val="none" w:sz="0" w:space="0" w:color="auto"/>
        <w:bottom w:val="none" w:sz="0" w:space="0" w:color="auto"/>
        <w:right w:val="none" w:sz="0" w:space="0" w:color="auto"/>
      </w:divBdr>
    </w:div>
    <w:div w:id="58285418">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1072941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88367375">
      <w:bodyDiv w:val="1"/>
      <w:marLeft w:val="0"/>
      <w:marRight w:val="0"/>
      <w:marTop w:val="0"/>
      <w:marBottom w:val="0"/>
      <w:divBdr>
        <w:top w:val="none" w:sz="0" w:space="0" w:color="auto"/>
        <w:left w:val="none" w:sz="0" w:space="0" w:color="auto"/>
        <w:bottom w:val="none" w:sz="0" w:space="0" w:color="auto"/>
        <w:right w:val="none" w:sz="0" w:space="0" w:color="auto"/>
      </w:divBdr>
      <w:divsChild>
        <w:div w:id="1964337934">
          <w:marLeft w:val="0"/>
          <w:marRight w:val="0"/>
          <w:marTop w:val="0"/>
          <w:marBottom w:val="0"/>
          <w:divBdr>
            <w:top w:val="none" w:sz="0" w:space="0" w:color="auto"/>
            <w:left w:val="none" w:sz="0" w:space="0" w:color="auto"/>
            <w:bottom w:val="none" w:sz="0" w:space="0" w:color="auto"/>
            <w:right w:val="none" w:sz="0" w:space="0" w:color="auto"/>
          </w:divBdr>
          <w:divsChild>
            <w:div w:id="1167669842">
              <w:marLeft w:val="0"/>
              <w:marRight w:val="0"/>
              <w:marTop w:val="0"/>
              <w:marBottom w:val="0"/>
              <w:divBdr>
                <w:top w:val="none" w:sz="0" w:space="0" w:color="auto"/>
                <w:left w:val="none" w:sz="0" w:space="0" w:color="auto"/>
                <w:bottom w:val="none" w:sz="0" w:space="0" w:color="auto"/>
                <w:right w:val="none" w:sz="0" w:space="0" w:color="auto"/>
              </w:divBdr>
              <w:divsChild>
                <w:div w:id="43257085">
                  <w:marLeft w:val="0"/>
                  <w:marRight w:val="0"/>
                  <w:marTop w:val="0"/>
                  <w:marBottom w:val="0"/>
                  <w:divBdr>
                    <w:top w:val="none" w:sz="0" w:space="0" w:color="auto"/>
                    <w:left w:val="none" w:sz="0" w:space="0" w:color="auto"/>
                    <w:bottom w:val="none" w:sz="0" w:space="0" w:color="auto"/>
                    <w:right w:val="none" w:sz="0" w:space="0" w:color="auto"/>
                  </w:divBdr>
                  <w:divsChild>
                    <w:div w:id="716776654">
                      <w:marLeft w:val="0"/>
                      <w:marRight w:val="0"/>
                      <w:marTop w:val="0"/>
                      <w:marBottom w:val="0"/>
                      <w:divBdr>
                        <w:top w:val="none" w:sz="0" w:space="0" w:color="auto"/>
                        <w:left w:val="none" w:sz="0" w:space="0" w:color="auto"/>
                        <w:bottom w:val="none" w:sz="0" w:space="0" w:color="auto"/>
                        <w:right w:val="none" w:sz="0" w:space="0" w:color="auto"/>
                      </w:divBdr>
                      <w:divsChild>
                        <w:div w:id="1191458310">
                          <w:marLeft w:val="0"/>
                          <w:marRight w:val="0"/>
                          <w:marTop w:val="0"/>
                          <w:marBottom w:val="0"/>
                          <w:divBdr>
                            <w:top w:val="none" w:sz="0" w:space="0" w:color="auto"/>
                            <w:left w:val="none" w:sz="0" w:space="0" w:color="auto"/>
                            <w:bottom w:val="none" w:sz="0" w:space="0" w:color="auto"/>
                            <w:right w:val="none" w:sz="0" w:space="0" w:color="auto"/>
                          </w:divBdr>
                          <w:divsChild>
                            <w:div w:id="5970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653366">
      <w:bodyDiv w:val="1"/>
      <w:marLeft w:val="0"/>
      <w:marRight w:val="0"/>
      <w:marTop w:val="0"/>
      <w:marBottom w:val="0"/>
      <w:divBdr>
        <w:top w:val="none" w:sz="0" w:space="0" w:color="auto"/>
        <w:left w:val="none" w:sz="0" w:space="0" w:color="auto"/>
        <w:bottom w:val="none" w:sz="0" w:space="0" w:color="auto"/>
        <w:right w:val="none" w:sz="0" w:space="0" w:color="auto"/>
      </w:divBdr>
    </w:div>
    <w:div w:id="353456747">
      <w:bodyDiv w:val="1"/>
      <w:marLeft w:val="0"/>
      <w:marRight w:val="0"/>
      <w:marTop w:val="0"/>
      <w:marBottom w:val="0"/>
      <w:divBdr>
        <w:top w:val="none" w:sz="0" w:space="0" w:color="auto"/>
        <w:left w:val="none" w:sz="0" w:space="0" w:color="auto"/>
        <w:bottom w:val="none" w:sz="0" w:space="0" w:color="auto"/>
        <w:right w:val="none" w:sz="0" w:space="0" w:color="auto"/>
      </w:divBdr>
    </w:div>
    <w:div w:id="385489282">
      <w:bodyDiv w:val="1"/>
      <w:marLeft w:val="0"/>
      <w:marRight w:val="0"/>
      <w:marTop w:val="0"/>
      <w:marBottom w:val="0"/>
      <w:divBdr>
        <w:top w:val="none" w:sz="0" w:space="0" w:color="auto"/>
        <w:left w:val="none" w:sz="0" w:space="0" w:color="auto"/>
        <w:bottom w:val="none" w:sz="0" w:space="0" w:color="auto"/>
        <w:right w:val="none" w:sz="0" w:space="0" w:color="auto"/>
      </w:divBdr>
    </w:div>
    <w:div w:id="535387371">
      <w:bodyDiv w:val="1"/>
      <w:marLeft w:val="0"/>
      <w:marRight w:val="0"/>
      <w:marTop w:val="0"/>
      <w:marBottom w:val="0"/>
      <w:divBdr>
        <w:top w:val="none" w:sz="0" w:space="0" w:color="auto"/>
        <w:left w:val="none" w:sz="0" w:space="0" w:color="auto"/>
        <w:bottom w:val="none" w:sz="0" w:space="0" w:color="auto"/>
        <w:right w:val="none" w:sz="0" w:space="0" w:color="auto"/>
      </w:divBdr>
    </w:div>
    <w:div w:id="619067998">
      <w:bodyDiv w:val="1"/>
      <w:marLeft w:val="0"/>
      <w:marRight w:val="0"/>
      <w:marTop w:val="0"/>
      <w:marBottom w:val="0"/>
      <w:divBdr>
        <w:top w:val="none" w:sz="0" w:space="0" w:color="auto"/>
        <w:left w:val="none" w:sz="0" w:space="0" w:color="auto"/>
        <w:bottom w:val="none" w:sz="0" w:space="0" w:color="auto"/>
        <w:right w:val="none" w:sz="0" w:space="0" w:color="auto"/>
      </w:divBdr>
    </w:div>
    <w:div w:id="762989745">
      <w:bodyDiv w:val="1"/>
      <w:marLeft w:val="0"/>
      <w:marRight w:val="0"/>
      <w:marTop w:val="0"/>
      <w:marBottom w:val="0"/>
      <w:divBdr>
        <w:top w:val="none" w:sz="0" w:space="0" w:color="auto"/>
        <w:left w:val="none" w:sz="0" w:space="0" w:color="auto"/>
        <w:bottom w:val="none" w:sz="0" w:space="0" w:color="auto"/>
        <w:right w:val="none" w:sz="0" w:space="0" w:color="auto"/>
      </w:divBdr>
    </w:div>
    <w:div w:id="767191549">
      <w:bodyDiv w:val="1"/>
      <w:marLeft w:val="0"/>
      <w:marRight w:val="0"/>
      <w:marTop w:val="0"/>
      <w:marBottom w:val="0"/>
      <w:divBdr>
        <w:top w:val="none" w:sz="0" w:space="0" w:color="auto"/>
        <w:left w:val="none" w:sz="0" w:space="0" w:color="auto"/>
        <w:bottom w:val="none" w:sz="0" w:space="0" w:color="auto"/>
        <w:right w:val="none" w:sz="0" w:space="0" w:color="auto"/>
      </w:divBdr>
    </w:div>
    <w:div w:id="777798242">
      <w:bodyDiv w:val="1"/>
      <w:marLeft w:val="0"/>
      <w:marRight w:val="0"/>
      <w:marTop w:val="0"/>
      <w:marBottom w:val="0"/>
      <w:divBdr>
        <w:top w:val="none" w:sz="0" w:space="0" w:color="auto"/>
        <w:left w:val="none" w:sz="0" w:space="0" w:color="auto"/>
        <w:bottom w:val="none" w:sz="0" w:space="0" w:color="auto"/>
        <w:right w:val="none" w:sz="0" w:space="0" w:color="auto"/>
      </w:divBdr>
    </w:div>
    <w:div w:id="78893505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93348502">
      <w:bodyDiv w:val="1"/>
      <w:marLeft w:val="0"/>
      <w:marRight w:val="0"/>
      <w:marTop w:val="0"/>
      <w:marBottom w:val="0"/>
      <w:divBdr>
        <w:top w:val="none" w:sz="0" w:space="0" w:color="auto"/>
        <w:left w:val="none" w:sz="0" w:space="0" w:color="auto"/>
        <w:bottom w:val="none" w:sz="0" w:space="0" w:color="auto"/>
        <w:right w:val="none" w:sz="0" w:space="0" w:color="auto"/>
      </w:divBdr>
    </w:div>
    <w:div w:id="947389295">
      <w:bodyDiv w:val="1"/>
      <w:marLeft w:val="0"/>
      <w:marRight w:val="0"/>
      <w:marTop w:val="0"/>
      <w:marBottom w:val="0"/>
      <w:divBdr>
        <w:top w:val="none" w:sz="0" w:space="0" w:color="auto"/>
        <w:left w:val="none" w:sz="0" w:space="0" w:color="auto"/>
        <w:bottom w:val="none" w:sz="0" w:space="0" w:color="auto"/>
        <w:right w:val="none" w:sz="0" w:space="0" w:color="auto"/>
      </w:divBdr>
      <w:divsChild>
        <w:div w:id="144900358">
          <w:marLeft w:val="0"/>
          <w:marRight w:val="0"/>
          <w:marTop w:val="0"/>
          <w:marBottom w:val="0"/>
          <w:divBdr>
            <w:top w:val="none" w:sz="0" w:space="0" w:color="auto"/>
            <w:left w:val="none" w:sz="0" w:space="0" w:color="auto"/>
            <w:bottom w:val="none" w:sz="0" w:space="0" w:color="auto"/>
            <w:right w:val="none" w:sz="0" w:space="0" w:color="auto"/>
          </w:divBdr>
          <w:divsChild>
            <w:div w:id="1472477648">
              <w:marLeft w:val="0"/>
              <w:marRight w:val="0"/>
              <w:marTop w:val="0"/>
              <w:marBottom w:val="0"/>
              <w:divBdr>
                <w:top w:val="none" w:sz="0" w:space="0" w:color="auto"/>
                <w:left w:val="none" w:sz="0" w:space="0" w:color="auto"/>
                <w:bottom w:val="none" w:sz="0" w:space="0" w:color="auto"/>
                <w:right w:val="none" w:sz="0" w:space="0" w:color="auto"/>
              </w:divBdr>
              <w:divsChild>
                <w:div w:id="1506289619">
                  <w:marLeft w:val="0"/>
                  <w:marRight w:val="0"/>
                  <w:marTop w:val="0"/>
                  <w:marBottom w:val="0"/>
                  <w:divBdr>
                    <w:top w:val="none" w:sz="0" w:space="0" w:color="auto"/>
                    <w:left w:val="none" w:sz="0" w:space="0" w:color="auto"/>
                    <w:bottom w:val="none" w:sz="0" w:space="0" w:color="auto"/>
                    <w:right w:val="none" w:sz="0" w:space="0" w:color="auto"/>
                  </w:divBdr>
                  <w:divsChild>
                    <w:div w:id="29034872">
                      <w:marLeft w:val="0"/>
                      <w:marRight w:val="0"/>
                      <w:marTop w:val="0"/>
                      <w:marBottom w:val="0"/>
                      <w:divBdr>
                        <w:top w:val="none" w:sz="0" w:space="0" w:color="auto"/>
                        <w:left w:val="none" w:sz="0" w:space="0" w:color="auto"/>
                        <w:bottom w:val="none" w:sz="0" w:space="0" w:color="auto"/>
                        <w:right w:val="none" w:sz="0" w:space="0" w:color="auto"/>
                      </w:divBdr>
                      <w:divsChild>
                        <w:div w:id="1507670891">
                          <w:marLeft w:val="0"/>
                          <w:marRight w:val="0"/>
                          <w:marTop w:val="0"/>
                          <w:marBottom w:val="0"/>
                          <w:divBdr>
                            <w:top w:val="none" w:sz="0" w:space="0" w:color="auto"/>
                            <w:left w:val="none" w:sz="0" w:space="0" w:color="auto"/>
                            <w:bottom w:val="none" w:sz="0" w:space="0" w:color="auto"/>
                            <w:right w:val="none" w:sz="0" w:space="0" w:color="auto"/>
                          </w:divBdr>
                          <w:divsChild>
                            <w:div w:id="19183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425599">
          <w:marLeft w:val="0"/>
          <w:marRight w:val="0"/>
          <w:marTop w:val="0"/>
          <w:marBottom w:val="0"/>
          <w:divBdr>
            <w:top w:val="none" w:sz="0" w:space="0" w:color="auto"/>
            <w:left w:val="none" w:sz="0" w:space="0" w:color="auto"/>
            <w:bottom w:val="none" w:sz="0" w:space="0" w:color="auto"/>
            <w:right w:val="none" w:sz="0" w:space="0" w:color="auto"/>
          </w:divBdr>
          <w:divsChild>
            <w:div w:id="1122533142">
              <w:marLeft w:val="0"/>
              <w:marRight w:val="0"/>
              <w:marTop w:val="0"/>
              <w:marBottom w:val="0"/>
              <w:divBdr>
                <w:top w:val="none" w:sz="0" w:space="0" w:color="auto"/>
                <w:left w:val="none" w:sz="0" w:space="0" w:color="auto"/>
                <w:bottom w:val="none" w:sz="0" w:space="0" w:color="auto"/>
                <w:right w:val="none" w:sz="0" w:space="0" w:color="auto"/>
              </w:divBdr>
              <w:divsChild>
                <w:div w:id="1919712049">
                  <w:marLeft w:val="0"/>
                  <w:marRight w:val="0"/>
                  <w:marTop w:val="0"/>
                  <w:marBottom w:val="0"/>
                  <w:divBdr>
                    <w:top w:val="none" w:sz="0" w:space="0" w:color="auto"/>
                    <w:left w:val="none" w:sz="0" w:space="0" w:color="auto"/>
                    <w:bottom w:val="none" w:sz="0" w:space="0" w:color="auto"/>
                    <w:right w:val="none" w:sz="0" w:space="0" w:color="auto"/>
                  </w:divBdr>
                  <w:divsChild>
                    <w:div w:id="1613128273">
                      <w:marLeft w:val="0"/>
                      <w:marRight w:val="0"/>
                      <w:marTop w:val="0"/>
                      <w:marBottom w:val="0"/>
                      <w:divBdr>
                        <w:top w:val="none" w:sz="0" w:space="0" w:color="auto"/>
                        <w:left w:val="none" w:sz="0" w:space="0" w:color="auto"/>
                        <w:bottom w:val="none" w:sz="0" w:space="0" w:color="auto"/>
                        <w:right w:val="none" w:sz="0" w:space="0" w:color="auto"/>
                      </w:divBdr>
                      <w:divsChild>
                        <w:div w:id="208692167">
                          <w:marLeft w:val="0"/>
                          <w:marRight w:val="0"/>
                          <w:marTop w:val="0"/>
                          <w:marBottom w:val="0"/>
                          <w:divBdr>
                            <w:top w:val="none" w:sz="0" w:space="0" w:color="auto"/>
                            <w:left w:val="none" w:sz="0" w:space="0" w:color="auto"/>
                            <w:bottom w:val="none" w:sz="0" w:space="0" w:color="auto"/>
                            <w:right w:val="none" w:sz="0" w:space="0" w:color="auto"/>
                          </w:divBdr>
                          <w:divsChild>
                            <w:div w:id="1839272815">
                              <w:marLeft w:val="0"/>
                              <w:marRight w:val="0"/>
                              <w:marTop w:val="0"/>
                              <w:marBottom w:val="0"/>
                              <w:divBdr>
                                <w:top w:val="none" w:sz="0" w:space="0" w:color="auto"/>
                                <w:left w:val="none" w:sz="0" w:space="0" w:color="auto"/>
                                <w:bottom w:val="none" w:sz="0" w:space="0" w:color="auto"/>
                                <w:right w:val="none" w:sz="0" w:space="0" w:color="auto"/>
                              </w:divBdr>
                              <w:divsChild>
                                <w:div w:id="2229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194406">
      <w:bodyDiv w:val="1"/>
      <w:marLeft w:val="0"/>
      <w:marRight w:val="0"/>
      <w:marTop w:val="0"/>
      <w:marBottom w:val="0"/>
      <w:divBdr>
        <w:top w:val="none" w:sz="0" w:space="0" w:color="auto"/>
        <w:left w:val="none" w:sz="0" w:space="0" w:color="auto"/>
        <w:bottom w:val="none" w:sz="0" w:space="0" w:color="auto"/>
        <w:right w:val="none" w:sz="0" w:space="0" w:color="auto"/>
      </w:divBdr>
    </w:div>
    <w:div w:id="1006708657">
      <w:bodyDiv w:val="1"/>
      <w:marLeft w:val="0"/>
      <w:marRight w:val="0"/>
      <w:marTop w:val="0"/>
      <w:marBottom w:val="0"/>
      <w:divBdr>
        <w:top w:val="none" w:sz="0" w:space="0" w:color="auto"/>
        <w:left w:val="none" w:sz="0" w:space="0" w:color="auto"/>
        <w:bottom w:val="none" w:sz="0" w:space="0" w:color="auto"/>
        <w:right w:val="none" w:sz="0" w:space="0" w:color="auto"/>
      </w:divBdr>
    </w:div>
    <w:div w:id="1079793130">
      <w:bodyDiv w:val="1"/>
      <w:marLeft w:val="0"/>
      <w:marRight w:val="0"/>
      <w:marTop w:val="0"/>
      <w:marBottom w:val="0"/>
      <w:divBdr>
        <w:top w:val="none" w:sz="0" w:space="0" w:color="auto"/>
        <w:left w:val="none" w:sz="0" w:space="0" w:color="auto"/>
        <w:bottom w:val="none" w:sz="0" w:space="0" w:color="auto"/>
        <w:right w:val="none" w:sz="0" w:space="0" w:color="auto"/>
      </w:divBdr>
    </w:div>
    <w:div w:id="1224832119">
      <w:bodyDiv w:val="1"/>
      <w:marLeft w:val="0"/>
      <w:marRight w:val="0"/>
      <w:marTop w:val="0"/>
      <w:marBottom w:val="0"/>
      <w:divBdr>
        <w:top w:val="none" w:sz="0" w:space="0" w:color="auto"/>
        <w:left w:val="none" w:sz="0" w:space="0" w:color="auto"/>
        <w:bottom w:val="none" w:sz="0" w:space="0" w:color="auto"/>
        <w:right w:val="none" w:sz="0" w:space="0" w:color="auto"/>
      </w:divBdr>
    </w:div>
    <w:div w:id="1248341972">
      <w:bodyDiv w:val="1"/>
      <w:marLeft w:val="0"/>
      <w:marRight w:val="0"/>
      <w:marTop w:val="0"/>
      <w:marBottom w:val="0"/>
      <w:divBdr>
        <w:top w:val="none" w:sz="0" w:space="0" w:color="auto"/>
        <w:left w:val="none" w:sz="0" w:space="0" w:color="auto"/>
        <w:bottom w:val="none" w:sz="0" w:space="0" w:color="auto"/>
        <w:right w:val="none" w:sz="0" w:space="0" w:color="auto"/>
      </w:divBdr>
    </w:div>
    <w:div w:id="1333996862">
      <w:bodyDiv w:val="1"/>
      <w:marLeft w:val="0"/>
      <w:marRight w:val="0"/>
      <w:marTop w:val="0"/>
      <w:marBottom w:val="0"/>
      <w:divBdr>
        <w:top w:val="none" w:sz="0" w:space="0" w:color="auto"/>
        <w:left w:val="none" w:sz="0" w:space="0" w:color="auto"/>
        <w:bottom w:val="none" w:sz="0" w:space="0" w:color="auto"/>
        <w:right w:val="none" w:sz="0" w:space="0" w:color="auto"/>
      </w:divBdr>
    </w:div>
    <w:div w:id="1403287351">
      <w:bodyDiv w:val="1"/>
      <w:marLeft w:val="0"/>
      <w:marRight w:val="0"/>
      <w:marTop w:val="0"/>
      <w:marBottom w:val="0"/>
      <w:divBdr>
        <w:top w:val="none" w:sz="0" w:space="0" w:color="auto"/>
        <w:left w:val="none" w:sz="0" w:space="0" w:color="auto"/>
        <w:bottom w:val="none" w:sz="0" w:space="0" w:color="auto"/>
        <w:right w:val="none" w:sz="0" w:space="0" w:color="auto"/>
      </w:divBdr>
    </w:div>
    <w:div w:id="1682318862">
      <w:bodyDiv w:val="1"/>
      <w:marLeft w:val="0"/>
      <w:marRight w:val="0"/>
      <w:marTop w:val="0"/>
      <w:marBottom w:val="0"/>
      <w:divBdr>
        <w:top w:val="none" w:sz="0" w:space="0" w:color="auto"/>
        <w:left w:val="none" w:sz="0" w:space="0" w:color="auto"/>
        <w:bottom w:val="none" w:sz="0" w:space="0" w:color="auto"/>
        <w:right w:val="none" w:sz="0" w:space="0" w:color="auto"/>
      </w:divBdr>
    </w:div>
    <w:div w:id="1697851257">
      <w:bodyDiv w:val="1"/>
      <w:marLeft w:val="0"/>
      <w:marRight w:val="0"/>
      <w:marTop w:val="0"/>
      <w:marBottom w:val="0"/>
      <w:divBdr>
        <w:top w:val="none" w:sz="0" w:space="0" w:color="auto"/>
        <w:left w:val="none" w:sz="0" w:space="0" w:color="auto"/>
        <w:bottom w:val="none" w:sz="0" w:space="0" w:color="auto"/>
        <w:right w:val="none" w:sz="0" w:space="0" w:color="auto"/>
      </w:divBdr>
    </w:div>
    <w:div w:id="1701661021">
      <w:bodyDiv w:val="1"/>
      <w:marLeft w:val="0"/>
      <w:marRight w:val="0"/>
      <w:marTop w:val="0"/>
      <w:marBottom w:val="0"/>
      <w:divBdr>
        <w:top w:val="none" w:sz="0" w:space="0" w:color="auto"/>
        <w:left w:val="none" w:sz="0" w:space="0" w:color="auto"/>
        <w:bottom w:val="none" w:sz="0" w:space="0" w:color="auto"/>
        <w:right w:val="none" w:sz="0" w:space="0" w:color="auto"/>
      </w:divBdr>
    </w:div>
    <w:div w:id="1731802217">
      <w:bodyDiv w:val="1"/>
      <w:marLeft w:val="0"/>
      <w:marRight w:val="0"/>
      <w:marTop w:val="0"/>
      <w:marBottom w:val="0"/>
      <w:divBdr>
        <w:top w:val="none" w:sz="0" w:space="0" w:color="auto"/>
        <w:left w:val="none" w:sz="0" w:space="0" w:color="auto"/>
        <w:bottom w:val="none" w:sz="0" w:space="0" w:color="auto"/>
        <w:right w:val="none" w:sz="0" w:space="0" w:color="auto"/>
      </w:divBdr>
    </w:div>
    <w:div w:id="1735617367">
      <w:bodyDiv w:val="1"/>
      <w:marLeft w:val="0"/>
      <w:marRight w:val="0"/>
      <w:marTop w:val="0"/>
      <w:marBottom w:val="0"/>
      <w:divBdr>
        <w:top w:val="none" w:sz="0" w:space="0" w:color="auto"/>
        <w:left w:val="none" w:sz="0" w:space="0" w:color="auto"/>
        <w:bottom w:val="none" w:sz="0" w:space="0" w:color="auto"/>
        <w:right w:val="none" w:sz="0" w:space="0" w:color="auto"/>
      </w:divBdr>
    </w:div>
    <w:div w:id="1763144593">
      <w:bodyDiv w:val="1"/>
      <w:marLeft w:val="0"/>
      <w:marRight w:val="0"/>
      <w:marTop w:val="0"/>
      <w:marBottom w:val="0"/>
      <w:divBdr>
        <w:top w:val="none" w:sz="0" w:space="0" w:color="auto"/>
        <w:left w:val="none" w:sz="0" w:space="0" w:color="auto"/>
        <w:bottom w:val="none" w:sz="0" w:space="0" w:color="auto"/>
        <w:right w:val="none" w:sz="0" w:space="0" w:color="auto"/>
      </w:divBdr>
      <w:divsChild>
        <w:div w:id="30110567">
          <w:marLeft w:val="0"/>
          <w:marRight w:val="0"/>
          <w:marTop w:val="0"/>
          <w:marBottom w:val="0"/>
          <w:divBdr>
            <w:top w:val="none" w:sz="0" w:space="0" w:color="auto"/>
            <w:left w:val="none" w:sz="0" w:space="0" w:color="auto"/>
            <w:bottom w:val="none" w:sz="0" w:space="0" w:color="auto"/>
            <w:right w:val="none" w:sz="0" w:space="0" w:color="auto"/>
          </w:divBdr>
          <w:divsChild>
            <w:div w:id="10173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9086">
      <w:bodyDiv w:val="1"/>
      <w:marLeft w:val="0"/>
      <w:marRight w:val="0"/>
      <w:marTop w:val="0"/>
      <w:marBottom w:val="0"/>
      <w:divBdr>
        <w:top w:val="none" w:sz="0" w:space="0" w:color="auto"/>
        <w:left w:val="none" w:sz="0" w:space="0" w:color="auto"/>
        <w:bottom w:val="none" w:sz="0" w:space="0" w:color="auto"/>
        <w:right w:val="none" w:sz="0" w:space="0" w:color="auto"/>
      </w:divBdr>
    </w:div>
    <w:div w:id="1930888014">
      <w:bodyDiv w:val="1"/>
      <w:marLeft w:val="0"/>
      <w:marRight w:val="0"/>
      <w:marTop w:val="0"/>
      <w:marBottom w:val="0"/>
      <w:divBdr>
        <w:top w:val="none" w:sz="0" w:space="0" w:color="auto"/>
        <w:left w:val="none" w:sz="0" w:space="0" w:color="auto"/>
        <w:bottom w:val="none" w:sz="0" w:space="0" w:color="auto"/>
        <w:right w:val="none" w:sz="0" w:space="0" w:color="auto"/>
      </w:divBdr>
    </w:div>
    <w:div w:id="1974943215">
      <w:bodyDiv w:val="1"/>
      <w:marLeft w:val="0"/>
      <w:marRight w:val="0"/>
      <w:marTop w:val="0"/>
      <w:marBottom w:val="0"/>
      <w:divBdr>
        <w:top w:val="none" w:sz="0" w:space="0" w:color="auto"/>
        <w:left w:val="none" w:sz="0" w:space="0" w:color="auto"/>
        <w:bottom w:val="none" w:sz="0" w:space="0" w:color="auto"/>
        <w:right w:val="none" w:sz="0" w:space="0" w:color="auto"/>
      </w:divBdr>
    </w:div>
    <w:div w:id="1999571691">
      <w:bodyDiv w:val="1"/>
      <w:marLeft w:val="0"/>
      <w:marRight w:val="0"/>
      <w:marTop w:val="0"/>
      <w:marBottom w:val="0"/>
      <w:divBdr>
        <w:top w:val="none" w:sz="0" w:space="0" w:color="auto"/>
        <w:left w:val="none" w:sz="0" w:space="0" w:color="auto"/>
        <w:bottom w:val="none" w:sz="0" w:space="0" w:color="auto"/>
        <w:right w:val="none" w:sz="0" w:space="0" w:color="auto"/>
      </w:divBdr>
    </w:div>
    <w:div w:id="2009750691">
      <w:bodyDiv w:val="1"/>
      <w:marLeft w:val="0"/>
      <w:marRight w:val="0"/>
      <w:marTop w:val="0"/>
      <w:marBottom w:val="0"/>
      <w:divBdr>
        <w:top w:val="none" w:sz="0" w:space="0" w:color="auto"/>
        <w:left w:val="none" w:sz="0" w:space="0" w:color="auto"/>
        <w:bottom w:val="none" w:sz="0" w:space="0" w:color="auto"/>
        <w:right w:val="none" w:sz="0" w:space="0" w:color="auto"/>
      </w:divBdr>
    </w:div>
    <w:div w:id="2033023671">
      <w:bodyDiv w:val="1"/>
      <w:marLeft w:val="0"/>
      <w:marRight w:val="0"/>
      <w:marTop w:val="0"/>
      <w:marBottom w:val="0"/>
      <w:divBdr>
        <w:top w:val="none" w:sz="0" w:space="0" w:color="auto"/>
        <w:left w:val="none" w:sz="0" w:space="0" w:color="auto"/>
        <w:bottom w:val="none" w:sz="0" w:space="0" w:color="auto"/>
        <w:right w:val="none" w:sz="0" w:space="0" w:color="auto"/>
      </w:divBdr>
    </w:div>
    <w:div w:id="210595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wnloads\Doktorarbeit\16.07.25\Kapitel%201\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16</Pages>
  <Words>5987</Words>
  <Characters>37723</Characters>
  <Application>Microsoft Office Word</Application>
  <DocSecurity>0</DocSecurity>
  <Lines>314</Lines>
  <Paragraphs>87</Paragraphs>
  <ScaleCrop>false</ScaleCrop>
  <HeadingPairs>
    <vt:vector size="4" baseType="variant">
      <vt:variant>
        <vt:lpstr>Titel</vt:lpstr>
      </vt:variant>
      <vt:variant>
        <vt:i4>1</vt:i4>
      </vt:variant>
      <vt:variant>
        <vt:lpstr>Überschriften</vt:lpstr>
      </vt:variant>
      <vt:variant>
        <vt:i4>23</vt:i4>
      </vt:variant>
    </vt:vector>
  </HeadingPairs>
  <TitlesOfParts>
    <vt:vector size="24" baseType="lpstr">
      <vt:lpstr/>
      <vt:lpstr>Kapitel 1: </vt:lpstr>
      <vt:lpstr>    Einleitung oder wie diese Arbeit entstanden ist</vt:lpstr>
      <vt:lpstr>        1.1.1 Praktisches Beispiel Textaufgabe</vt:lpstr>
      <vt:lpstr>        1.1.2 Praktisches Beispiel lineare Gleichungen</vt:lpstr>
      <vt:lpstr>        1.1.3 Ein weiters praktische Beispiel</vt:lpstr>
      <vt:lpstr>Professor Rudolf Taschner (ETH Zürich/Vortrag youtube 2013) - Der Irrtum des Pyt</vt:lpstr>
      <vt:lpstr>        1.1.4 Zusammenfassung</vt:lpstr>
      <vt:lpstr>    1.2 Lösungsweg und Ergebnis</vt:lpstr>
      <vt:lpstr>    1.3 Die Rolle des Tutors und die Struktur von Nachhilfe im Kontext der individue</vt:lpstr>
      <vt:lpstr>        1.4.1 Die Didaktische Differenzierung zwischen Nachhilfe und regulärem Unterrich</vt:lpstr>
      <vt:lpstr>        1.4.2 Die Bedeutung der Bezugssysteme und der persönlichen Relevanz</vt:lpstr>
      <vt:lpstr>        1.4.3 Die Lernenden</vt:lpstr>
      <vt:lpstr>    1.5 Die Lernumgebung und Unterrichtsführung</vt:lpstr>
      <vt:lpstr>    1.6 Forschungsstand und wissenschaftlicher Kontext</vt:lpstr>
      <vt:lpstr>        1.2.1 Physikalische Perspektiven: Emergenz von Raumzeit</vt:lpstr>
      <vt:lpstr>        1.2.2 Systemtheoretische und kybernetische Ansätze</vt:lpstr>
      <vt:lpstr>        1.2.3 Didaktische und bildungswissenschaftliche Modelle</vt:lpstr>
      <vt:lpstr>        1.2.4 Interdisziplinäre Verortung des FRZK</vt:lpstr>
      <vt:lpstr>    1.7 Forschungsziel</vt:lpstr>
      <vt:lpstr>    1.8 Warum jetzt</vt:lpstr>
      <vt:lpstr>    1.9 Begründung der Eignung zur Dissertation:</vt:lpstr>
      <vt:lpstr>    1.10 Fazit</vt:lpstr>
      <vt:lpstr>        Literaturverzeichnis</vt:lpstr>
    </vt:vector>
  </TitlesOfParts>
  <Company/>
  <LinksUpToDate>false</LinksUpToDate>
  <CharactersWithSpaces>43623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 – Einleitung: Literatur nach Erstnennung nummeriert</dc:title>
  <dc:subject>FRZK als methodisch-didaktischer Darstellungs- und Ordnungsrahmen</dc:subject>
  <dc:creator>olaf thiele</dc:creator>
  <cp:keywords/>
  <dc:description>Wissenschaftliche Arbeitsfassung. Keine formalen Definitionsgleichungen im Einleitungskapitel; offene Literaturbelege bleiben zu prüfen.</dc:description>
  <cp:lastModifiedBy>olaf thiele</cp:lastModifiedBy>
  <cp:revision>5</cp:revision>
  <dcterms:created xsi:type="dcterms:W3CDTF">2025-08-21T11:48:00Z</dcterms:created>
  <dcterms:modified xsi:type="dcterms:W3CDTF">2025-10-27T02:48:00Z</dcterms:modified>
</cp:coreProperties>
</file>