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433BF7" w:rsidP="00433BF7">
      <w:pPr>
        <w:pStyle w:val="berschrift2"/>
      </w:pPr>
      <w:r w:rsidRPr="0094347E">
        <w:t>3.2 Mathematische Grundlagen</w:t>
      </w:r>
    </w:p>
    <w:p w:rsidR="007B4DC2" w:rsidRDefault="007B4DC2" w:rsidP="007B4DC2">
      <w:pPr>
        <w:pStyle w:val="berschrift2"/>
        <w:rPr>
          <w:rFonts w:cs="Times New Roman"/>
        </w:rPr>
      </w:pPr>
      <w:r>
        <w:t>3.2.0 Einleitung (Fortsetzung)</w:t>
      </w:r>
    </w:p>
    <w:p w:rsidR="007B4DC2" w:rsidRDefault="007B4DC2" w:rsidP="007B4DC2">
      <w:pPr>
        <w:pStyle w:val="StandardWeb"/>
      </w:pPr>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pPr>
        <w:pStyle w:val="StandardWeb"/>
      </w:pPr>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pPr>
        <w:pStyle w:val="StandardWeb"/>
      </w:pPr>
      <w:r>
        <w:t xml:space="preserve">Die Mengenlehre bildet dabei den Ausgangspunkt nahezu aller modernen mathematischen Disziplinen. Bereits Paul R. </w:t>
      </w:r>
      <w:proofErr w:type="spellStart"/>
      <w:r>
        <w:t>Halmos</w:t>
      </w:r>
      <w:proofErr w:type="spellEnd"/>
      <w:r>
        <w:t xml:space="preserve"> stellte in </w:t>
      </w:r>
      <w:r>
        <w:rPr>
          <w:rStyle w:val="Hervorhebung"/>
        </w:rPr>
        <w:t>Naive Set Theory</w:t>
      </w:r>
      <w:r>
        <w:t xml:space="preserve">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pPr>
        <w:pStyle w:val="StandardWeb"/>
      </w:pPr>
      <w:r>
        <w:t xml:space="preserve">Die algebraischen Grundlagen werden anschließend anhand von Serge Langs Werk </w:t>
      </w:r>
      <w:r>
        <w:rPr>
          <w:rStyle w:val="Hervorhebung"/>
        </w:rPr>
        <w:t>Algebra</w:t>
      </w:r>
      <w:r>
        <w:t xml:space="preserve">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w:t>
      </w:r>
      <w:r>
        <w:rPr>
          <w:rStyle w:val="Fett"/>
        </w:rPr>
        <w:t>[71]</w:t>
      </w:r>
      <w:r>
        <w:t xml:space="preserve">. </w:t>
      </w:r>
    </w:p>
    <w:p w:rsidR="007B4DC2" w:rsidRDefault="007B4DC2" w:rsidP="007B4DC2">
      <w:pPr>
        <w:pStyle w:val="StandardWeb"/>
      </w:pPr>
      <w:r>
        <w:t xml:space="preserve">Für die Analysis wird Walter Rudins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Mathematical</w:t>
      </w:r>
      <w:proofErr w:type="spellEnd"/>
      <w:r>
        <w:rPr>
          <w:rStyle w:val="Hervorhebung"/>
        </w:rPr>
        <w:t xml:space="preserve"> Analysis</w:t>
      </w:r>
      <w:r>
        <w:t xml:space="preserve">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w:t>
      </w:r>
      <w:r>
        <w:rPr>
          <w:rStyle w:val="Fett"/>
        </w:rPr>
        <w:t>[72]</w:t>
      </w:r>
      <w:r>
        <w:t xml:space="preserve">. </w:t>
      </w:r>
    </w:p>
    <w:p w:rsidR="007B4DC2" w:rsidRDefault="007B4DC2" w:rsidP="007B4DC2">
      <w:pPr>
        <w:pStyle w:val="StandardWeb"/>
      </w:pPr>
      <w:r>
        <w:t xml:space="preserve">Die topologischen Grundlagen werden auf James R. </w:t>
      </w:r>
      <w:proofErr w:type="spellStart"/>
      <w:r>
        <w:t>Munkres</w:t>
      </w:r>
      <w:proofErr w:type="spellEnd"/>
      <w:r>
        <w:t xml:space="preserve">' </w:t>
      </w:r>
      <w:proofErr w:type="spellStart"/>
      <w:r>
        <w:rPr>
          <w:rStyle w:val="Hervorhebung"/>
        </w:rPr>
        <w:t>Topology</w:t>
      </w:r>
      <w:proofErr w:type="spellEnd"/>
      <w:r>
        <w:t xml:space="preserve"> gestützt. Dort werden topologische Räume, Zusammenhang, Kompaktheit und Trennungsaxiome unabhängig von einer metrischen Geometrie entwickelt. Für die vorliegende Arbeit ist insbesondere </w:t>
      </w:r>
      <w:r>
        <w:lastRenderedPageBreak/>
        <w:t xml:space="preserve">bedeutsam, dass Nähe und Zusammenhang mathematisch beschrieben werden können, ohne bereits einen physikalischen Raum vorauszusetzen. Dies entspricht unmittelbar den methodischen Vorgaben für Kapitel 3.2. </w:t>
      </w:r>
      <w:r>
        <w:rPr>
          <w:rStyle w:val="Fett"/>
        </w:rPr>
        <w:t>[73]</w:t>
      </w:r>
      <w:r>
        <w:t xml:space="preserve"> </w:t>
      </w:r>
    </w:p>
    <w:p w:rsidR="007B4DC2" w:rsidRDefault="007B4DC2" w:rsidP="007B4DC2">
      <w:pPr>
        <w:pStyle w:val="StandardWeb"/>
      </w:pPr>
      <w:r>
        <w:t xml:space="preserve">Die lineare Algebra wird anhand von Gilbert Strangs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Linear Algebra</w:t>
      </w:r>
      <w:r>
        <w:t xml:space="preserve">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w:t>
      </w:r>
      <w:r>
        <w:rPr>
          <w:rStyle w:val="Fett"/>
        </w:rPr>
        <w:t>[74]</w:t>
      </w:r>
      <w:r>
        <w:t xml:space="preserve"> </w:t>
      </w:r>
    </w:p>
    <w:p w:rsidR="007B4DC2" w:rsidRDefault="007B4DC2" w:rsidP="007B4DC2">
      <w:pPr>
        <w:pStyle w:val="StandardWeb"/>
      </w:pPr>
      <w:r>
        <w:t xml:space="preserve">Darauf aufbauend werden funktionalanalytische Konzepte anhand von Erwin </w:t>
      </w:r>
      <w:proofErr w:type="spellStart"/>
      <w:r>
        <w:t>Kreyszigs</w:t>
      </w:r>
      <w:proofErr w:type="spellEnd"/>
      <w:r>
        <w:t xml:space="preserve"> </w:t>
      </w:r>
      <w:proofErr w:type="spellStart"/>
      <w:r>
        <w:rPr>
          <w:rStyle w:val="Hervorhebung"/>
        </w:rPr>
        <w:t>Introductory</w:t>
      </w:r>
      <w:proofErr w:type="spellEnd"/>
      <w:r>
        <w:rPr>
          <w:rStyle w:val="Hervorhebung"/>
        </w:rPr>
        <w:t xml:space="preserve"> </w:t>
      </w:r>
      <w:proofErr w:type="spellStart"/>
      <w:r>
        <w:rPr>
          <w:rStyle w:val="Hervorhebung"/>
        </w:rPr>
        <w:t>Functional</w:t>
      </w:r>
      <w:proofErr w:type="spellEnd"/>
      <w:r>
        <w:rPr>
          <w:rStyle w:val="Hervorhebung"/>
        </w:rPr>
        <w:t xml:space="preserve"> Analysis </w:t>
      </w:r>
      <w:proofErr w:type="spellStart"/>
      <w:r>
        <w:rPr>
          <w:rStyle w:val="Hervorhebung"/>
        </w:rPr>
        <w:t>with</w:t>
      </w:r>
      <w:proofErr w:type="spellEnd"/>
      <w:r>
        <w:rPr>
          <w:rStyle w:val="Hervorhebung"/>
        </w:rPr>
        <w:t xml:space="preserve"> </w:t>
      </w:r>
      <w:proofErr w:type="spellStart"/>
      <w:r>
        <w:rPr>
          <w:rStyle w:val="Hervorhebung"/>
        </w:rPr>
        <w:t>Applications</w:t>
      </w:r>
      <w:proofErr w:type="spellEnd"/>
      <w:r>
        <w:t xml:space="preserve"> sowie der </w:t>
      </w:r>
      <w:proofErr w:type="spellStart"/>
      <w:r>
        <w:t>operatorentheoretischen</w:t>
      </w:r>
      <w:proofErr w:type="spellEnd"/>
      <w:r>
        <w:t xml:space="preserve"> Darstellung von Michael Reed und Barry Simon (</w:t>
      </w:r>
      <w:r>
        <w:rPr>
          <w:rStyle w:val="Hervorhebung"/>
        </w:rPr>
        <w:t xml:space="preserve">Methods </w:t>
      </w:r>
      <w:proofErr w:type="spellStart"/>
      <w:r>
        <w:rPr>
          <w:rStyle w:val="Hervorhebung"/>
        </w:rPr>
        <w:t>of</w:t>
      </w:r>
      <w:proofErr w:type="spellEnd"/>
      <w:r>
        <w:rPr>
          <w:rStyle w:val="Hervorhebung"/>
        </w:rPr>
        <w:t xml:space="preserve"> Modern </w:t>
      </w:r>
      <w:proofErr w:type="spellStart"/>
      <w:r>
        <w:rPr>
          <w:rStyle w:val="Hervorhebung"/>
        </w:rPr>
        <w:t>Mathematical</w:t>
      </w:r>
      <w:proofErr w:type="spellEnd"/>
      <w:r>
        <w:rPr>
          <w:rStyle w:val="Hervorhebung"/>
        </w:rPr>
        <w:t xml:space="preserve"> Physics</w:t>
      </w:r>
      <w:r>
        <w:t xml:space="preserve">,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w:t>
      </w:r>
      <w:r>
        <w:rPr>
          <w:rStyle w:val="Fett"/>
        </w:rPr>
        <w:t>[75]</w:t>
      </w:r>
      <w:r>
        <w:t xml:space="preserve"> und </w:t>
      </w:r>
      <w:r>
        <w:rPr>
          <w:rStyle w:val="Fett"/>
        </w:rPr>
        <w:t>[76]</w:t>
      </w:r>
      <w:r>
        <w:t xml:space="preserve">. </w:t>
      </w:r>
    </w:p>
    <w:p w:rsidR="007B4DC2" w:rsidRDefault="007B4DC2" w:rsidP="007B4DC2">
      <w:pPr>
        <w:pStyle w:val="StandardWeb"/>
      </w:pPr>
      <w:r>
        <w:t xml:space="preserve">Für diskrete relationale Strukturen wird Reinhard Diestels </w:t>
      </w:r>
      <w:r>
        <w:rPr>
          <w:rStyle w:val="Hervorhebung"/>
        </w:rPr>
        <w:t>Graph Theory</w:t>
      </w:r>
      <w:r>
        <w:t xml:space="preserve"> verwendet (</w:t>
      </w:r>
      <w:r>
        <w:rPr>
          <w:rStyle w:val="Fett"/>
        </w:rPr>
        <w:t>[77]</w:t>
      </w:r>
      <w:r>
        <w:t xml:space="preserve">). Kategorien werden auf Saunders Mac Lanes </w:t>
      </w:r>
      <w:proofErr w:type="spellStart"/>
      <w:r>
        <w:rPr>
          <w:rStyle w:val="Hervorhebung"/>
        </w:rPr>
        <w:t>Categories</w:t>
      </w:r>
      <w:proofErr w:type="spellEnd"/>
      <w:r>
        <w:rPr>
          <w:rStyle w:val="Hervorhebung"/>
        </w:rPr>
        <w:t xml:space="preserve"> </w:t>
      </w:r>
      <w:proofErr w:type="spellStart"/>
      <w:r>
        <w:rPr>
          <w:rStyle w:val="Hervorhebung"/>
        </w:rPr>
        <w:t>for</w:t>
      </w:r>
      <w:proofErr w:type="spellEnd"/>
      <w:r>
        <w:rPr>
          <w:rStyle w:val="Hervorhebung"/>
        </w:rPr>
        <w:t xml:space="preserve"> </w:t>
      </w:r>
      <w:proofErr w:type="spellStart"/>
      <w:r>
        <w:rPr>
          <w:rStyle w:val="Hervorhebung"/>
        </w:rPr>
        <w:t>the</w:t>
      </w:r>
      <w:proofErr w:type="spellEnd"/>
      <w:r>
        <w:rPr>
          <w:rStyle w:val="Hervorhebung"/>
        </w:rPr>
        <w:t xml:space="preserve"> Working </w:t>
      </w:r>
      <w:proofErr w:type="spellStart"/>
      <w:r>
        <w:rPr>
          <w:rStyle w:val="Hervorhebung"/>
        </w:rPr>
        <w:t>Mathematician</w:t>
      </w:r>
      <w:proofErr w:type="spellEnd"/>
      <w:r>
        <w:t xml:space="preserve"> (</w:t>
      </w:r>
      <w:r>
        <w:rPr>
          <w:rStyle w:val="Fett"/>
        </w:rPr>
        <w:t>[78]</w:t>
      </w:r>
      <w:r>
        <w:t>) zurückgeführt, während Stephen C. Kleenes Arbeiten zur mathematischen Logik und Berechenbarkeit (</w:t>
      </w:r>
      <w:r>
        <w:rPr>
          <w:rStyle w:val="Fett"/>
        </w:rPr>
        <w:t>[79]</w:t>
      </w:r>
      <w:r>
        <w:t xml:space="preserve">)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pPr>
        <w:pStyle w:val="StandardWeb"/>
      </w:pPr>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Default="00ED69A7" w:rsidP="00ED69A7">
      <w:pPr>
        <w:pStyle w:val="berschrift3"/>
        <w:rPr>
          <w:rFonts w:cs="Times New Roman"/>
          <w:sz w:val="27"/>
          <w:szCs w:val="27"/>
        </w:rPr>
      </w:pPr>
      <w:r>
        <w:t>3.2.1 Mengen, Elemente und elementare Relationen</w:t>
      </w:r>
    </w:p>
    <w:p w:rsidR="00ED69A7" w:rsidRDefault="00ED69A7" w:rsidP="00ED69A7">
      <w:pPr>
        <w:pStyle w:val="StandardWeb"/>
      </w:pPr>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pPr>
        <w:pStyle w:val="StandardWeb"/>
      </w:pPr>
      <w:r>
        <w:t xml:space="preserve">Die Mengenlehre wird häufig als gemeinsame Grundsprache der modernen Mathematik verwendet. Zahlenbereiche, Vektorräume, Funktionenräume, topologische Räume und viele weitere Strukturen können mengentheoretisch beschrieben werden. Daraus darf jedoch nicht geschlossen werden, dass eine Menge bereits eine physikalische oder ontologische Wirklichkeit abbildet. Eine Menge ist zunächst eine formal bestimmte Zusammenfassung </w:t>
      </w:r>
      <w:r>
        <w:lastRenderedPageBreak/>
        <w:t>unterscheidbarer Elemente. Erst durch zusätzliche Definitionen und Interpretationen wird festgelegt, welche wissenschaftliche Bedeutung diese Elemente besitzen.</w:t>
      </w:r>
    </w:p>
    <w:p w:rsidR="00ED69A7" w:rsidRDefault="00ED69A7" w:rsidP="00ED69A7">
      <w:pPr>
        <w:pStyle w:val="StandardWeb"/>
      </w:pPr>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w:t>
      </w:r>
      <w:proofErr w:type="spellStart"/>
      <w:r>
        <w:t>Halmos</w:t>
      </w:r>
      <w:proofErr w:type="spellEnd"/>
      <w:r>
        <w:t xml:space="preserve">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pPr>
        <w:pStyle w:val="StandardWeb"/>
      </w:pPr>
      <w:r>
        <w:t xml:space="preserve">Für die systematischere mengentheoretische Einordnung ergänze ich diese Grundlage durch Herbert B. </w:t>
      </w:r>
      <w:proofErr w:type="spellStart"/>
      <w:r>
        <w:t>Enderton</w:t>
      </w:r>
      <w:proofErr w:type="spellEnd"/>
      <w:r>
        <w:t xml:space="preserve">: </w:t>
      </w:r>
      <w:r>
        <w:rPr>
          <w:rStyle w:val="Hervorhebung"/>
        </w:rPr>
        <w:t xml:space="preserve">Elements </w:t>
      </w:r>
      <w:proofErr w:type="spellStart"/>
      <w:r>
        <w:rPr>
          <w:rStyle w:val="Hervorhebung"/>
        </w:rPr>
        <w:t>of</w:t>
      </w:r>
      <w:proofErr w:type="spellEnd"/>
      <w:r>
        <w:rPr>
          <w:rStyle w:val="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 Für die weiterführende axiomatische Einordnung verwende ich außerdem Thomas </w:t>
      </w:r>
      <w:proofErr w:type="spellStart"/>
      <w:r>
        <w:t>Jech</w:t>
      </w:r>
      <w:proofErr w:type="spellEnd"/>
      <w:r>
        <w:t xml:space="preserve">: </w:t>
      </w:r>
      <w:r>
        <w:rPr>
          <w:rStyle w:val="Hervorhebung"/>
        </w:rPr>
        <w:t xml:space="preserve">Set Theory. The Third Millennium Edition, </w:t>
      </w:r>
      <w:proofErr w:type="spellStart"/>
      <w:r>
        <w:rPr>
          <w:rStyle w:val="Hervorhebung"/>
        </w:rPr>
        <w:t>Revised</w:t>
      </w:r>
      <w:proofErr w:type="spellEnd"/>
      <w:r>
        <w:rPr>
          <w:rStyle w:val="Hervorhebung"/>
        </w:rPr>
        <w:t xml:space="preserve"> and </w:t>
      </w:r>
      <w:proofErr w:type="spellStart"/>
      <w:r>
        <w:rPr>
          <w:rStyle w:val="Hervorhebung"/>
        </w:rPr>
        <w:t>Expanded</w:t>
      </w:r>
      <w:proofErr w:type="spellEnd"/>
      <w:r>
        <w:t xml:space="preserve">. Berlin und Heidelberg: Springer, 2006 [81]. </w:t>
      </w:r>
      <w:proofErr w:type="spellStart"/>
      <w:r>
        <w:t>Jech</w:t>
      </w:r>
      <w:proofErr w:type="spellEnd"/>
      <w:r>
        <w:t xml:space="preserve"> führt von den Axiomen der Mengenlehre über Ordinal- und Kardinalzahlen bis zu weiterführenden Ergebnissen der modernen Mengenlehre. Die beiden Werke erfüllen in meiner Untersuchung unterschiedliche Funktionen: </w:t>
      </w:r>
      <w:proofErr w:type="spellStart"/>
      <w:r>
        <w:t>Enderton</w:t>
      </w:r>
      <w:proofErr w:type="spellEnd"/>
      <w:r>
        <w:t xml:space="preserve"> dient vor allem der schrittweisen begrifflichen Grundlegung, während </w:t>
      </w:r>
      <w:proofErr w:type="spellStart"/>
      <w:r>
        <w:t>Jech</w:t>
      </w:r>
      <w:proofErr w:type="spellEnd"/>
      <w:r>
        <w:t xml:space="preserve"> die Einordnung in die axiomatische Mengenlehre und ihre weiterführenden Konsequenzen ermöglicht.</w:t>
      </w:r>
    </w:p>
    <w:p w:rsidR="00ED69A7" w:rsidRDefault="00ED69A7" w:rsidP="00ED69A7">
      <w:pPr>
        <w:pStyle w:val="StandardWeb"/>
      </w:pPr>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ED69A7">
      <w:pPr>
        <w:pStyle w:val="berschrift4"/>
      </w:pPr>
      <w:r>
        <w:t>Definition 3.2.1: Menge und Element</w:t>
      </w:r>
    </w:p>
    <w:p w:rsidR="00ED69A7" w:rsidRDefault="00ED69A7" w:rsidP="00ED69A7">
      <w:pPr>
        <w:pStyle w:val="StandardWeb"/>
      </w:pPr>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pPr>
        <w:pStyle w:val="StandardWeb"/>
      </w:pPr>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ED69A7" w:rsidRDefault="00ED69A7" w:rsidP="00ED69A7">
      <w:pPr>
        <w:pStyle w:val="Formel"/>
      </w:pPr>
      <m:oMath>
        <m:r>
          <m:t>x∈M</m:t>
        </m:r>
      </m:oMath>
      <w:r>
        <w:tab/>
        <w:t>(3.1)</w:t>
      </w:r>
    </w:p>
    <w:p w:rsidR="00ED69A7" w:rsidRDefault="00ED69A7" w:rsidP="00ED69A7">
      <w:pPr>
        <w:pStyle w:val="StandardWeb"/>
      </w:pPr>
      <w:r>
        <w:t>Die Nichtzugehörigkeit schreibe ich entsprechend als</w:t>
      </w:r>
    </w:p>
    <w:p w:rsidR="00ED69A7" w:rsidRDefault="00ED69A7" w:rsidP="00ED69A7">
      <w:pPr>
        <w:pStyle w:val="Formel"/>
      </w:pPr>
      <m:oMath>
        <m:r>
          <m:t>x∉M</m:t>
        </m:r>
      </m:oMath>
      <w:r>
        <w:tab/>
        <w:t>(3.2)</w:t>
      </w:r>
    </w:p>
    <w:p w:rsidR="00ED69A7" w:rsidRDefault="00ED69A7" w:rsidP="00ED69A7">
      <w:pPr>
        <w:pStyle w:val="StandardWeb"/>
      </w:pPr>
      <w:r>
        <w:lastRenderedPageBreak/>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pPr>
        <w:pStyle w:val="StandardWeb"/>
      </w:pPr>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Default="00ED69A7" w:rsidP="00ED69A7">
      <w:pPr>
        <w:pStyle w:val="Formel"/>
      </w:pPr>
      <m:oMath>
        <m:r>
          <m:t>M=a,b,c</m:t>
        </m:r>
      </m:oMath>
      <w:r>
        <w:tab/>
        <w:t>(3.3)</w:t>
      </w:r>
    </w:p>
    <w:p w:rsidR="00ED69A7" w:rsidRDefault="00ED69A7" w:rsidP="00ED69A7">
      <w:pPr>
        <w:pStyle w:val="StandardWeb"/>
      </w:pPr>
      <w:r>
        <w:t>Die Reihenfolge der Elemente ist dabei nicht von Bedeutung. Ebenso verändert eine wiederholte Nennung eines Elements die Menge nicht. Es gilt daher</w:t>
      </w:r>
    </w:p>
    <w:p w:rsidR="00ED69A7" w:rsidRDefault="00ED69A7" w:rsidP="00ED69A7">
      <w:pPr>
        <w:pStyle w:val="Formel"/>
      </w:pPr>
      <m:oMath>
        <m:r>
          <m:t>a,b,c=c,a,b=a,a,b,c</m:t>
        </m:r>
      </m:oMath>
      <w:r>
        <w:tab/>
        <w:t>(3.4)</w:t>
      </w:r>
    </w:p>
    <w:p w:rsidR="00ED69A7" w:rsidRDefault="00ED69A7" w:rsidP="00ED69A7">
      <w:pPr>
        <w:pStyle w:val="StandardWeb"/>
      </w:pPr>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w:t>
      </w:r>
      <w:proofErr w:type="spellStart"/>
      <w:r>
        <w:t>unächst</w:t>
      </w:r>
      <w:proofErr w:type="spellEnd"/>
      <w:r>
        <w:t xml:space="preserve"> eine Zusammenfassung bereit, aber noch keine Ordnung, Gewichtung oder Dynamik.</w:t>
      </w:r>
    </w:p>
    <w:p w:rsidR="00ED69A7" w:rsidRDefault="00ED69A7" w:rsidP="00ED69A7">
      <w:pPr>
        <w:pStyle w:val="StandardWeb"/>
      </w:pPr>
      <w:r>
        <w:t>Neben der Aufzählung kann eine Menge durch eine Eigenschaft ihrer Elemente bestimmt werden. Die allgemeine Form lautet</w:t>
      </w:r>
    </w:p>
    <w:p w:rsidR="00ED69A7" w:rsidRDefault="00A745AE" w:rsidP="00A745AE">
      <w:pPr>
        <w:pStyle w:val="Formel"/>
      </w:pPr>
      <m:oMath>
        <m:r>
          <m:t>M=x∈U∣P</m:t>
        </m:r>
        <m:d>
          <m:dPr>
            <m:ctrlPr/>
          </m:dPr>
          <m:e>
            <m:r>
              <m:t>x</m:t>
            </m:r>
          </m:e>
        </m:d>
      </m:oMath>
      <w:r>
        <w:tab/>
        <w:t>(3.5)</w:t>
      </w:r>
    </w:p>
    <w:p w:rsidR="00ED69A7" w:rsidRDefault="00ED69A7" w:rsidP="00ED69A7">
      <w:pPr>
        <w:pStyle w:val="StandardWeb"/>
      </w:pPr>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pPr>
        <w:pStyle w:val="StandardWeb"/>
      </w:pPr>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Default="00A745AE" w:rsidP="00CC0405">
      <w:pPr>
        <w:pStyle w:val="Formel"/>
      </w:pPr>
      <m:oMath>
        <m:r>
          <m:t>G=n∈N∣∃k</m:t>
        </m:r>
        <m:r>
          <m:rPr>
            <m:scr m:val="double-struck"/>
          </m:rPr>
          <m:t>∈N:</m:t>
        </m:r>
        <m:r>
          <m:t>n=2k</m:t>
        </m:r>
      </m:oMath>
      <w:r w:rsidR="00CC0405">
        <w:tab/>
        <w:t>(3.6)</w:t>
      </w:r>
    </w:p>
    <w:p w:rsidR="00ED69A7" w:rsidRDefault="00ED69A7" w:rsidP="00ED69A7">
      <w:pPr>
        <w:pStyle w:val="StandardWeb"/>
      </w:pPr>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eine andere Menge bestimmen. Für meine weitere Modellbi</w:t>
      </w:r>
      <w:proofErr w:type="spellStart"/>
      <w:r>
        <w:t>ldung</w:t>
      </w:r>
      <w:proofErr w:type="spellEnd"/>
      <w:r>
        <w:t xml:space="preserve">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pPr>
        <w:pStyle w:val="StandardWeb"/>
      </w:pPr>
      <w:r>
        <w:lastRenderedPageBreak/>
        <w:t xml:space="preserve">Eine Menge </w:t>
      </w:r>
      <m:oMath>
        <m:r>
          <w:rPr>
            <w:rFonts w:ascii="Cambria Math" w:hAnsi="Cambria Math"/>
          </w:rPr>
          <m:t>A</m:t>
        </m:r>
      </m:oMath>
      <w:r>
        <w:t xml:space="preserve"> heißt Teilmenge einer </w:t>
      </w:r>
      <w:proofErr w:type="gramStart"/>
      <w:r>
        <w:t>Menge</w:t>
      </w:r>
      <w:proofErr w:type="gramEnd"/>
      <w:r>
        <w:t xml:space="preserv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Default="00CC0405" w:rsidP="00CC0405">
      <w:pPr>
        <w:pStyle w:val="Formel"/>
      </w:pPr>
      <m:oMath>
        <m:r>
          <m:t>A⊆B ⟺ ∀x,</m:t>
        </m:r>
        <m:d>
          <m:dPr>
            <m:ctrlPr/>
          </m:dPr>
          <m:e>
            <m:r>
              <m:t>x∈A⇒x∈B</m:t>
            </m:r>
          </m:e>
        </m:d>
      </m:oMath>
      <w:r>
        <w:tab/>
        <w:t>(3.7)</w:t>
      </w:r>
    </w:p>
    <w:p w:rsidR="00ED69A7" w:rsidRDefault="00ED69A7" w:rsidP="00ED69A7">
      <w:pPr>
        <w:pStyle w:val="StandardWeb"/>
      </w:pPr>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w:t>
      </w:r>
      <w:proofErr w:type="spellStart"/>
      <w:r>
        <w:t>rknüpft</w:t>
      </w:r>
      <w:proofErr w:type="spellEnd"/>
      <w:r>
        <w:t xml:space="preserve"> zwei Mengen. Diese formale Unterscheidung erscheint zunächst einfach, wird jedoch später wesentlich, wenn verschiedene Ebenen mathematischer Objekte gleichzeitig betrachtet werden.</w:t>
      </w:r>
    </w:p>
    <w:p w:rsidR="00ED69A7" w:rsidRDefault="00ED69A7" w:rsidP="00ED69A7">
      <w:pPr>
        <w:pStyle w:val="StandardWeb"/>
      </w:pPr>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Default="00CC0405" w:rsidP="00CC0405">
      <w:pPr>
        <w:pStyle w:val="Formel"/>
      </w:pPr>
      <m:oMath>
        <m:r>
          <m:t>A⊂B ⟺ A⊆B∧A≠B</m:t>
        </m:r>
      </m:oMath>
      <w:r>
        <w:tab/>
        <w:t>(3.8)</w:t>
      </w:r>
    </w:p>
    <w:p w:rsidR="00ED69A7" w:rsidRDefault="00ED69A7" w:rsidP="00ED69A7">
      <w:pPr>
        <w:pStyle w:val="StandardWeb"/>
      </w:pPr>
      <w:r>
        <w:t xml:space="preserve">Ich verwende </w:t>
      </w:r>
      <w:proofErr w:type="gramStart"/>
      <w:r>
        <w:t>deshalb</w:t>
      </w:r>
      <w:proofErr w:type="gramEnd"/>
      <w:r>
        <w:t xml:space="preserve">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pPr>
        <w:pStyle w:val="StandardWeb"/>
      </w:pPr>
      <w:r>
        <w:t>Zwei Mengen sind gleich, wenn sie genau dieselben Elemente enthalten:</w:t>
      </w:r>
    </w:p>
    <w:p w:rsidR="00ED69A7" w:rsidRDefault="00CC0405" w:rsidP="00CC0405">
      <w:pPr>
        <w:pStyle w:val="Formel"/>
      </w:pPr>
      <m:oMath>
        <m:r>
          <m:t>A=B ⟺ ∀x,</m:t>
        </m:r>
        <m:d>
          <m:dPr>
            <m:ctrlPr/>
          </m:dPr>
          <m:e>
            <m:r>
              <m:t>x∈A⇔x∈B</m:t>
            </m:r>
          </m:e>
        </m:d>
      </m:oMath>
      <w:r>
        <w:tab/>
        <w:t>(3.9)</w:t>
      </w:r>
    </w:p>
    <w:p w:rsidR="00ED69A7" w:rsidRDefault="00ED69A7" w:rsidP="00ED69A7">
      <w:pPr>
        <w:pStyle w:val="StandardWeb"/>
      </w:pPr>
      <w:r>
        <w:t xml:space="preserve">Diese Festlegung wird als </w:t>
      </w:r>
      <w:proofErr w:type="spellStart"/>
      <w:r>
        <w:t>Extensionalitätsprinzip</w:t>
      </w:r>
      <w:proofErr w:type="spellEnd"/>
      <w:r>
        <w:t xml:space="preserve">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w:t>
      </w:r>
      <w:proofErr w:type="spellStart"/>
      <w:r>
        <w:t>Enderton</w:t>
      </w:r>
      <w:proofErr w:type="spellEnd"/>
      <w:r>
        <w:t xml:space="preserve"> [80] und </w:t>
      </w:r>
      <w:proofErr w:type="spellStart"/>
      <w:r>
        <w:t>Jech</w:t>
      </w:r>
      <w:proofErr w:type="spellEnd"/>
      <w:r>
        <w:t xml:space="preserve"> [81] ausführlich entwickelt.</w:t>
      </w:r>
    </w:p>
    <w:p w:rsidR="00ED69A7" w:rsidRDefault="00ED69A7" w:rsidP="00ED69A7">
      <w:pPr>
        <w:pStyle w:val="StandardWeb"/>
      </w:pPr>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pPr>
        <w:pStyle w:val="StandardWeb"/>
      </w:pPr>
      <w:r>
        <w:t xml:space="preserve">Die leere Menge enthält kein Element. Ich bezeichne sie mit </w:t>
      </w:r>
      <m:oMath>
        <m:r>
          <m:rPr>
            <m:sty m:val="p"/>
          </m:rPr>
          <w:rPr>
            <w:rFonts w:ascii="Cambria Math" w:hAnsi="Cambria Math"/>
          </w:rPr>
          <m:t>∅</m:t>
        </m:r>
      </m:oMath>
      <w:r>
        <w:t xml:space="preserve"> und definiere sie durch </w:t>
      </w:r>
    </w:p>
    <w:p w:rsidR="00ED69A7" w:rsidRDefault="00A31CF0" w:rsidP="00A31CF0">
      <w:pPr>
        <w:pStyle w:val="Formel"/>
      </w:pPr>
      <m:oMath>
        <m:r>
          <m:t>∀x;</m:t>
        </m:r>
        <m:d>
          <m:dPr>
            <m:ctrlPr/>
          </m:dPr>
          <m:e>
            <m:r>
              <m:t>x∉∅</m:t>
            </m:r>
          </m:e>
        </m:d>
      </m:oMath>
      <w:r>
        <w:tab/>
        <w:t>(3.10)</w:t>
      </w:r>
    </w:p>
    <w:p w:rsidR="00ED69A7" w:rsidRDefault="00ED69A7" w:rsidP="00ED69A7">
      <w:pPr>
        <w:pStyle w:val="StandardWeb"/>
      </w:pPr>
      <w:r>
        <w:t xml:space="preserve">Bereits in Abschnitt 3.1.1 habe ich die leere Menge vom absoluten Nichts unterschieden. Diese Unterscheidung bleibt hier verbindlich. Die leere Menge ist ein definiertes mathematisches Objekt innerhalb einer bereits vorausgesetzten Sprache und Struktur [6]. Sie </w:t>
      </w:r>
      <w:r>
        <w:lastRenderedPageBreak/>
        <w:t>ist deshalb nicht die Abwesenheit jeder Voraussetzung, sondern eine Menge, für die festgelegt wurde, dass sie kein Element enthält.</w:t>
      </w:r>
    </w:p>
    <w:p w:rsidR="00ED69A7" w:rsidRDefault="00ED69A7" w:rsidP="00ED69A7">
      <w:pPr>
        <w:pStyle w:val="StandardWeb"/>
      </w:pPr>
      <w:r>
        <w:t>Die leere Menge ist Teilmenge jeder Menge:</w:t>
      </w:r>
    </w:p>
    <w:p w:rsidR="00ED69A7" w:rsidRDefault="00A31CF0" w:rsidP="00A31CF0">
      <w:pPr>
        <w:pStyle w:val="Formel"/>
      </w:pPr>
      <m:oMath>
        <m:r>
          <m:t>∀A;</m:t>
        </m:r>
        <m:d>
          <m:dPr>
            <m:ctrlPr/>
          </m:dPr>
          <m:e>
            <m:r>
              <m:t>∅⊆A</m:t>
            </m:r>
          </m:e>
        </m:d>
      </m:oMath>
      <w:r>
        <w:tab/>
        <w:t>(3.11)</w:t>
      </w:r>
    </w:p>
    <w:p w:rsidR="00ED69A7" w:rsidRDefault="00ED69A7" w:rsidP="00ED69A7">
      <w:pPr>
        <w:pStyle w:val="StandardWeb"/>
      </w:pPr>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pPr>
        <w:pStyle w:val="StandardWeb"/>
      </w:pPr>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ED69A7" w:rsidRDefault="00A31CF0" w:rsidP="00A31CF0">
      <w:pPr>
        <w:pStyle w:val="Formel"/>
      </w:pPr>
      <m:oMath>
        <m:r>
          <m:t>A∪B={x∣x∈A∨x∈B}</m:t>
        </m:r>
      </m:oMath>
      <w:r>
        <w:tab/>
        <w:t>(3.12)</w:t>
      </w:r>
    </w:p>
    <w:p w:rsidR="00ED69A7" w:rsidRDefault="00ED69A7" w:rsidP="00ED69A7">
      <w:pPr>
        <w:pStyle w:val="StandardWeb"/>
      </w:pPr>
      <w:r>
        <w:t>Die Schnittmenge enthält alle Elemente, die beiden Mengen gleichzeitig angehören:</w:t>
      </w:r>
    </w:p>
    <w:p w:rsidR="00ED69A7" w:rsidRDefault="00A31CF0" w:rsidP="00A31CF0">
      <w:pPr>
        <w:pStyle w:val="Formel"/>
      </w:pPr>
      <m:oMath>
        <m:r>
          <m:t>A∩B={x∣x∈A∧x∈B}</m:t>
        </m:r>
      </m:oMath>
      <w:r>
        <w:tab/>
        <w:t>(3.13)</w:t>
      </w:r>
    </w:p>
    <w:p w:rsidR="00ED69A7" w:rsidRDefault="00ED69A7" w:rsidP="00ED69A7">
      <w:pPr>
        <w:pStyle w:val="StandardWeb"/>
      </w:pPr>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Default="00A31CF0" w:rsidP="00A31CF0">
      <w:pPr>
        <w:pStyle w:val="Formel"/>
      </w:pPr>
      <m:oMath>
        <m:r>
          <m:t>A∖B={x∣x∈A∧x∉B}</m:t>
        </m:r>
      </m:oMath>
      <w:r>
        <w:tab/>
        <w:t>(3.14)</w:t>
      </w:r>
    </w:p>
    <w:p w:rsidR="00ED69A7" w:rsidRDefault="00ED69A7" w:rsidP="00ED69A7">
      <w:pPr>
        <w:pStyle w:val="StandardWeb"/>
      </w:pPr>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pPr>
        <w:pStyle w:val="StandardWeb"/>
      </w:pPr>
      <w:r>
        <w:t>Zwei Mengen heißen disjunkt, wenn sie kein gemeinsames Element besitzen:</w:t>
      </w:r>
    </w:p>
    <w:p w:rsidR="00ED69A7" w:rsidRDefault="00A02828" w:rsidP="00961B89">
      <w:pPr>
        <w:pStyle w:val="Formel"/>
      </w:pPr>
      <m:oMath>
        <m:r>
          <m:t>A∩B=∅</m:t>
        </m:r>
      </m:oMath>
      <w:r w:rsidR="00961B89">
        <w:tab/>
        <w:t>(3.15)</w:t>
      </w:r>
    </w:p>
    <w:p w:rsidR="00ED69A7" w:rsidRDefault="00ED69A7" w:rsidP="00ED69A7">
      <w:pPr>
        <w:pStyle w:val="StandardWeb"/>
      </w:pPr>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w:t>
      </w:r>
      <w:proofErr w:type="spellStart"/>
      <w:r>
        <w:t>it</w:t>
      </w:r>
      <w:proofErr w:type="spellEnd"/>
      <w:r>
        <w:t xml:space="preserve"> und Beziehung nicht gleichgesetzt werden dürfen.</w:t>
      </w:r>
    </w:p>
    <w:p w:rsidR="00ED69A7" w:rsidRDefault="00ED69A7" w:rsidP="00ED69A7">
      <w:pPr>
        <w:pStyle w:val="berschrift4"/>
      </w:pPr>
      <w:r>
        <w:t>Potenzmenge</w:t>
      </w:r>
    </w:p>
    <w:p w:rsidR="00ED69A7" w:rsidRDefault="00ED69A7" w:rsidP="00ED69A7">
      <w:pPr>
        <w:pStyle w:val="StandardWeb"/>
      </w:pPr>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Default="00961B89" w:rsidP="00961B89">
      <w:pPr>
        <w:pStyle w:val="Formel"/>
      </w:pPr>
      <m:oMath>
        <m:r>
          <m:rPr>
            <m:scr m:val="script"/>
          </m:rPr>
          <w:lastRenderedPageBreak/>
          <m:t>P</m:t>
        </m:r>
        <m:d>
          <m:dPr>
            <m:ctrlPr/>
          </m:dPr>
          <m:e>
            <m:r>
              <m:t>A</m:t>
            </m:r>
          </m:e>
        </m:d>
        <m:r>
          <m:t>=B∣B⊆A</m:t>
        </m:r>
      </m:oMath>
      <w:r>
        <w:tab/>
        <w:t>(3.16)</w:t>
      </w:r>
    </w:p>
    <w:p w:rsidR="00961B89" w:rsidRDefault="00ED69A7" w:rsidP="00961B89">
      <w:pPr>
        <w:pStyle w:val="StandardWeb"/>
      </w:pPr>
      <w:r>
        <w:t xml:space="preserve">Für </w:t>
      </w:r>
      <m:oMath>
        <m:r>
          <w:rPr>
            <w:rFonts w:ascii="Cambria Math" w:hAnsi="Cambria Math"/>
          </w:rPr>
          <m:t>A=a,b</m:t>
        </m:r>
      </m:oMath>
      <w:r>
        <w:t xml:space="preserve"> ergibt sich beispielsweise </w:t>
      </w:r>
    </w:p>
    <w:p w:rsidR="00ED69A7" w:rsidRDefault="00961B89" w:rsidP="00641045">
      <w:pPr>
        <w:pStyle w:val="Formel"/>
      </w:pPr>
      <m:oMath>
        <m:r>
          <m:rPr>
            <m:scr m:val="script"/>
          </m:rPr>
          <m:t>P</m:t>
        </m:r>
        <m:d>
          <m:dPr>
            <m:ctrlPr/>
          </m:dPr>
          <m:e>
            <m:r>
              <m:t>A</m:t>
            </m:r>
          </m:e>
        </m:d>
        <m:r>
          <m:t>=∅,a,b,a,b</m:t>
        </m:r>
      </m:oMath>
      <w:r w:rsidR="00641045">
        <w:tab/>
        <w:t>(3.1</w:t>
      </w:r>
      <w:r w:rsidR="00641045">
        <w:t>7</w:t>
      </w:r>
      <w:r w:rsidR="00641045">
        <w:t>)</w:t>
      </w:r>
    </w:p>
    <w:p w:rsidR="00ED69A7" w:rsidRDefault="00ED69A7" w:rsidP="00ED69A7">
      <w:pPr>
        <w:pStyle w:val="StandardWeb"/>
      </w:pPr>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Default="00641045" w:rsidP="00641045">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tab/>
        <w:t>(3.1</w:t>
      </w:r>
      <w:r>
        <w:t>8</w:t>
      </w:r>
      <w:r>
        <w:t>)</w:t>
      </w:r>
    </w:p>
    <w:p w:rsidR="00ED69A7" w:rsidRDefault="00ED69A7" w:rsidP="00ED69A7">
      <w:pPr>
        <w:pStyle w:val="StandardWeb"/>
      </w:pPr>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pPr>
        <w:pStyle w:val="StandardWeb"/>
      </w:pPr>
      <w:r>
        <w:t>Eine Menge allein enthält keine Reihenfolge ihrer Elemente. Für die Beschreibung gerichteter Beziehungen benötige ich daher geordnete Paare. Bei einem geordneten Paar ist die Stellung der Komponenten wesentlich. Im Allgemeinen gilt</w:t>
      </w:r>
    </w:p>
    <w:p w:rsidR="00ED69A7" w:rsidRDefault="00641045" w:rsidP="00641045">
      <w:pPr>
        <w:pStyle w:val="Formel"/>
      </w:pPr>
      <m:oMath>
        <m:d>
          <m:dPr>
            <m:ctrlPr/>
          </m:dPr>
          <m:e>
            <m:r>
              <m:t>a,b</m:t>
            </m:r>
          </m:e>
        </m:d>
        <m:r>
          <m:t>≠</m:t>
        </m:r>
        <m:d>
          <m:dPr>
            <m:ctrlPr/>
          </m:dPr>
          <m:e>
            <m:r>
              <m:t>b,a</m:t>
            </m:r>
          </m:e>
        </m:d>
      </m:oMath>
      <w:r>
        <w:tab/>
        <w:t>(3.1</w:t>
      </w:r>
      <w:r>
        <w:t>9</w:t>
      </w:r>
      <w:r>
        <w:t>)</w:t>
      </w:r>
    </w:p>
    <w:p w:rsidR="00ED69A7" w:rsidRDefault="00ED69A7" w:rsidP="00ED69A7">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Default="0081039C" w:rsidP="0081039C">
      <w:pPr>
        <w:pStyle w:val="Formel"/>
      </w:pPr>
      <m:oMath>
        <m:r>
          <m:t>A×B=</m:t>
        </m:r>
        <m:d>
          <m:dPr>
            <m:ctrlPr/>
          </m:dPr>
          <m:e>
            <m:r>
              <m:t>a,b</m:t>
            </m:r>
          </m:e>
        </m:d>
        <m:r>
          <m:t>∣a∈A∧b∈B</m:t>
        </m:r>
      </m:oMath>
      <w:r>
        <w:tab/>
        <w:t>(3.</w:t>
      </w:r>
      <w:r>
        <w:t>20</w:t>
      </w:r>
      <w:r>
        <w:t>)</w:t>
      </w:r>
    </w:p>
    <w:p w:rsidR="0081039C" w:rsidRDefault="00ED69A7" w:rsidP="0081039C">
      <w:pPr>
        <w:pStyle w:val="StandardWeb"/>
      </w:pPr>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Default="0081039C" w:rsidP="0081039C">
      <w:pPr>
        <w:pStyle w:val="Formel"/>
      </w:pPr>
      <m:oMath>
        <m:d>
          <m:dPr>
            <m:begChr m:val="|"/>
            <m:endChr m:val="|"/>
            <m:ctrlPr/>
          </m:dPr>
          <m:e>
            <m:r>
              <m:t>A×B</m:t>
            </m:r>
          </m:e>
        </m:d>
        <m:r>
          <m:t>=</m:t>
        </m:r>
        <m:d>
          <m:dPr>
            <m:begChr m:val="|"/>
            <m:endChr m:val="|"/>
            <m:ctrlPr/>
          </m:dPr>
          <m:e>
            <m:r>
              <m:t>A</m:t>
            </m:r>
          </m:e>
        </m:d>
        <m:r>
          <m:t>⋅</m:t>
        </m:r>
        <m:d>
          <m:dPr>
            <m:begChr m:val="|"/>
            <m:endChr m:val="|"/>
            <m:ctrlPr/>
          </m:dPr>
          <m:e>
            <m:r>
              <m:t>B</m:t>
            </m:r>
          </m:e>
        </m:d>
      </m:oMath>
      <w:r>
        <w:tab/>
        <w:t>(3.2</w:t>
      </w:r>
      <w:r>
        <w:t>1</w:t>
      </w:r>
      <w:r>
        <w:t>)</w:t>
      </w:r>
    </w:p>
    <w:p w:rsidR="00ED69A7" w:rsidRDefault="00ED69A7" w:rsidP="00ED69A7">
      <w:pPr>
        <w:pStyle w:val="StandardWeb"/>
      </w:pPr>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ED69A7">
      <w:pPr>
        <w:pStyle w:val="berschrift4"/>
      </w:pPr>
      <w:r>
        <w:t>Definition 3.2.2: Binäre Relation</w:t>
      </w:r>
    </w:p>
    <w:p w:rsidR="00ED69A7" w:rsidRDefault="00ED69A7" w:rsidP="00ED69A7">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Default="0081039C" w:rsidP="0081039C">
      <w:pPr>
        <w:pStyle w:val="Formel"/>
      </w:pPr>
      <m:oMath>
        <m:r>
          <m:t>R⊆A×B</m:t>
        </m:r>
      </m:oMath>
      <w:r>
        <w:tab/>
        <w:t>(3.2</w:t>
      </w:r>
      <w:r>
        <w:t>2</w:t>
      </w:r>
      <w:r>
        <w:t>)</w:t>
      </w:r>
    </w:p>
    <w:p w:rsidR="00ED69A7" w:rsidRDefault="00ED69A7" w:rsidP="00ED69A7">
      <w:pPr>
        <w:pStyle w:val="StandardWeb"/>
      </w:pPr>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Default="0081039C" w:rsidP="0081039C">
      <w:pPr>
        <w:pStyle w:val="Formel"/>
      </w:pPr>
      <m:oMath>
        <m:r>
          <w:lastRenderedPageBreak/>
          <m:t>a,R,b</m:t>
        </m:r>
      </m:oMath>
      <w:r>
        <w:tab/>
        <w:t>(3.2</w:t>
      </w:r>
      <w:r>
        <w:t>3</w:t>
      </w:r>
      <w:r>
        <w:t>)</w:t>
      </w:r>
    </w:p>
    <w:p w:rsidR="00ED69A7" w:rsidRDefault="00ED69A7" w:rsidP="00ED69A7">
      <w:pPr>
        <w:pStyle w:val="StandardWeb"/>
      </w:pPr>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pPr>
        <w:pStyle w:val="StandardWeb"/>
      </w:pPr>
      <w:r>
        <w:t xml:space="preserve">Die formale Untersuchung von Relationen ist bereits in den logischen und mathematischen Arbeiten von Gottlob Frege [62] und Alfred </w:t>
      </w:r>
      <w:proofErr w:type="spellStart"/>
      <w:r>
        <w:t>Tarski</w:t>
      </w:r>
      <w:proofErr w:type="spellEnd"/>
      <w:r>
        <w:t xml:space="preserve">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pPr>
        <w:pStyle w:val="StandardWeb"/>
      </w:pPr>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pPr>
        <w:pStyle w:val="StandardWeb"/>
      </w:pPr>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pPr>
        <w:pStyle w:val="StandardWeb"/>
      </w:pPr>
      <w:r>
        <w:t>Diese Schritte sind formal, aber nicht voraussetzungslos. Ich muss in jedem Modell entscheiden,</w:t>
      </w:r>
    </w:p>
    <w:p w:rsidR="00ED69A7" w:rsidRDefault="00ED69A7" w:rsidP="00FB57E7">
      <w:pPr>
        <w:pStyle w:val="Aufzhlung"/>
      </w:pPr>
      <w:bookmarkStart w:id="0" w:name="_GoBack"/>
      <w:r>
        <w:t>welche Objekte als voneinander unterscheidbar gelten,</w:t>
      </w:r>
    </w:p>
    <w:p w:rsidR="00ED69A7" w:rsidRDefault="00ED69A7" w:rsidP="00FB57E7">
      <w:pPr>
        <w:pStyle w:val="Aufzhlung"/>
      </w:pPr>
      <w:r>
        <w:t>welche Grundmenge zugelassen wird,</w:t>
      </w:r>
    </w:p>
    <w:p w:rsidR="00ED69A7" w:rsidRDefault="00ED69A7" w:rsidP="00FB57E7">
      <w:pPr>
        <w:pStyle w:val="Aufzhlung"/>
      </w:pPr>
      <w:r>
        <w:t>nach welchen Bedingungen Teilmengen gebildet werden,</w:t>
      </w:r>
    </w:p>
    <w:p w:rsidR="00ED69A7" w:rsidRDefault="00ED69A7" w:rsidP="00FB57E7">
      <w:pPr>
        <w:pStyle w:val="Aufzhlung"/>
      </w:pPr>
      <w:r>
        <w:t>welche Paarungen als Beziehungen gelten,</w:t>
      </w:r>
    </w:p>
    <w:p w:rsidR="00ED69A7" w:rsidRDefault="00ED69A7" w:rsidP="00FB57E7">
      <w:pPr>
        <w:pStyle w:val="Aufzhlung"/>
      </w:pPr>
      <w:r>
        <w:t>und welche inhaltliche Interpretation diese Beziehungen erhalten.</w:t>
      </w:r>
    </w:p>
    <w:bookmarkEnd w:id="0"/>
    <w:p w:rsidR="00ED69A7" w:rsidRDefault="00ED69A7" w:rsidP="00ED69A7">
      <w:pPr>
        <w:pStyle w:val="StandardWeb"/>
      </w:pPr>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pPr>
        <w:pStyle w:val="StandardWeb"/>
      </w:pPr>
      <w:r>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pPr>
        <w:pStyle w:val="StandardWeb"/>
      </w:pPr>
      <w:r>
        <w:lastRenderedPageBreak/>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9E3E3E" w:rsidRPr="003A5F78" w:rsidRDefault="009E3E3E" w:rsidP="00ED69A7">
      <w:pPr>
        <w:pStyle w:val="berschrift3"/>
      </w:pPr>
    </w:p>
    <w:sectPr w:rsidR="009E3E3E" w:rsidRPr="003A5F78">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F031BD9"/>
    <w:multiLevelType w:val="hybridMultilevel"/>
    <w:tmpl w:val="193087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435A89"/>
    <w:multiLevelType w:val="multilevel"/>
    <w:tmpl w:val="F23E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D65E02"/>
    <w:multiLevelType w:val="multilevel"/>
    <w:tmpl w:val="994E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BC04D8"/>
    <w:multiLevelType w:val="multilevel"/>
    <w:tmpl w:val="E7F8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B51123"/>
    <w:multiLevelType w:val="multilevel"/>
    <w:tmpl w:val="1F90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555871"/>
    <w:multiLevelType w:val="multilevel"/>
    <w:tmpl w:val="4B0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D57F56"/>
    <w:multiLevelType w:val="multilevel"/>
    <w:tmpl w:val="952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7ED3418B"/>
    <w:multiLevelType w:val="multilevel"/>
    <w:tmpl w:val="5C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11"/>
  </w:num>
  <w:num w:numId="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8"/>
  </w:num>
  <w:num w:numId="8">
    <w:abstractNumId w:val="6"/>
  </w:num>
  <w:num w:numId="9">
    <w:abstractNumId w:val="9"/>
  </w:num>
  <w:num w:numId="10">
    <w:abstractNumId w:val="5"/>
  </w:num>
  <w:num w:numId="11">
    <w:abstractNumId w:val="10"/>
  </w:num>
  <w:num w:numId="12">
    <w:abstractNumId w:val="12"/>
  </w:num>
  <w:num w:numId="13">
    <w:abstractNumId w:val="2"/>
  </w:num>
  <w:num w:numId="14">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6156C"/>
    <w:rsid w:val="00082214"/>
    <w:rsid w:val="000B0C44"/>
    <w:rsid w:val="000C2FC6"/>
    <w:rsid w:val="000D70EA"/>
    <w:rsid w:val="00103784"/>
    <w:rsid w:val="00106528"/>
    <w:rsid w:val="00153E4B"/>
    <w:rsid w:val="001830F2"/>
    <w:rsid w:val="0019229D"/>
    <w:rsid w:val="001F2130"/>
    <w:rsid w:val="0026649E"/>
    <w:rsid w:val="0028078C"/>
    <w:rsid w:val="002B03D4"/>
    <w:rsid w:val="002D20FA"/>
    <w:rsid w:val="002D4202"/>
    <w:rsid w:val="00324306"/>
    <w:rsid w:val="00341905"/>
    <w:rsid w:val="003A0B73"/>
    <w:rsid w:val="003A5F78"/>
    <w:rsid w:val="00433BF7"/>
    <w:rsid w:val="00433ECB"/>
    <w:rsid w:val="00436FC4"/>
    <w:rsid w:val="0044266C"/>
    <w:rsid w:val="00446557"/>
    <w:rsid w:val="00461C7A"/>
    <w:rsid w:val="00483AB8"/>
    <w:rsid w:val="00500020"/>
    <w:rsid w:val="00521BE5"/>
    <w:rsid w:val="005454E6"/>
    <w:rsid w:val="00560B17"/>
    <w:rsid w:val="005B092C"/>
    <w:rsid w:val="005B5EFD"/>
    <w:rsid w:val="005E4CED"/>
    <w:rsid w:val="006016DC"/>
    <w:rsid w:val="00641045"/>
    <w:rsid w:val="00687548"/>
    <w:rsid w:val="006A00BA"/>
    <w:rsid w:val="006B3395"/>
    <w:rsid w:val="006F6768"/>
    <w:rsid w:val="00706409"/>
    <w:rsid w:val="00706FB7"/>
    <w:rsid w:val="007115B7"/>
    <w:rsid w:val="00736DF0"/>
    <w:rsid w:val="00752BAA"/>
    <w:rsid w:val="00795695"/>
    <w:rsid w:val="007A22F6"/>
    <w:rsid w:val="007A3369"/>
    <w:rsid w:val="007B4DC2"/>
    <w:rsid w:val="007B7DE7"/>
    <w:rsid w:val="007E333F"/>
    <w:rsid w:val="007E47AB"/>
    <w:rsid w:val="0081039C"/>
    <w:rsid w:val="008871CF"/>
    <w:rsid w:val="008B0C43"/>
    <w:rsid w:val="008C4935"/>
    <w:rsid w:val="008D1B14"/>
    <w:rsid w:val="009032D7"/>
    <w:rsid w:val="0094347E"/>
    <w:rsid w:val="00961B89"/>
    <w:rsid w:val="00983B79"/>
    <w:rsid w:val="00997246"/>
    <w:rsid w:val="009A1D8D"/>
    <w:rsid w:val="009A595B"/>
    <w:rsid w:val="009B51AC"/>
    <w:rsid w:val="009D04D3"/>
    <w:rsid w:val="009E3E3E"/>
    <w:rsid w:val="00A02828"/>
    <w:rsid w:val="00A307C9"/>
    <w:rsid w:val="00A31CF0"/>
    <w:rsid w:val="00A745AE"/>
    <w:rsid w:val="00A756D8"/>
    <w:rsid w:val="00AA1976"/>
    <w:rsid w:val="00AA4222"/>
    <w:rsid w:val="00AC1440"/>
    <w:rsid w:val="00AE408D"/>
    <w:rsid w:val="00AF6392"/>
    <w:rsid w:val="00B04313"/>
    <w:rsid w:val="00B07AF9"/>
    <w:rsid w:val="00B53EE0"/>
    <w:rsid w:val="00B555C2"/>
    <w:rsid w:val="00B873C2"/>
    <w:rsid w:val="00BA5790"/>
    <w:rsid w:val="00BA664A"/>
    <w:rsid w:val="00BB30C9"/>
    <w:rsid w:val="00C2343F"/>
    <w:rsid w:val="00C6537C"/>
    <w:rsid w:val="00CC0405"/>
    <w:rsid w:val="00CD2089"/>
    <w:rsid w:val="00CE253A"/>
    <w:rsid w:val="00CF1387"/>
    <w:rsid w:val="00CF5192"/>
    <w:rsid w:val="00D313FE"/>
    <w:rsid w:val="00D33BDA"/>
    <w:rsid w:val="00D44FE7"/>
    <w:rsid w:val="00D542C6"/>
    <w:rsid w:val="00D67542"/>
    <w:rsid w:val="00D80CC8"/>
    <w:rsid w:val="00DC2E78"/>
    <w:rsid w:val="00E6450A"/>
    <w:rsid w:val="00EA1CC2"/>
    <w:rsid w:val="00EB1163"/>
    <w:rsid w:val="00EC35D8"/>
    <w:rsid w:val="00ED69A7"/>
    <w:rsid w:val="00EE1062"/>
    <w:rsid w:val="00EE2879"/>
    <w:rsid w:val="00F32EA6"/>
    <w:rsid w:val="00F40666"/>
    <w:rsid w:val="00F46CF6"/>
    <w:rsid w:val="00F63881"/>
    <w:rsid w:val="00F74A0F"/>
    <w:rsid w:val="00FB57E7"/>
    <w:rsid w:val="00FB58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7C44A"/>
  <w15:chartTrackingRefBased/>
  <w15:docId w15:val="{3ACB7B73-2C84-444E-B36F-9C979268C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641045"/>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641045"/>
    <w:pPr>
      <w:outlineLvl w:val="0"/>
    </w:pPr>
    <w:rPr>
      <w:b/>
      <w:sz w:val="40"/>
      <w:szCs w:val="40"/>
    </w:rPr>
  </w:style>
  <w:style w:type="paragraph" w:styleId="berschrift2">
    <w:name w:val="heading 2"/>
    <w:basedOn w:val="Standard"/>
    <w:next w:val="Standard"/>
    <w:link w:val="berschrift2Zchn"/>
    <w:uiPriority w:val="9"/>
    <w:unhideWhenUsed/>
    <w:qFormat/>
    <w:rsid w:val="00641045"/>
    <w:pPr>
      <w:outlineLvl w:val="1"/>
    </w:pPr>
    <w:rPr>
      <w:b/>
      <w:sz w:val="36"/>
      <w:szCs w:val="36"/>
    </w:rPr>
  </w:style>
  <w:style w:type="paragraph" w:styleId="berschrift3">
    <w:name w:val="heading 3"/>
    <w:basedOn w:val="Standard"/>
    <w:next w:val="Standard"/>
    <w:link w:val="berschrift3Zchn"/>
    <w:uiPriority w:val="9"/>
    <w:unhideWhenUsed/>
    <w:qFormat/>
    <w:rsid w:val="00641045"/>
    <w:pPr>
      <w:outlineLvl w:val="2"/>
    </w:pPr>
    <w:rPr>
      <w:b/>
      <w:sz w:val="32"/>
      <w:szCs w:val="32"/>
    </w:rPr>
  </w:style>
  <w:style w:type="paragraph" w:styleId="berschrift4">
    <w:name w:val="heading 4"/>
    <w:basedOn w:val="Standard"/>
    <w:next w:val="Standard"/>
    <w:link w:val="berschrift4Zchn"/>
    <w:uiPriority w:val="9"/>
    <w:unhideWhenUsed/>
    <w:qFormat/>
    <w:rsid w:val="00641045"/>
    <w:pPr>
      <w:outlineLvl w:val="3"/>
    </w:pPr>
    <w:rPr>
      <w:b/>
      <w:sz w:val="28"/>
      <w:szCs w:val="28"/>
    </w:rPr>
  </w:style>
  <w:style w:type="paragraph" w:styleId="berschrift5">
    <w:name w:val="heading 5"/>
    <w:basedOn w:val="Standard"/>
    <w:next w:val="Standard"/>
    <w:link w:val="berschrift5Zchn"/>
    <w:uiPriority w:val="9"/>
    <w:semiHidden/>
    <w:unhideWhenUsed/>
    <w:qFormat/>
    <w:rsid w:val="006410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641045"/>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6410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641045"/>
  </w:style>
  <w:style w:type="character" w:customStyle="1" w:styleId="berschrift1Zchn">
    <w:name w:val="Überschrift 1 Zchn"/>
    <w:link w:val="berschrift1"/>
    <w:uiPriority w:val="9"/>
    <w:rsid w:val="00641045"/>
    <w:rPr>
      <w:rFonts w:eastAsia="Times New Roman" w:cs="Calibri"/>
      <w:b/>
      <w:bCs/>
      <w:sz w:val="40"/>
      <w:szCs w:val="40"/>
    </w:rPr>
  </w:style>
  <w:style w:type="character" w:customStyle="1" w:styleId="berschrift2Zchn">
    <w:name w:val="Überschrift 2 Zchn"/>
    <w:link w:val="berschrift2"/>
    <w:uiPriority w:val="9"/>
    <w:rsid w:val="00641045"/>
    <w:rPr>
      <w:rFonts w:eastAsia="Times New Roman" w:cs="Calibri"/>
      <w:b/>
      <w:bCs/>
      <w:sz w:val="36"/>
      <w:szCs w:val="36"/>
    </w:rPr>
  </w:style>
  <w:style w:type="character" w:customStyle="1" w:styleId="berschrift3Zchn">
    <w:name w:val="Überschrift 3 Zchn"/>
    <w:link w:val="berschrift3"/>
    <w:uiPriority w:val="9"/>
    <w:rsid w:val="00641045"/>
    <w:rPr>
      <w:rFonts w:eastAsia="Times New Roman" w:cs="Calibri"/>
      <w:b/>
      <w:bCs/>
      <w:sz w:val="32"/>
      <w:szCs w:val="32"/>
    </w:rPr>
  </w:style>
  <w:style w:type="character" w:customStyle="1" w:styleId="berschrift4Zchn">
    <w:name w:val="Überschrift 4 Zchn"/>
    <w:link w:val="berschrift4"/>
    <w:uiPriority w:val="9"/>
    <w:rsid w:val="00641045"/>
    <w:rPr>
      <w:rFonts w:eastAsia="Times New Roman" w:cs="Calibri"/>
      <w:b/>
      <w:bCs/>
      <w:sz w:val="28"/>
      <w:szCs w:val="28"/>
    </w:rPr>
  </w:style>
  <w:style w:type="character" w:customStyle="1" w:styleId="berschrift5Zchn">
    <w:name w:val="Überschrift 5 Zchn"/>
    <w:link w:val="berschrift5"/>
    <w:uiPriority w:val="9"/>
    <w:semiHidden/>
    <w:rsid w:val="00641045"/>
    <w:rPr>
      <w:rFonts w:cs="Calibri"/>
      <w:b/>
      <w:bCs/>
      <w:sz w:val="22"/>
      <w:szCs w:val="24"/>
    </w:rPr>
  </w:style>
  <w:style w:type="character" w:customStyle="1" w:styleId="berschrift6Zchn">
    <w:name w:val="Überschrift 6 Zchn"/>
    <w:link w:val="berschrift6"/>
    <w:uiPriority w:val="9"/>
    <w:semiHidden/>
    <w:rsid w:val="00641045"/>
    <w:rPr>
      <w:rFonts w:cs="Calibri"/>
      <w:b/>
      <w:bCs/>
    </w:rPr>
  </w:style>
  <w:style w:type="paragraph" w:customStyle="1" w:styleId="Code">
    <w:name w:val="Code"/>
    <w:basedOn w:val="Standard"/>
    <w:link w:val="CodeZchn"/>
    <w:qFormat/>
    <w:rsid w:val="00641045"/>
    <w:rPr>
      <w:rFonts w:ascii="Courier New" w:hAnsi="Courier New"/>
    </w:rPr>
  </w:style>
  <w:style w:type="character" w:customStyle="1" w:styleId="CodeZchn">
    <w:name w:val="Code Zchn"/>
    <w:link w:val="Code"/>
    <w:rsid w:val="00641045"/>
    <w:rPr>
      <w:rFonts w:ascii="Courier New" w:eastAsia="Times New Roman" w:hAnsi="Courier New" w:cs="Calibri"/>
      <w:bCs/>
      <w:sz w:val="24"/>
      <w:szCs w:val="24"/>
    </w:rPr>
  </w:style>
  <w:style w:type="character" w:styleId="IntensiveHervorhebung">
    <w:name w:val="Intense Emphasis"/>
    <w:uiPriority w:val="21"/>
    <w:rsid w:val="00641045"/>
    <w:rPr>
      <w:i/>
      <w:iCs/>
      <w:color w:val="4472C4"/>
    </w:rPr>
  </w:style>
  <w:style w:type="table" w:customStyle="1" w:styleId="TableNormal">
    <w:name w:val="TableNormal"/>
    <w:rsid w:val="00641045"/>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641045"/>
    <w:pPr>
      <w:keepNext/>
      <w:keepLines/>
      <w:spacing w:before="480" w:line="259" w:lineRule="auto"/>
    </w:pPr>
    <w:rPr>
      <w:rFonts w:eastAsia="Calibri"/>
      <w:b/>
      <w:sz w:val="44"/>
      <w:szCs w:val="72"/>
    </w:rPr>
  </w:style>
  <w:style w:type="character" w:customStyle="1" w:styleId="TitelZchn">
    <w:name w:val="Titel Zchn"/>
    <w:link w:val="Titel"/>
    <w:uiPriority w:val="10"/>
    <w:rsid w:val="00641045"/>
    <w:rPr>
      <w:rFonts w:cs="Calibri"/>
      <w:b/>
      <w:bCs/>
      <w:sz w:val="44"/>
      <w:szCs w:val="72"/>
    </w:rPr>
  </w:style>
  <w:style w:type="paragraph" w:styleId="Untertitel">
    <w:name w:val="Subtitle"/>
    <w:basedOn w:val="Standard"/>
    <w:next w:val="Standard"/>
    <w:link w:val="UntertitelZchn"/>
    <w:uiPriority w:val="11"/>
    <w:qFormat/>
    <w:rsid w:val="006410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641045"/>
    <w:rPr>
      <w:rFonts w:ascii="Georgia" w:eastAsia="Georgia" w:hAnsi="Georgia" w:cs="Georgia"/>
      <w:bCs/>
      <w:i/>
      <w:color w:val="666666"/>
      <w:sz w:val="48"/>
      <w:szCs w:val="48"/>
    </w:rPr>
  </w:style>
  <w:style w:type="paragraph" w:customStyle="1" w:styleId="Aufzhlung">
    <w:name w:val="Aufzählung"/>
    <w:basedOn w:val="Standard"/>
    <w:link w:val="AufzhlungZchn"/>
    <w:qFormat/>
    <w:rsid w:val="00641045"/>
    <w:pPr>
      <w:numPr>
        <w:numId w:val="1"/>
      </w:numPr>
      <w:ind w:left="714" w:hanging="357"/>
    </w:pPr>
    <w:rPr>
      <w:rFonts w:eastAsia="Calibri"/>
    </w:rPr>
  </w:style>
  <w:style w:type="character" w:customStyle="1" w:styleId="AufzhlungZchn">
    <w:name w:val="Aufzählung Zchn"/>
    <w:link w:val="Aufzhlung"/>
    <w:rsid w:val="00641045"/>
    <w:rPr>
      <w:rFonts w:cs="Calibri"/>
      <w:bCs/>
      <w:sz w:val="24"/>
      <w:szCs w:val="24"/>
    </w:rPr>
  </w:style>
  <w:style w:type="paragraph" w:styleId="Zitat">
    <w:name w:val="Quote"/>
    <w:basedOn w:val="Standard"/>
    <w:next w:val="Standard"/>
    <w:link w:val="ZitatZchn"/>
    <w:autoRedefine/>
    <w:uiPriority w:val="29"/>
    <w:qFormat/>
    <w:rsid w:val="00641045"/>
    <w:pPr>
      <w:tabs>
        <w:tab w:val="left" w:pos="1134"/>
      </w:tabs>
      <w:spacing w:before="240" w:after="240"/>
      <w:ind w:left="1134" w:right="1134"/>
    </w:pPr>
    <w:rPr>
      <w:i/>
      <w:iCs/>
      <w:color w:val="404040"/>
    </w:rPr>
  </w:style>
  <w:style w:type="character" w:customStyle="1" w:styleId="ZitatZchn">
    <w:name w:val="Zitat Zchn"/>
    <w:link w:val="Zitat"/>
    <w:uiPriority w:val="29"/>
    <w:rsid w:val="00641045"/>
    <w:rPr>
      <w:rFonts w:eastAsia="Times New Roman" w:cs="Calibri"/>
      <w:bCs/>
      <w:i/>
      <w:iCs/>
      <w:color w:val="404040"/>
      <w:sz w:val="24"/>
      <w:szCs w:val="24"/>
    </w:rPr>
  </w:style>
  <w:style w:type="paragraph" w:customStyle="1" w:styleId="Abbildungsname">
    <w:name w:val="Abbildungsname"/>
    <w:basedOn w:val="Standard"/>
    <w:link w:val="AbbildungsnameZchn"/>
    <w:qFormat/>
    <w:rsid w:val="00641045"/>
    <w:pPr>
      <w:spacing w:after="240" w:line="259" w:lineRule="auto"/>
      <w:jc w:val="center"/>
    </w:pPr>
    <w:rPr>
      <w:i/>
      <w:sz w:val="22"/>
    </w:rPr>
  </w:style>
  <w:style w:type="character" w:customStyle="1" w:styleId="AbbildungsnameZchn">
    <w:name w:val="Abbildungsname Zchn"/>
    <w:link w:val="Abbildungsname"/>
    <w:rsid w:val="00641045"/>
    <w:rPr>
      <w:rFonts w:eastAsia="Times New Roman" w:cs="Calibri"/>
      <w:bCs/>
      <w:i/>
      <w:sz w:val="22"/>
      <w:szCs w:val="24"/>
    </w:rPr>
  </w:style>
  <w:style w:type="paragraph" w:customStyle="1" w:styleId="Tabelleninhalt">
    <w:name w:val="Tabelleninhalt"/>
    <w:basedOn w:val="Standard"/>
    <w:link w:val="TabelleninhaltZchn"/>
    <w:qFormat/>
    <w:rsid w:val="00641045"/>
    <w:pPr>
      <w:spacing w:after="0" w:line="360" w:lineRule="auto"/>
    </w:pPr>
  </w:style>
  <w:style w:type="character" w:customStyle="1" w:styleId="TabelleninhaltZchn">
    <w:name w:val="Tabelleninhalt Zchn"/>
    <w:link w:val="Tabelleninhalt"/>
    <w:rsid w:val="00641045"/>
    <w:rPr>
      <w:rFonts w:eastAsia="Times New Roman" w:cs="Calibri"/>
      <w:bCs/>
      <w:sz w:val="24"/>
      <w:szCs w:val="24"/>
    </w:rPr>
  </w:style>
  <w:style w:type="paragraph" w:styleId="StandardWeb">
    <w:name w:val="Normal (Web)"/>
    <w:basedOn w:val="Standard"/>
    <w:uiPriority w:val="99"/>
    <w:unhideWhenUsed/>
    <w:rsid w:val="00641045"/>
    <w:pPr>
      <w:spacing w:before="100" w:beforeAutospacing="1" w:after="100" w:afterAutospacing="1"/>
    </w:pPr>
    <w:rPr>
      <w:rFonts w:ascii="Times New Roman" w:hAnsi="Times New Roman"/>
    </w:rPr>
  </w:style>
  <w:style w:type="character" w:styleId="Fett">
    <w:name w:val="Strong"/>
    <w:uiPriority w:val="22"/>
    <w:qFormat/>
    <w:rsid w:val="00641045"/>
    <w:rPr>
      <w:b/>
      <w:bCs/>
    </w:rPr>
  </w:style>
  <w:style w:type="paragraph" w:styleId="Listenabsatz">
    <w:name w:val="List Paragraph"/>
    <w:basedOn w:val="Standard"/>
    <w:uiPriority w:val="34"/>
    <w:rsid w:val="00641045"/>
    <w:pPr>
      <w:ind w:left="720"/>
      <w:contextualSpacing/>
    </w:pPr>
  </w:style>
  <w:style w:type="character" w:styleId="Platzhaltertext">
    <w:name w:val="Placeholder Text"/>
    <w:uiPriority w:val="99"/>
    <w:semiHidden/>
    <w:rsid w:val="00641045"/>
    <w:rPr>
      <w:color w:val="808080"/>
    </w:rPr>
  </w:style>
  <w:style w:type="paragraph" w:customStyle="1" w:styleId="Formel">
    <w:name w:val="Formel"/>
    <w:basedOn w:val="Standard"/>
    <w:link w:val="FormelZchn"/>
    <w:autoRedefine/>
    <w:qFormat/>
    <w:rsid w:val="00641045"/>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641045"/>
    <w:rPr>
      <w:rFonts w:ascii="Cambria Math" w:hAnsi="Cambria Math" w:cs="Calibri"/>
      <w:bCs/>
      <w:i/>
      <w:iCs/>
      <w:sz w:val="24"/>
      <w:szCs w:val="24"/>
    </w:rPr>
  </w:style>
  <w:style w:type="paragraph" w:customStyle="1" w:styleId="Zahlenliste">
    <w:name w:val="Zahlenliste"/>
    <w:basedOn w:val="Listenabsatz"/>
    <w:link w:val="ZahlenlisteZchn"/>
    <w:autoRedefine/>
    <w:qFormat/>
    <w:rsid w:val="00641045"/>
    <w:pPr>
      <w:numPr>
        <w:numId w:val="5"/>
      </w:numPr>
      <w:spacing w:line="360" w:lineRule="auto"/>
      <w:ind w:left="1077" w:hanging="357"/>
    </w:pPr>
  </w:style>
  <w:style w:type="character" w:customStyle="1" w:styleId="ZahlenlisteZchn">
    <w:name w:val="Zahlenliste Zchn"/>
    <w:link w:val="Zahlenliste"/>
    <w:rsid w:val="00641045"/>
    <w:rPr>
      <w:rFonts w:eastAsia="Times New Roman" w:cs="Calibri"/>
      <w:bCs/>
      <w:sz w:val="24"/>
      <w:szCs w:val="24"/>
    </w:rPr>
  </w:style>
  <w:style w:type="paragraph" w:customStyle="1" w:styleId="Tiefgestellt">
    <w:name w:val="Tiefgestellt"/>
    <w:link w:val="TiefgestelltZchn"/>
    <w:autoRedefine/>
    <w:qFormat/>
    <w:rsid w:val="00641045"/>
    <w:rPr>
      <w:rFonts w:eastAsia="Times New Roman"/>
      <w:sz w:val="24"/>
      <w:szCs w:val="24"/>
      <w:vertAlign w:val="subscript"/>
    </w:rPr>
  </w:style>
  <w:style w:type="character" w:customStyle="1" w:styleId="TiefgestelltZchn">
    <w:name w:val="Tiefgestellt Zchn"/>
    <w:link w:val="Tiefgestellt"/>
    <w:rsid w:val="00641045"/>
    <w:rPr>
      <w:rFonts w:eastAsia="Times New Roman"/>
      <w:sz w:val="24"/>
      <w:szCs w:val="24"/>
      <w:vertAlign w:val="subscript"/>
    </w:rPr>
  </w:style>
  <w:style w:type="paragraph" w:customStyle="1" w:styleId="Quellenverzeichnis">
    <w:name w:val="Quellenverzeichnis"/>
    <w:link w:val="QuellenverzeichnisZchn"/>
    <w:autoRedefine/>
    <w:qFormat/>
    <w:rsid w:val="00641045"/>
    <w:pPr>
      <w:tabs>
        <w:tab w:val="num" w:pos="720"/>
      </w:tabs>
      <w:ind w:left="720" w:hanging="360"/>
    </w:pPr>
    <w:rPr>
      <w:i/>
      <w:sz w:val="22"/>
      <w:szCs w:val="22"/>
      <w:lang w:eastAsia="en-US"/>
    </w:rPr>
  </w:style>
  <w:style w:type="character" w:customStyle="1" w:styleId="QuellenverzeichnisZchn">
    <w:name w:val="Quellenverzeichnis Zchn"/>
    <w:link w:val="Quellenverzeichnis"/>
    <w:rsid w:val="00641045"/>
    <w:rPr>
      <w:i/>
      <w:sz w:val="22"/>
      <w:szCs w:val="22"/>
      <w:lang w:eastAsia="en-US"/>
    </w:rPr>
  </w:style>
  <w:style w:type="paragraph" w:customStyle="1" w:styleId="FormelEinzeln">
    <w:name w:val="FormelEinzeln"/>
    <w:basedOn w:val="Formel"/>
    <w:link w:val="FormelEinzelnZchn"/>
    <w:qFormat/>
    <w:rsid w:val="00641045"/>
    <w:pPr>
      <w:ind w:left="0" w:firstLine="0"/>
    </w:pPr>
    <w:rPr>
      <w:i w:val="0"/>
      <w:sz w:val="36"/>
      <w:szCs w:val="36"/>
    </w:rPr>
  </w:style>
  <w:style w:type="character" w:customStyle="1" w:styleId="FormelEinzelnZchn">
    <w:name w:val="FormelEinzeln Zchn"/>
    <w:link w:val="FormelEinzeln"/>
    <w:rsid w:val="00641045"/>
    <w:rPr>
      <w:rFonts w:ascii="Cambria Math" w:hAnsi="Cambria Math" w:cs="Calibri"/>
      <w:bCs/>
      <w:iCs/>
      <w:sz w:val="36"/>
      <w:szCs w:val="36"/>
    </w:rPr>
  </w:style>
  <w:style w:type="paragraph" w:customStyle="1" w:styleId="SQLTabellennamen">
    <w:name w:val="SQLTabellennamen"/>
    <w:link w:val="SQLTabellennamenZchn"/>
    <w:qFormat/>
    <w:rsid w:val="00641045"/>
    <w:rPr>
      <w:rFonts w:ascii="Courier New" w:eastAsia="Times New Roman" w:hAnsi="Courier New"/>
      <w:b/>
      <w:sz w:val="22"/>
      <w:szCs w:val="24"/>
    </w:rPr>
  </w:style>
  <w:style w:type="character" w:customStyle="1" w:styleId="SQLTabellennamenZchn">
    <w:name w:val="SQLTabellennamen Zchn"/>
    <w:link w:val="SQLTabellennamen"/>
    <w:rsid w:val="00641045"/>
    <w:rPr>
      <w:rFonts w:ascii="Courier New" w:eastAsia="Times New Roman" w:hAnsi="Courier New"/>
      <w:b/>
      <w:sz w:val="22"/>
      <w:szCs w:val="24"/>
    </w:rPr>
  </w:style>
  <w:style w:type="character" w:customStyle="1" w:styleId="SQLTabellen">
    <w:name w:val="SQLTabellen"/>
    <w:uiPriority w:val="1"/>
    <w:rsid w:val="00641045"/>
    <w:rPr>
      <w:rFonts w:ascii="Courier New" w:hAnsi="Courier New"/>
      <w:b/>
      <w:sz w:val="22"/>
    </w:rPr>
  </w:style>
  <w:style w:type="character" w:styleId="Hervorhebung">
    <w:name w:val="Emphasis"/>
    <w:basedOn w:val="Absatz-Standardschriftart"/>
    <w:uiPriority w:val="20"/>
    <w:qFormat/>
    <w:rsid w:val="00FB58CE"/>
    <w:rPr>
      <w:i/>
      <w:iCs/>
    </w:rPr>
  </w:style>
  <w:style w:type="character" w:customStyle="1" w:styleId="katex-mathml">
    <w:name w:val="katex-mathml"/>
    <w:basedOn w:val="Absatz-Standardschriftart"/>
    <w:rsid w:val="00FB58CE"/>
  </w:style>
  <w:style w:type="character" w:customStyle="1" w:styleId="mord">
    <w:name w:val="mord"/>
    <w:basedOn w:val="Absatz-Standardschriftart"/>
    <w:rsid w:val="00FB58CE"/>
  </w:style>
  <w:style w:type="character" w:customStyle="1" w:styleId="mrel">
    <w:name w:val="mrel"/>
    <w:basedOn w:val="Absatz-Standardschriftart"/>
    <w:rsid w:val="00FB58CE"/>
  </w:style>
  <w:style w:type="character" w:styleId="HTMLCode">
    <w:name w:val="HTML Code"/>
    <w:basedOn w:val="Absatz-Standardschriftart"/>
    <w:uiPriority w:val="99"/>
    <w:semiHidden/>
    <w:unhideWhenUsed/>
    <w:rsid w:val="00FB58CE"/>
    <w:rPr>
      <w:rFonts w:ascii="Courier New" w:eastAsia="Times New Roman" w:hAnsi="Courier New" w:cs="Courier New"/>
      <w:sz w:val="20"/>
      <w:szCs w:val="20"/>
    </w:rPr>
  </w:style>
  <w:style w:type="character" w:customStyle="1" w:styleId="mopen">
    <w:name w:val="mopen"/>
    <w:basedOn w:val="Absatz-Standardschriftart"/>
    <w:rsid w:val="00FB58CE"/>
  </w:style>
  <w:style w:type="character" w:customStyle="1" w:styleId="mclose">
    <w:name w:val="mclose"/>
    <w:basedOn w:val="Absatz-Standardschriftart"/>
    <w:rsid w:val="00FB58CE"/>
  </w:style>
  <w:style w:type="character" w:customStyle="1" w:styleId="mpunct">
    <w:name w:val="mpunct"/>
    <w:basedOn w:val="Absatz-Standardschriftart"/>
    <w:rsid w:val="00FB58CE"/>
  </w:style>
  <w:style w:type="character" w:customStyle="1" w:styleId="mbin">
    <w:name w:val="mbin"/>
    <w:basedOn w:val="Absatz-Standardschriftart"/>
    <w:rsid w:val="00FB58CE"/>
  </w:style>
  <w:style w:type="paragraph" w:customStyle="1" w:styleId="msonormal0">
    <w:name w:val="msonormal"/>
    <w:basedOn w:val="Standard"/>
    <w:rsid w:val="00FB58CE"/>
    <w:pPr>
      <w:spacing w:before="100" w:beforeAutospacing="1" w:after="100" w:afterAutospacing="1"/>
    </w:pPr>
    <w:rPr>
      <w:rFonts w:ascii="Times New Roman" w:hAnsi="Times New Roman" w:cs="Times New Roman"/>
      <w:bCs w:val="0"/>
    </w:rPr>
  </w:style>
  <w:style w:type="character" w:customStyle="1" w:styleId="pdq2pgselectionanchor">
    <w:name w:val="pdq2pg_selectionanchor"/>
    <w:basedOn w:val="Absatz-Standardschriftart"/>
    <w:rsid w:val="00FB58CE"/>
  </w:style>
  <w:style w:type="character" w:customStyle="1" w:styleId="katex">
    <w:name w:val="katex"/>
    <w:basedOn w:val="Absatz-Standardschriftart"/>
    <w:rsid w:val="00FB58CE"/>
  </w:style>
  <w:style w:type="character" w:customStyle="1" w:styleId="katex-html">
    <w:name w:val="katex-html"/>
    <w:basedOn w:val="Absatz-Standardschriftart"/>
    <w:rsid w:val="00FB58CE"/>
  </w:style>
  <w:style w:type="character" w:customStyle="1" w:styleId="base">
    <w:name w:val="base"/>
    <w:basedOn w:val="Absatz-Standardschriftart"/>
    <w:rsid w:val="00FB58CE"/>
  </w:style>
  <w:style w:type="character" w:customStyle="1" w:styleId="strut">
    <w:name w:val="strut"/>
    <w:basedOn w:val="Absatz-Standardschriftart"/>
    <w:rsid w:val="00FB58CE"/>
  </w:style>
  <w:style w:type="character" w:customStyle="1" w:styleId="katex-display">
    <w:name w:val="katex-display"/>
    <w:basedOn w:val="Absatz-Standardschriftart"/>
    <w:rsid w:val="00FB58CE"/>
  </w:style>
  <w:style w:type="character" w:customStyle="1" w:styleId="mspace">
    <w:name w:val="mspace"/>
    <w:basedOn w:val="Absatz-Standardschriftart"/>
    <w:rsid w:val="00FB58CE"/>
  </w:style>
  <w:style w:type="character" w:customStyle="1" w:styleId="tag">
    <w:name w:val="tag"/>
    <w:basedOn w:val="Absatz-Standardschriftart"/>
    <w:rsid w:val="00FB58CE"/>
  </w:style>
  <w:style w:type="character" w:customStyle="1" w:styleId="msupsub">
    <w:name w:val="msupsub"/>
    <w:basedOn w:val="Absatz-Standardschriftart"/>
    <w:rsid w:val="00FB58CE"/>
  </w:style>
  <w:style w:type="character" w:customStyle="1" w:styleId="vlist-t">
    <w:name w:val="vlist-t"/>
    <w:basedOn w:val="Absatz-Standardschriftart"/>
    <w:rsid w:val="00FB58CE"/>
  </w:style>
  <w:style w:type="character" w:customStyle="1" w:styleId="vlist-r">
    <w:name w:val="vlist-r"/>
    <w:basedOn w:val="Absatz-Standardschriftart"/>
    <w:rsid w:val="00FB58CE"/>
  </w:style>
  <w:style w:type="character" w:customStyle="1" w:styleId="vlist">
    <w:name w:val="vlist"/>
    <w:basedOn w:val="Absatz-Standardschriftart"/>
    <w:rsid w:val="00FB58CE"/>
  </w:style>
  <w:style w:type="character" w:customStyle="1" w:styleId="pstrut">
    <w:name w:val="pstrut"/>
    <w:basedOn w:val="Absatz-Standardschriftart"/>
    <w:rsid w:val="00FB58CE"/>
  </w:style>
  <w:style w:type="character" w:customStyle="1" w:styleId="sizing">
    <w:name w:val="sizing"/>
    <w:basedOn w:val="Absatz-Standardschriftart"/>
    <w:rsid w:val="00FB58CE"/>
  </w:style>
  <w:style w:type="character" w:customStyle="1" w:styleId="vlist-s">
    <w:name w:val="vlist-s"/>
    <w:basedOn w:val="Absatz-Standardschriftart"/>
    <w:rsid w:val="00FB58CE"/>
  </w:style>
  <w:style w:type="character" w:customStyle="1" w:styleId="minner">
    <w:name w:val="minner"/>
    <w:basedOn w:val="Absatz-Standardschriftart"/>
    <w:rsid w:val="00FB58CE"/>
  </w:style>
  <w:style w:type="character" w:customStyle="1" w:styleId="mtable">
    <w:name w:val="mtable"/>
    <w:basedOn w:val="Absatz-Standardschriftart"/>
    <w:rsid w:val="00FB58CE"/>
  </w:style>
  <w:style w:type="character" w:customStyle="1" w:styleId="col-align-r">
    <w:name w:val="col-align-r"/>
    <w:basedOn w:val="Absatz-Standardschriftart"/>
    <w:rsid w:val="00FB58CE"/>
  </w:style>
  <w:style w:type="character" w:customStyle="1" w:styleId="col-align-l">
    <w:name w:val="col-align-l"/>
    <w:basedOn w:val="Absatz-Standardschriftart"/>
    <w:rsid w:val="00FB58CE"/>
  </w:style>
  <w:style w:type="character" w:customStyle="1" w:styleId="delimsizing">
    <w:name w:val="delimsizing"/>
    <w:basedOn w:val="Absatz-Standardschriftart"/>
    <w:rsid w:val="00FB58CE"/>
  </w:style>
  <w:style w:type="character" w:customStyle="1" w:styleId="mop">
    <w:name w:val="mop"/>
    <w:basedOn w:val="Absatz-Standardschriftart"/>
    <w:rsid w:val="00FB58CE"/>
  </w:style>
  <w:style w:type="character" w:customStyle="1" w:styleId="arraycolsep">
    <w:name w:val="arraycolsep"/>
    <w:basedOn w:val="Absatz-Standardschriftart"/>
    <w:rsid w:val="00FB58CE"/>
  </w:style>
  <w:style w:type="character" w:customStyle="1" w:styleId="thinbox">
    <w:name w:val="thinbox"/>
    <w:basedOn w:val="Absatz-Standardschriftart"/>
    <w:rsid w:val="00FB58CE"/>
  </w:style>
  <w:style w:type="character" w:customStyle="1" w:styleId="llap">
    <w:name w:val="llap"/>
    <w:basedOn w:val="Absatz-Standardschriftart"/>
    <w:rsid w:val="00FB58CE"/>
  </w:style>
  <w:style w:type="character" w:customStyle="1" w:styleId="inner">
    <w:name w:val="inner"/>
    <w:basedOn w:val="Absatz-Standardschriftart"/>
    <w:rsid w:val="00FB58CE"/>
  </w:style>
  <w:style w:type="character" w:customStyle="1" w:styleId="fix">
    <w:name w:val="fix"/>
    <w:basedOn w:val="Absatz-Standardschriftart"/>
    <w:rsid w:val="00FB58CE"/>
  </w:style>
  <w:style w:type="paragraph" w:customStyle="1" w:styleId="pdq2pgselectionanchorcontainer">
    <w:name w:val="pdq2pg_selectionanchorcontainer"/>
    <w:basedOn w:val="Standard"/>
    <w:rsid w:val="00FB58CE"/>
    <w:pPr>
      <w:spacing w:before="100" w:beforeAutospacing="1" w:after="100" w:afterAutospacing="1"/>
    </w:pPr>
    <w:rPr>
      <w:rFonts w:ascii="Times New Roman" w:hAnsi="Times New Roman" w:cs="Times New Roman"/>
      <w:bCs w:val="0"/>
    </w:rPr>
  </w:style>
  <w:style w:type="character" w:customStyle="1" w:styleId="mtight">
    <w:name w:val="mtight"/>
    <w:basedOn w:val="Absatz-Standardschriftart"/>
    <w:rsid w:val="00752B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9</Pages>
  <Words>2905</Words>
  <Characters>18302</Characters>
  <Application>Microsoft Office Word</Application>
  <DocSecurity>0</DocSecurity>
  <Lines>152</Lines>
  <Paragraphs>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12</cp:revision>
  <dcterms:created xsi:type="dcterms:W3CDTF">2026-07-27T00:43:00Z</dcterms:created>
  <dcterms:modified xsi:type="dcterms:W3CDTF">2026-07-27T08:46:00Z</dcterms:modified>
</cp:coreProperties>
</file>