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802DD" w:rsidRDefault="007802DD" w:rsidP="007802DD">
      <w:pPr>
        <w:pStyle w:val="berschrift1"/>
        <w:rPr>
          <w:rFonts w:cs="Times New Roman"/>
          <w:sz w:val="48"/>
          <w:szCs w:val="48"/>
        </w:rPr>
      </w:pPr>
      <w:r>
        <w:t>Anlage M1 – Mengentheoretische und funktionale Grundlagen</w:t>
      </w:r>
    </w:p>
    <w:p w:rsidR="007802DD" w:rsidRDefault="007802DD" w:rsidP="007802DD">
      <w:pPr>
        <w:pStyle w:val="berschrift2"/>
      </w:pPr>
      <w:r>
        <w:t>M1.0 Aufgabe und Abgrenzung der Anlage</w:t>
      </w:r>
    </w:p>
    <w:p w:rsidR="007802DD" w:rsidRDefault="007802DD" w:rsidP="007802DD">
      <w:pPr>
        <w:pStyle w:val="StandardWeb"/>
      </w:pPr>
      <w:r>
        <w:t>In den Abschnitten 3.2.1 und 3.2.2 habe ich diejenigen mengentheoretischen und funktionalen Begriffe im Haupttext belassen, die für den weiteren mathematischen Argumentationsgang unmittelbar benötigt werden. Die vorliegende Anlage ergänzt diesen Hauptpfad um die dort bewusst ausgelagerten formalen Beziehungen. Ich ändere damit weder die mathematische Grundlage noch führe ich an dieser Stelle eine FRZK-spezifische Setzung ein. Ziel ist vielmehr, die im Haupttext verwendeten Begriffe so weit formal zu entfalten, dass Teilmengen, Mengenoperationen, Potenzmengen, kartesische Produkte sowie Bild-, Urbild- und Kompositionsstrukturen vollständig nachvollziehbar bleiben, ohne den Haupttext mit jedem elementaren mathematischen Detail zu belasten.</w:t>
      </w:r>
    </w:p>
    <w:p w:rsidR="007802DD" w:rsidRDefault="007802DD" w:rsidP="007802DD">
      <w:pPr>
        <w:pStyle w:val="StandardWeb"/>
      </w:pPr>
      <w:r>
        <w:t xml:space="preserve">Die verwendeten Strukturen gehören zur etablierten Mengen- und Funktionentheorie. </w:t>
      </w:r>
      <w:proofErr w:type="spellStart"/>
      <w:r>
        <w:t>Halmos</w:t>
      </w:r>
      <w:proofErr w:type="spellEnd"/>
      <w:r>
        <w:t xml:space="preserve"> entwickelt </w:t>
      </w:r>
      <w:proofErr w:type="spellStart"/>
      <w:r>
        <w:t>Extensionalität</w:t>
      </w:r>
      <w:proofErr w:type="spellEnd"/>
      <w:r>
        <w:t xml:space="preserve">, Mengenoperationen, geordnete Paare, Relationen und Funktionen in einem aufeinander aufbauenden Grundbestand. {[Paul R. </w:t>
      </w:r>
      <w:proofErr w:type="spellStart"/>
      <w:r>
        <w:t>Halmos</w:t>
      </w:r>
      <w:proofErr w:type="spellEnd"/>
      <w:r>
        <w:t>, Springer-Verlag, 1974, S. 1–33, Naive Set Theory, New York</w:t>
      </w:r>
      <w:proofErr w:type="gramStart"/>
      <w:r>
        <w:t>]}[</w:t>
      </w:r>
      <w:proofErr w:type="gramEnd"/>
      <w:r>
        <w:t xml:space="preserve">[6]]. Für die systematischere mengentheoretische und funktionale Einordnung verwende ich ergänzend </w:t>
      </w:r>
      <w:proofErr w:type="spellStart"/>
      <w:r>
        <w:t>Enderton</w:t>
      </w:r>
      <w:proofErr w:type="spellEnd"/>
      <w:r>
        <w:t xml:space="preserve">, der Mengenoperationen, geordnete Paare, Relationen, Funktionen und kartesische Produkte zusammenhängend entwickelt. {[Herbert B. </w:t>
      </w:r>
      <w:proofErr w:type="spellStart"/>
      <w:r>
        <w:t>Enderton</w:t>
      </w:r>
      <w:proofErr w:type="spellEnd"/>
      <w:r>
        <w:t xml:space="preserve">, Academic Press, 1977, Kapitel 2–3, insbesondere S. 42–47, Elements </w:t>
      </w:r>
      <w:proofErr w:type="spellStart"/>
      <w:r>
        <w:t>of</w:t>
      </w:r>
      <w:proofErr w:type="spellEnd"/>
      <w:r>
        <w:t xml:space="preserve"> Set Theory, New York, San Francisco und London</w:t>
      </w:r>
      <w:proofErr w:type="gramStart"/>
      <w:r>
        <w:t>]}[</w:t>
      </w:r>
      <w:proofErr w:type="gramEnd"/>
      <w:r>
        <w:t>[80]].</w:t>
      </w:r>
    </w:p>
    <w:p w:rsidR="007802DD" w:rsidRDefault="007802DD" w:rsidP="007802DD">
      <w:pPr>
        <w:pStyle w:val="StandardWeb"/>
      </w:pPr>
      <w:r>
        <w:t>Die Anlage folgt damit demselben methodischen Prinzip wie Kapitel 3.2 insgesamt. Ich unterscheide konsequent zwischen einer mathematisch möglichen Struktur und ihrer späteren Verwendung innerhalb des FRZK. Eine Teilmenge ist zunächst nur ein eingeschränkter Objektbereich. Ein kartesisches Produkt ist zunächst nur eine Menge geordneter Paare. Eine Funktion ist zunächst eine eindeutige mathematische Zuordnung. Keine dieser Strukturen enthält bereits eine Aussage darüber, ob ihre Elemente physikalische Zustände, Ereignisse, Orte oder andere wissenschaftlich interpretierte Gegenstände darstellen.</w:t>
      </w:r>
    </w:p>
    <w:p w:rsidR="007802DD" w:rsidRDefault="007802DD" w:rsidP="007802DD">
      <w:pPr>
        <w:pStyle w:val="berschrift2"/>
      </w:pPr>
      <w:r>
        <w:t>M1.1 Teilmengen, echte Teilmengen und Mengengleichheit</w:t>
      </w:r>
    </w:p>
    <w:p w:rsidR="007802DD" w:rsidRDefault="007802DD" w:rsidP="007802DD">
      <w:pPr>
        <w:pStyle w:val="StandardWeb"/>
      </w:pPr>
      <w:r>
        <w:t xml:space="preserve">Eine Menge kann innerhalb eines bereits festgelegten Objektbereichs einen eingeschränkten Teilbereich bilden. Die Teilmengenrelation betrifft deshalb nicht die Zugehörigkeit eines einzelnen Elements, sondern das Verhältnis zweier Mengen. Ist jedes Element einer Menge </w:t>
      </w:r>
      <m:oMath>
        <m:r>
          <w:rPr>
            <w:rFonts w:ascii="Cambria Math" w:hAnsi="Cambria Math"/>
          </w:rPr>
          <m:t>A</m:t>
        </m:r>
      </m:oMath>
      <w:r>
        <w:t xml:space="preserve"> zugleich Element einer Menge </w:t>
      </w:r>
      <m:oMath>
        <m:r>
          <w:rPr>
            <w:rFonts w:ascii="Cambria Math" w:hAnsi="Cambria Math"/>
          </w:rPr>
          <m:t>B</m:t>
        </m:r>
      </m:oMath>
      <w:r>
        <w:t xml:space="preserve">, dann ist </w:t>
      </w:r>
      <m:oMath>
        <m:r>
          <w:rPr>
            <w:rFonts w:ascii="Cambria Math" w:hAnsi="Cambria Math"/>
          </w:rPr>
          <m:t>A</m:t>
        </m:r>
      </m:oMath>
      <w:r>
        <w:t xml:space="preserve"> eine Teilmenge von </w:t>
      </w:r>
      <m:oMath>
        <m:r>
          <w:rPr>
            <w:rFonts w:ascii="Cambria Math" w:hAnsi="Cambria Math"/>
          </w:rPr>
          <m:t>B</m:t>
        </m:r>
      </m:oMath>
      <w:r>
        <w:t>. Diese Aussage lässt sich vollständig durch die Elementzugehörigkeit ausdrücken.</w:t>
      </w:r>
    </w:p>
    <w:p w:rsidR="007802DD" w:rsidRDefault="007802DD" w:rsidP="007802DD">
      <w:pPr>
        <w:pStyle w:val="StandardWeb"/>
      </w:pPr>
      <w:r>
        <w:rPr>
          <w:rStyle w:val="Fett"/>
        </w:rPr>
        <w:t>Gleichung (M1.1) – Teilmengenbeziehung</w:t>
      </w:r>
    </w:p>
    <w:p w:rsidR="007802DD" w:rsidRDefault="00AF300A" w:rsidP="00AF300A">
      <w:pPr>
        <w:pStyle w:val="Formel"/>
      </w:pPr>
      <m:oMath>
        <m:r>
          <m:t>A⊆B⟺∀x,</m:t>
        </m:r>
        <m:d>
          <m:dPr>
            <m:ctrlPr/>
          </m:dPr>
          <m:e>
            <m:r>
              <m:t>x∈A⇒x∈B</m:t>
            </m:r>
          </m:e>
        </m:d>
      </m:oMath>
      <w:r>
        <w:t xml:space="preserve"> </w:t>
      </w:r>
      <w:r>
        <w:tab/>
        <w:t>(M1.1)</w:t>
      </w:r>
    </w:p>
    <w:p w:rsidR="00AF300A" w:rsidRDefault="00AF300A" w:rsidP="007802DD">
      <w:pPr>
        <w:pStyle w:val="StandardWeb"/>
      </w:pPr>
      <w:proofErr w:type="spellStart"/>
      <w:r>
        <w:t>aa</w:t>
      </w:r>
      <w:proofErr w:type="spellEnd"/>
      <w:r>
        <w:t xml:space="preserve"> </w:t>
      </w:r>
      <w:proofErr w:type="spellStart"/>
      <w:r>
        <w:t>aa</w:t>
      </w:r>
      <w:proofErr w:type="spellEnd"/>
      <w:r>
        <w:t xml:space="preserve"> </w:t>
      </w:r>
      <w:proofErr w:type="spellStart"/>
      <w:r>
        <w:t>aa</w:t>
      </w:r>
      <w:proofErr w:type="spellEnd"/>
    </w:p>
    <w:p w:rsidR="007802DD" w:rsidRDefault="007802DD" w:rsidP="007802DD">
      <w:pPr>
        <w:pStyle w:val="StandardWeb"/>
      </w:pPr>
      <w:r>
        <w:lastRenderedPageBreak/>
        <w:t xml:space="preserve">Die Aussage erlaubt auch den Fall </w:t>
      </w:r>
      <m:oMath>
        <m:r>
          <w:rPr>
            <w:rFonts w:ascii="Cambria Math" w:hAnsi="Cambria Math"/>
          </w:rPr>
          <m:t>A=B</m:t>
        </m:r>
      </m:oMath>
      <w:r>
        <w:t xml:space="preserve">. Soll ausdrücklich festgelegt werden, dass </w:t>
      </w:r>
      <m:oMath>
        <m:r>
          <w:rPr>
            <w:rFonts w:ascii="Cambria Math" w:hAnsi="Cambria Math"/>
          </w:rPr>
          <m:t>A</m:t>
        </m:r>
      </m:oMath>
      <w:r>
        <w:t xml:space="preserve"> nicht mit </w:t>
      </w:r>
      <m:oMath>
        <m:r>
          <w:rPr>
            <w:rFonts w:ascii="Cambria Math" w:hAnsi="Cambria Math"/>
          </w:rPr>
          <m:t>B</m:t>
        </m:r>
      </m:oMath>
      <w:r>
        <w:t xml:space="preserve"> identisch ist, benötige ich die echte Teilmengenrelation. Sie verbindet die Teilmengenbedingung mit der zusätzlichen Forderung der Ungleichheit.</w:t>
      </w:r>
    </w:p>
    <w:p w:rsidR="007802DD" w:rsidRDefault="007802DD" w:rsidP="007802DD">
      <w:pPr>
        <w:pStyle w:val="StandardWeb"/>
      </w:pPr>
      <w:r>
        <w:rPr>
          <w:rStyle w:val="Fett"/>
        </w:rPr>
        <w:t>Gleichung (M1.2) – Echte Teilmenge</w:t>
      </w:r>
    </w:p>
    <w:p w:rsidR="007802DD" w:rsidRDefault="00AF300A" w:rsidP="00AF300A">
      <w:pPr>
        <w:pStyle w:val="Formel"/>
      </w:pPr>
      <m:oMath>
        <m:r>
          <m:t>A ⊂B ⟺A ⊆B ∧A ≠B</m:t>
        </m:r>
      </m:oMath>
      <w:r>
        <w:t xml:space="preserve"> </w:t>
      </w:r>
      <w:r>
        <w:tab/>
        <w:t>(M1.2)</w:t>
      </w:r>
    </w:p>
    <w:p w:rsidR="007802DD" w:rsidRDefault="007802DD" w:rsidP="007802DD">
      <w:pPr>
        <w:pStyle w:val="StandardWeb"/>
      </w:pPr>
      <w:r>
        <w:t xml:space="preserve">Damit unterscheide ich zwei mathematisch verschiedene Aussagen. Mit </w:t>
      </w:r>
      <m:oMath>
        <m:r>
          <w:rPr>
            <w:rFonts w:ascii="Cambria Math" w:hAnsi="Cambria Math"/>
          </w:rPr>
          <m:t xml:space="preserve">A </m:t>
        </m:r>
        <m:r>
          <m:rPr>
            <m:sty m:val="p"/>
          </m:rPr>
          <w:rPr>
            <w:rFonts w:ascii="Cambria Math" w:hAnsi="Cambria Math"/>
          </w:rPr>
          <m:t>⊆</m:t>
        </m:r>
        <m:r>
          <w:rPr>
            <w:rFonts w:ascii="Cambria Math" w:hAnsi="Cambria Math"/>
          </w:rPr>
          <m:t>B</m:t>
        </m:r>
      </m:oMath>
      <w:r>
        <w:t xml:space="preserve"> behaupte i</w:t>
      </w:r>
      <w:proofErr w:type="spellStart"/>
      <w:r>
        <w:t>ch</w:t>
      </w:r>
      <w:proofErr w:type="spellEnd"/>
      <w:r>
        <w:t xml:space="preserve"> lediglich, dass jedes Element von </w:t>
      </w:r>
      <m:oMath>
        <m:r>
          <w:rPr>
            <w:rFonts w:ascii="Cambria Math" w:hAnsi="Cambria Math"/>
          </w:rPr>
          <m:t>A</m:t>
        </m:r>
      </m:oMath>
      <w:r>
        <w:t xml:space="preserve"> auch in </w:t>
      </w:r>
      <m:oMath>
        <m:r>
          <w:rPr>
            <w:rFonts w:ascii="Cambria Math" w:hAnsi="Cambria Math"/>
          </w:rPr>
          <m:t>B</m:t>
        </m:r>
      </m:oMath>
      <w:r>
        <w:t xml:space="preserve"> enthalten ist. Mit </w:t>
      </w:r>
      <m:oMath>
        <m:r>
          <w:rPr>
            <w:rFonts w:ascii="Cambria Math" w:hAnsi="Cambria Math"/>
          </w:rPr>
          <m:t xml:space="preserve">A </m:t>
        </m:r>
        <m:r>
          <m:rPr>
            <m:sty m:val="p"/>
          </m:rPr>
          <w:rPr>
            <w:rFonts w:ascii="Cambria Math" w:hAnsi="Cambria Math"/>
          </w:rPr>
          <m:t>⊂</m:t>
        </m:r>
        <m:r>
          <w:rPr>
            <w:rFonts w:ascii="Cambria Math" w:hAnsi="Cambria Math"/>
          </w:rPr>
          <m:t>B</m:t>
        </m:r>
      </m:oMath>
      <w:r>
        <w:t xml:space="preserve"> behaupte ich zusätzlich, dass beide Mengen nicht identisch sind. Diese grundlegende Unterscheidung gehört zum elementaren mengentheoretischen Aufbau [[6]].</w:t>
      </w:r>
    </w:p>
    <w:p w:rsidR="007802DD" w:rsidRDefault="007802DD" w:rsidP="007802DD">
      <w:pPr>
        <w:pStyle w:val="StandardWeb"/>
      </w:pPr>
      <w:r>
        <w:t>Für die spätere Arbeit ist diese Trennung wichtig, weil ein eingeschränkter Zustandsbereich nicht automatisch ein vom ursprünglichen Bereich verschiedener Bereich sein muss. Eine andere Bezeichnung, Darstellung oder wissenschaftliche Interpretation verändert den mathematischen Elementbestand nicht.</w:t>
      </w:r>
    </w:p>
    <w:p w:rsidR="007802DD" w:rsidRDefault="007802DD" w:rsidP="007802DD">
      <w:pPr>
        <w:pStyle w:val="StandardWeb"/>
      </w:pPr>
      <w:r>
        <w:t>Ob zwei Mengen mathematisch identisch sind, entscheidet ausschließlich die Frage, ob sie dieselben Elemente enthalten.</w:t>
      </w:r>
    </w:p>
    <w:p w:rsidR="007802DD" w:rsidRDefault="007802DD" w:rsidP="007802DD">
      <w:pPr>
        <w:pStyle w:val="StandardWeb"/>
      </w:pPr>
      <w:r>
        <w:rPr>
          <w:rStyle w:val="Fett"/>
        </w:rPr>
        <w:t>Gleichung (M1.3) – Extensional bestimmte Mengengleichheit</w:t>
      </w:r>
    </w:p>
    <w:p w:rsidR="007802DD" w:rsidRDefault="00AF300A" w:rsidP="00AF300A">
      <w:pPr>
        <w:pStyle w:val="Formel"/>
      </w:pPr>
      <m:oMath>
        <m:r>
          <m:t>A=B⟺∀x,</m:t>
        </m:r>
        <m:d>
          <m:dPr>
            <m:ctrlPr/>
          </m:dPr>
          <m:e>
            <m:r>
              <m:t>x∈A⇔x∈B</m:t>
            </m:r>
          </m:e>
        </m:d>
      </m:oMath>
      <w:r>
        <w:t xml:space="preserve"> </w:t>
      </w:r>
      <w:r>
        <w:tab/>
        <w:t>(M1.3)</w:t>
      </w:r>
    </w:p>
    <w:p w:rsidR="00AF300A" w:rsidRDefault="00AF300A" w:rsidP="007802DD">
      <w:pPr>
        <w:pStyle w:val="StandardWeb"/>
      </w:pPr>
      <w:proofErr w:type="spellStart"/>
      <w:r>
        <w:t>aa</w:t>
      </w:r>
      <w:proofErr w:type="spellEnd"/>
      <w:r>
        <w:t xml:space="preserve"> </w:t>
      </w:r>
      <w:proofErr w:type="spellStart"/>
      <w:r>
        <w:t>aa</w:t>
      </w:r>
      <w:proofErr w:type="spellEnd"/>
      <w:r>
        <w:t xml:space="preserve"> </w:t>
      </w:r>
      <w:proofErr w:type="spellStart"/>
      <w:r>
        <w:t>aa</w:t>
      </w:r>
      <w:proofErr w:type="spellEnd"/>
    </w:p>
    <w:p w:rsidR="007802DD" w:rsidRDefault="007802DD" w:rsidP="007802DD">
      <w:pPr>
        <w:pStyle w:val="StandardWeb"/>
      </w:pPr>
      <w:r>
        <w:t>Damit trenne ich bereits auf dieser elementaren Ebene mathematische Identität von interpretativer Gleichsetzung. Zwei verschieden benannte Mengen können mathematisch gleich sein, wenn ihr Elementbestand vollständig übereinstimmt. Umgekehrt können zwei wissenschaftlich ähnlich interpretierte Bereiche mathematisch verschieden sein, wenn sie nicht dieselben Elemente enthalten. Diese extensional bestimmte Auffassung der Mengengleichheit gehört zu den grundlegenden Ausgangspunkten der Mengenlehre [[6]] [[80]].</w:t>
      </w:r>
    </w:p>
    <w:p w:rsidR="007802DD" w:rsidRDefault="007802DD" w:rsidP="007802DD">
      <w:pPr>
        <w:pStyle w:val="StandardWeb"/>
      </w:pPr>
      <w:r>
        <w:t>Für meinen weiteren Aufbau ist diese Trennung wesentlich. Der mathematische Identitätsbegriff entscheidet ausschließlich über die formale Struktur. Eine wissenschaftliche Bedeutungszuweisung kann ihn weder ersetzen noch verändern.</w:t>
      </w:r>
    </w:p>
    <w:p w:rsidR="007802DD" w:rsidRDefault="007802DD" w:rsidP="007802DD">
      <w:pPr>
        <w:pStyle w:val="berschrift2"/>
      </w:pPr>
      <w:r>
        <w:t xml:space="preserve">M1.2 Leere Menge, Mengenoperationen und </w:t>
      </w:r>
      <w:proofErr w:type="spellStart"/>
      <w:r>
        <w:t>Disjunktheit</w:t>
      </w:r>
      <w:proofErr w:type="spellEnd"/>
    </w:p>
    <w:p w:rsidR="007802DD" w:rsidRDefault="007802DD" w:rsidP="007802DD">
      <w:pPr>
        <w:pStyle w:val="StandardWeb"/>
      </w:pPr>
      <w:r>
        <w:t xml:space="preserve">Ein besonderer Grenzfall entsteht, wenn ein betrachteter Objektbereich kein Element enthält. Die leere Menge ist dennoch selbst ein mathematisch bestimmtes Objekt. Eine mögliche Charakterisierung besteht darin, sie als die Menge aller Objekte zu schreiben, für die eine logisch unerfüllbare Bedingung gilt. Die Bedingung </w:t>
      </w:r>
      <m:oMath>
        <m:r>
          <w:rPr>
            <w:rFonts w:ascii="Cambria Math" w:hAnsi="Cambria Math"/>
          </w:rPr>
          <m:t xml:space="preserve">x </m:t>
        </m:r>
        <m:r>
          <m:rPr>
            <m:sty m:val="p"/>
          </m:rPr>
          <w:rPr>
            <w:rFonts w:ascii="Cambria Math" w:hAnsi="Cambria Math"/>
          </w:rPr>
          <m:t>≠</m:t>
        </m:r>
        <m:r>
          <w:rPr>
            <w:rFonts w:ascii="Cambria Math" w:hAnsi="Cambria Math"/>
          </w:rPr>
          <m:t>x</m:t>
        </m:r>
      </m:oMath>
      <w:r>
        <w:t xml:space="preserve"> ist für kein Ob</w:t>
      </w:r>
      <w:proofErr w:type="spellStart"/>
      <w:r>
        <w:t>jekt</w:t>
      </w:r>
      <w:proofErr w:type="spellEnd"/>
      <w:r>
        <w:t xml:space="preserve"> erfüllt, sodass die dadurch charakterisierte Menge kein Element besitzt.</w:t>
      </w:r>
    </w:p>
    <w:p w:rsidR="007802DD" w:rsidRDefault="007802DD" w:rsidP="007802DD">
      <w:pPr>
        <w:pStyle w:val="StandardWeb"/>
      </w:pPr>
      <w:r>
        <w:rPr>
          <w:rStyle w:val="Fett"/>
        </w:rPr>
        <w:t>Gleichung (M1.4) – Charakterisierung der leeren Menge</w:t>
      </w:r>
    </w:p>
    <w:p w:rsidR="007802DD" w:rsidRDefault="00AF300A" w:rsidP="00AF300A">
      <w:pPr>
        <w:pStyle w:val="Formel"/>
      </w:pPr>
      <m:oMath>
        <m:r>
          <w:lastRenderedPageBreak/>
          <m:t>∅= {x| x ≠x}</m:t>
        </m:r>
      </m:oMath>
      <w:r>
        <w:t xml:space="preserve"> </w:t>
      </w:r>
      <w:r>
        <w:tab/>
        <w:t>(M1.4)</w:t>
      </w:r>
    </w:p>
    <w:p w:rsidR="00AF300A" w:rsidRDefault="00AF300A" w:rsidP="007802DD">
      <w:pPr>
        <w:pStyle w:val="StandardWeb"/>
      </w:pPr>
      <w:proofErr w:type="spellStart"/>
      <w:r>
        <w:t>aa</w:t>
      </w:r>
      <w:proofErr w:type="spellEnd"/>
      <w:r>
        <w:t xml:space="preserve"> </w:t>
      </w:r>
      <w:proofErr w:type="spellStart"/>
      <w:r>
        <w:t>aa</w:t>
      </w:r>
      <w:proofErr w:type="spellEnd"/>
      <w:r>
        <w:t xml:space="preserve"> </w:t>
      </w:r>
      <w:proofErr w:type="spellStart"/>
      <w:r>
        <w:t>aa</w:t>
      </w:r>
      <w:proofErr w:type="spellEnd"/>
    </w:p>
    <w:p w:rsidR="007802DD" w:rsidRDefault="007802DD" w:rsidP="007802DD">
      <w:pPr>
        <w:pStyle w:val="StandardWeb"/>
      </w:pPr>
      <w:r>
        <w:t>Diese Schreibweise darf nicht so verstanden werden, als würde die leere Menge ein physikalisches „Nichts“ repräsentieren. Sie ist selbst ein mathematischer Gegenstand innerhalb einer bereits vorausgesetzten mathematischen Sprache. Ihre besondere Eigenschaft besteht ausschließlich darin, dass kein Objekt ihre Zugehörigkeitsbedingung erfüllt.</w:t>
      </w:r>
    </w:p>
    <w:p w:rsidR="007802DD" w:rsidRDefault="007802DD" w:rsidP="007802DD">
      <w:pPr>
        <w:pStyle w:val="StandardWeb"/>
      </w:pPr>
      <w:r>
        <w:t xml:space="preserve">Die leere Menge ist Teilmenge jeder Menge. Für eine beliebige Menge </w:t>
      </w:r>
      <m:oMath>
        <m:r>
          <w:rPr>
            <w:rFonts w:ascii="Cambria Math" w:hAnsi="Cambria Math"/>
          </w:rPr>
          <m:t>A</m:t>
        </m:r>
      </m:oMath>
      <w:r>
        <w:t xml:space="preserve"> gilt deshalb </w:t>
      </w:r>
      <m:oMath>
        <m:r>
          <m:rPr>
            <m:sty m:val="p"/>
          </m:rPr>
          <w:rPr>
            <w:rFonts w:ascii="Cambria Math" w:hAnsi="Cambria Math"/>
          </w:rPr>
          <m:t>∅⊆</m:t>
        </m:r>
        <m:r>
          <w:rPr>
            <w:rFonts w:ascii="Cambria Math" w:hAnsi="Cambria Math"/>
          </w:rPr>
          <m:t>A</m:t>
        </m:r>
      </m:oMath>
      <w:r>
        <w:t>.</w:t>
      </w:r>
    </w:p>
    <w:p w:rsidR="007802DD" w:rsidRDefault="007802DD" w:rsidP="007802DD">
      <w:pPr>
        <w:pStyle w:val="StandardWeb"/>
      </w:pPr>
      <w:r>
        <w:rPr>
          <w:rStyle w:val="Fett"/>
        </w:rPr>
        <w:t>Gleichung (M1.5) – Leere Menge als Teilmenge jeder Menge</w:t>
      </w:r>
    </w:p>
    <w:p w:rsidR="007802DD" w:rsidRDefault="00AF300A" w:rsidP="00AF300A">
      <w:pPr>
        <w:pStyle w:val="Formel"/>
      </w:pPr>
      <m:oMath>
        <m:r>
          <m:t>∅⊆A</m:t>
        </m:r>
      </m:oMath>
      <w:r>
        <w:t xml:space="preserve"> </w:t>
      </w:r>
      <w:r>
        <w:tab/>
        <w:t>(M1.5)</w:t>
      </w:r>
    </w:p>
    <w:p w:rsidR="007802DD" w:rsidRDefault="007802DD" w:rsidP="007802DD">
      <w:pPr>
        <w:pStyle w:val="StandardWeb"/>
      </w:pPr>
      <w:r>
        <w:t xml:space="preserve">Der Grund ergibt sich unmittelbar aus der Definition der Teilmengenrelation. Es existiert kein Element der leeren Menge, </w:t>
      </w:r>
      <w:proofErr w:type="gramStart"/>
      <w:r>
        <w:t>das</w:t>
      </w:r>
      <w:proofErr w:type="gramEnd"/>
      <w:r>
        <w:t xml:space="preserve"> die Bedingung verletzen könnte, zugleich Element der betrachteten Obermenge zu sein. Auch diese Aussage besitzt ausschließlich formalen Charakter und darf nicht als physikalische Aussage über ein absolutes „Nichts“ gelesen werden.</w:t>
      </w:r>
    </w:p>
    <w:p w:rsidR="007802DD" w:rsidRDefault="007802DD" w:rsidP="007802DD">
      <w:pPr>
        <w:pStyle w:val="StandardWeb"/>
      </w:pPr>
      <w:r>
        <w:t xml:space="preserve">Sind zwei Mengen </w:t>
      </w:r>
      <m:oMath>
        <m:r>
          <w:rPr>
            <w:rFonts w:ascii="Cambria Math" w:hAnsi="Cambria Math"/>
          </w:rPr>
          <m:t>A</m:t>
        </m:r>
      </m:oMath>
      <w:r>
        <w:t xml:space="preserve"> und </w:t>
      </w:r>
      <m:oMath>
        <m:r>
          <w:rPr>
            <w:rFonts w:ascii="Cambria Math" w:hAnsi="Cambria Math"/>
          </w:rPr>
          <m:t>B</m:t>
        </m:r>
      </m:oMath>
      <w:r>
        <w:t xml:space="preserve"> gegeben, kann ich neue Mengen bilden, ohne die in ihnen enthaltenen Elemente selbst zu transformieren. Die Vereinigung erfasst sämtliche Elemente, die mindestens einer der beiden Ausgangsmengen angehören.</w:t>
      </w:r>
    </w:p>
    <w:p w:rsidR="007802DD" w:rsidRDefault="007802DD" w:rsidP="007802DD">
      <w:pPr>
        <w:pStyle w:val="StandardWeb"/>
      </w:pPr>
      <w:r>
        <w:rPr>
          <w:rStyle w:val="Fett"/>
        </w:rPr>
        <w:t>Gleichung (M1.6) – Vereinigung</w:t>
      </w:r>
    </w:p>
    <w:p w:rsidR="007802DD" w:rsidRDefault="00AF300A" w:rsidP="00AF300A">
      <w:pPr>
        <w:pStyle w:val="Formel"/>
      </w:pPr>
      <m:oMath>
        <m:r>
          <m:t>A ∪B = {x| x ∈A ∨x ∈B}</m:t>
        </m:r>
      </m:oMath>
      <w:r>
        <w:t xml:space="preserve"> </w:t>
      </w:r>
      <w:r>
        <w:tab/>
        <w:t>(M1.6)</w:t>
      </w:r>
    </w:p>
    <w:p w:rsidR="00AF300A" w:rsidRDefault="00AF300A" w:rsidP="007802DD">
      <w:pPr>
        <w:pStyle w:val="StandardWeb"/>
      </w:pPr>
      <w:proofErr w:type="spellStart"/>
      <w:r>
        <w:t>aa</w:t>
      </w:r>
      <w:proofErr w:type="spellEnd"/>
      <w:r>
        <w:t xml:space="preserve"> </w:t>
      </w:r>
      <w:proofErr w:type="spellStart"/>
      <w:r>
        <w:t>aa</w:t>
      </w:r>
      <w:proofErr w:type="spellEnd"/>
      <w:r>
        <w:t xml:space="preserve"> </w:t>
      </w:r>
      <w:proofErr w:type="spellStart"/>
      <w:r>
        <w:t>aa</w:t>
      </w:r>
      <w:proofErr w:type="spellEnd"/>
    </w:p>
    <w:p w:rsidR="007802DD" w:rsidRDefault="007802DD" w:rsidP="007802DD">
      <w:pPr>
        <w:pStyle w:val="StandardWeb"/>
      </w:pPr>
      <w:r>
        <w:t>Die Schnittmenge enthält dagegen ausschließlich diejenigen Elemente, die gleichzeitig beiden Mengen angehören.</w:t>
      </w:r>
    </w:p>
    <w:p w:rsidR="007802DD" w:rsidRDefault="007802DD" w:rsidP="007802DD">
      <w:pPr>
        <w:pStyle w:val="StandardWeb"/>
      </w:pPr>
      <w:r>
        <w:rPr>
          <w:rStyle w:val="Fett"/>
        </w:rPr>
        <w:t>Gleichung (M1.7) – Schnittmenge</w:t>
      </w:r>
    </w:p>
    <w:p w:rsidR="007802DD" w:rsidRDefault="00AF300A" w:rsidP="00AF300A">
      <w:pPr>
        <w:pStyle w:val="Formel"/>
      </w:pPr>
      <m:oMath>
        <m:r>
          <m:t>A ∩B = {x| x ∈A ∧x ∈B}</m:t>
        </m:r>
      </m:oMath>
      <w:r>
        <w:t xml:space="preserve"> </w:t>
      </w:r>
      <w:r>
        <w:tab/>
        <w:t>(M1.7)</w:t>
      </w:r>
    </w:p>
    <w:p w:rsidR="00AF300A" w:rsidRDefault="00AF300A" w:rsidP="007802DD">
      <w:pPr>
        <w:pStyle w:val="StandardWeb"/>
      </w:pPr>
      <w:proofErr w:type="spellStart"/>
      <w:r>
        <w:t>aa</w:t>
      </w:r>
      <w:proofErr w:type="spellEnd"/>
      <w:r>
        <w:t xml:space="preserve"> </w:t>
      </w:r>
      <w:proofErr w:type="spellStart"/>
      <w:r>
        <w:t>aa</w:t>
      </w:r>
      <w:proofErr w:type="spellEnd"/>
      <w:r>
        <w:t xml:space="preserve"> </w:t>
      </w:r>
      <w:proofErr w:type="spellStart"/>
      <w:r>
        <w:t>aa</w:t>
      </w:r>
      <w:proofErr w:type="spellEnd"/>
    </w:p>
    <w:p w:rsidR="007802DD" w:rsidRDefault="007802DD" w:rsidP="007802DD">
      <w:pPr>
        <w:pStyle w:val="StandardWeb"/>
      </w:pPr>
      <w:r>
        <w:t xml:space="preserve">Mit der Mengendifferenz kann ich aus </w:t>
      </w:r>
      <m:oMath>
        <m:r>
          <w:rPr>
            <w:rFonts w:ascii="Cambria Math" w:hAnsi="Cambria Math"/>
          </w:rPr>
          <m:t>A</m:t>
        </m:r>
      </m:oMath>
      <w:r>
        <w:t xml:space="preserve"> diejenigen Elemente auswählen, die nicht zugleich in </w:t>
      </w:r>
      <m:oMath>
        <m:r>
          <w:rPr>
            <w:rFonts w:ascii="Cambria Math" w:hAnsi="Cambria Math"/>
          </w:rPr>
          <m:t>B</m:t>
        </m:r>
      </m:oMath>
      <w:r>
        <w:t xml:space="preserve"> liegen.</w:t>
      </w:r>
    </w:p>
    <w:p w:rsidR="007802DD" w:rsidRDefault="007802DD" w:rsidP="007802DD">
      <w:pPr>
        <w:pStyle w:val="StandardWeb"/>
      </w:pPr>
      <w:r>
        <w:rPr>
          <w:rStyle w:val="Fett"/>
        </w:rPr>
        <w:t>Gleichung (M1.8) – Mengendifferenz</w:t>
      </w:r>
    </w:p>
    <w:p w:rsidR="007802DD" w:rsidRDefault="00AF300A" w:rsidP="00AF300A">
      <w:pPr>
        <w:pStyle w:val="Formel"/>
      </w:pPr>
      <m:oMath>
        <m:r>
          <m:t>A ∖B = {x| x ∈A ∧x ∉B}</m:t>
        </m:r>
      </m:oMath>
      <w:r>
        <w:t xml:space="preserve"> </w:t>
      </w:r>
      <w:r>
        <w:tab/>
        <w:t>(M1.8)</w:t>
      </w:r>
    </w:p>
    <w:p w:rsidR="00AF300A" w:rsidRDefault="00AF300A" w:rsidP="007802DD">
      <w:pPr>
        <w:pStyle w:val="StandardWeb"/>
      </w:pPr>
      <w:proofErr w:type="spellStart"/>
      <w:r>
        <w:t>aa</w:t>
      </w:r>
      <w:proofErr w:type="spellEnd"/>
      <w:r>
        <w:t xml:space="preserve"> </w:t>
      </w:r>
      <w:proofErr w:type="spellStart"/>
      <w:r>
        <w:t>aa</w:t>
      </w:r>
      <w:proofErr w:type="spellEnd"/>
      <w:r>
        <w:t xml:space="preserve"> </w:t>
      </w:r>
      <w:proofErr w:type="spellStart"/>
      <w:r>
        <w:t>aa</w:t>
      </w:r>
      <w:proofErr w:type="spellEnd"/>
    </w:p>
    <w:p w:rsidR="007802DD" w:rsidRDefault="007802DD" w:rsidP="007802DD">
      <w:pPr>
        <w:pStyle w:val="StandardWeb"/>
      </w:pPr>
      <w:r>
        <w:lastRenderedPageBreak/>
        <w:t xml:space="preserve">Vereinigung, Schnitt und Differenz gehören zum klassischen mengentheoretischen Grundbestand [[6]] [[80]]. Diese Operationen verändern die Auswahlbedingung eines Objektbereichs, nicht aber die mathematischen Objekte selbst. Genau deshalb unterscheide ich sie von späteren Transformationen. Wenn ich aus zwei Zustandsmengen einen Schnitt bilde, habe ich keinen Zustand verändert. Ich habe </w:t>
      </w:r>
      <w:proofErr w:type="gramStart"/>
      <w:r>
        <w:t>ausschließlich diejenigen Zustände</w:t>
      </w:r>
      <w:proofErr w:type="gramEnd"/>
      <w:r>
        <w:t xml:space="preserve"> ausgewählt, die beide Zugehörigkeitsbedingungen gleichzeitig erfüllen.</w:t>
      </w:r>
    </w:p>
    <w:p w:rsidR="007802DD" w:rsidRDefault="007802DD" w:rsidP="007802DD">
      <w:pPr>
        <w:pStyle w:val="StandardWeb"/>
      </w:pPr>
      <w:r>
        <w:t>Ein besonders wichtiger Fall liegt vor, wenn zwei Mengen kein gemeinsames Element besitzen. Dann ist ihr Schnitt die leere Menge.</w:t>
      </w:r>
    </w:p>
    <w:p w:rsidR="007802DD" w:rsidRDefault="007802DD" w:rsidP="007802DD">
      <w:pPr>
        <w:pStyle w:val="StandardWeb"/>
      </w:pPr>
      <w:r>
        <w:rPr>
          <w:rStyle w:val="Fett"/>
        </w:rPr>
        <w:t xml:space="preserve">Gleichung (M1.9) – </w:t>
      </w:r>
      <w:proofErr w:type="spellStart"/>
      <w:r>
        <w:rPr>
          <w:rStyle w:val="Fett"/>
        </w:rPr>
        <w:t>Disjunktheit</w:t>
      </w:r>
      <w:proofErr w:type="spellEnd"/>
    </w:p>
    <w:p w:rsidR="007802DD" w:rsidRDefault="00AF300A" w:rsidP="00AF300A">
      <w:pPr>
        <w:pStyle w:val="Formel"/>
      </w:pPr>
      <m:oMath>
        <m:r>
          <m:t>A ∩B = ∅</m:t>
        </m:r>
      </m:oMath>
      <w:r>
        <w:t xml:space="preserve"> </w:t>
      </w:r>
      <w:r>
        <w:tab/>
        <w:t>(M1.9)</w:t>
      </w:r>
    </w:p>
    <w:p w:rsidR="007802DD" w:rsidRDefault="007802DD" w:rsidP="007802DD">
      <w:pPr>
        <w:pStyle w:val="StandardWeb"/>
      </w:pPr>
      <w:r>
        <w:t xml:space="preserve">Auch die </w:t>
      </w:r>
      <w:proofErr w:type="spellStart"/>
      <w:r>
        <w:t>Disjunktheit</w:t>
      </w:r>
      <w:proofErr w:type="spellEnd"/>
      <w:r>
        <w:t xml:space="preserve"> ist ausschließlich eine Aussage über gemeinsame Elemente. Aus ihr folgt nicht, dass zwischen Elementen aus </w:t>
      </w:r>
      <m:oMath>
        <m:r>
          <w:rPr>
            <w:rFonts w:ascii="Cambria Math" w:hAnsi="Cambria Math"/>
          </w:rPr>
          <m:t>A</m:t>
        </m:r>
      </m:oMath>
      <w:r>
        <w:t xml:space="preserve"> und Elementen aus </w:t>
      </w:r>
      <m:oMath>
        <m:r>
          <w:rPr>
            <w:rFonts w:ascii="Cambria Math" w:hAnsi="Cambria Math"/>
          </w:rPr>
          <m:t>B</m:t>
        </m:r>
      </m:oMath>
      <w:r>
        <w:t xml:space="preserve"> keine Relation bestehen kann. Zwei disjunkte Objektbereiche können relational miteinander verbunden sein. Diese Unterscheidung verhindert, dass Mengenzugehörigkeit und Beziehungsstruktur unbemerkt gleichgesetzt werden.</w:t>
      </w:r>
    </w:p>
    <w:p w:rsidR="007802DD" w:rsidRDefault="007802DD" w:rsidP="007802DD">
      <w:pPr>
        <w:pStyle w:val="berschrift2"/>
      </w:pPr>
      <w:r>
        <w:t>M1.3 Potenzmenge und Mächtigkeit</w:t>
      </w:r>
    </w:p>
    <w:p w:rsidR="007802DD" w:rsidRDefault="007802DD" w:rsidP="007802DD">
      <w:pPr>
        <w:pStyle w:val="StandardWeb"/>
      </w:pPr>
      <w:r>
        <w:t xml:space="preserve">Mit der Potenzmenge wechsle ich von einzelnen Elementen zu vollständigen Teilbereichen. Für eine Menge </w:t>
      </w:r>
      <m:oMath>
        <m:r>
          <w:rPr>
            <w:rFonts w:ascii="Cambria Math" w:hAnsi="Cambria Math"/>
          </w:rPr>
          <m:t>A</m:t>
        </m:r>
      </m:oMath>
      <w:r>
        <w:t xml:space="preserve"> enthält die Potenzmenge </w:t>
      </w:r>
      <m:oMath>
        <m:r>
          <m:rPr>
            <m:scr m:val="script"/>
          </m:rPr>
          <w:rPr>
            <w:rFonts w:ascii="Cambria Math" w:hAnsi="Cambria Math" w:cs="Cambria Math"/>
          </w:rPr>
          <m:t>P</m:t>
        </m:r>
        <m:d>
          <m:dPr>
            <m:ctrlPr>
              <w:rPr>
                <w:rFonts w:ascii="Cambria Math" w:hAnsi="Cambria Math"/>
                <w:i/>
              </w:rPr>
            </m:ctrlPr>
          </m:dPr>
          <m:e>
            <m:r>
              <w:rPr>
                <w:rFonts w:ascii="Cambria Math" w:hAnsi="Cambria Math"/>
              </w:rPr>
              <m:t>A</m:t>
            </m:r>
          </m:e>
        </m:d>
      </m:oMath>
      <w:r>
        <w:t xml:space="preserve"> genau alle Teilmengen von </w:t>
      </w:r>
      <m:oMath>
        <m:r>
          <w:rPr>
            <w:rFonts w:ascii="Cambria Math" w:hAnsi="Cambria Math"/>
          </w:rPr>
          <m:t>A</m:t>
        </m:r>
      </m:oMath>
      <w:r>
        <w:t>. Ihre Elemente sind deshalb selbst Mengen.</w:t>
      </w:r>
    </w:p>
    <w:p w:rsidR="007802DD" w:rsidRDefault="007802DD" w:rsidP="007802DD">
      <w:pPr>
        <w:pStyle w:val="StandardWeb"/>
      </w:pPr>
      <w:r>
        <w:rPr>
          <w:rStyle w:val="Fett"/>
        </w:rPr>
        <w:t>Gleichung (M1.10) – Potenzmenge</w:t>
      </w:r>
    </w:p>
    <w:p w:rsidR="007802DD" w:rsidRDefault="00AF300A" w:rsidP="00AF300A">
      <w:pPr>
        <w:pStyle w:val="Formel"/>
      </w:pPr>
      <m:oMath>
        <m:r>
          <m:rPr>
            <m:scr m:val="script"/>
          </m:rPr>
          <w:rPr>
            <w:rFonts w:cs="Cambria Math"/>
          </w:rPr>
          <m:t>P</m:t>
        </m:r>
        <m:d>
          <m:dPr>
            <m:ctrlPr/>
          </m:dPr>
          <m:e>
            <m:r>
              <m:t>A</m:t>
            </m:r>
          </m:e>
        </m:d>
        <m:r>
          <m:t>=B|B⊆A</m:t>
        </m:r>
      </m:oMath>
      <w:r>
        <w:t xml:space="preserve"> </w:t>
      </w:r>
      <w:r>
        <w:tab/>
        <w:t>(M1.10)</w:t>
      </w:r>
    </w:p>
    <w:p w:rsidR="00AF300A" w:rsidRDefault="00AF300A" w:rsidP="007802DD">
      <w:pPr>
        <w:pStyle w:val="StandardWeb"/>
      </w:pPr>
      <w:proofErr w:type="spellStart"/>
      <w:r>
        <w:t>aa</w:t>
      </w:r>
      <w:proofErr w:type="spellEnd"/>
      <w:r>
        <w:t xml:space="preserve"> </w:t>
      </w:r>
      <w:proofErr w:type="spellStart"/>
      <w:r>
        <w:t>aa</w:t>
      </w:r>
      <w:proofErr w:type="spellEnd"/>
      <w:r>
        <w:t xml:space="preserve"> </w:t>
      </w:r>
      <w:proofErr w:type="spellStart"/>
      <w:r>
        <w:t>aa</w:t>
      </w:r>
      <w:proofErr w:type="spellEnd"/>
    </w:p>
    <w:p w:rsidR="007802DD" w:rsidRDefault="007802DD" w:rsidP="007802DD">
      <w:pPr>
        <w:pStyle w:val="StandardWeb"/>
      </w:pPr>
      <w:r>
        <w:t xml:space="preserve">An dieser Stelle entsteht eine zusätzliche mathematische Ebene. Ist </w:t>
      </w:r>
      <m:oMath>
        <m:r>
          <w:rPr>
            <w:rFonts w:ascii="Cambria Math" w:hAnsi="Cambria Math"/>
          </w:rPr>
          <m:t xml:space="preserve">a </m:t>
        </m:r>
        <m:r>
          <m:rPr>
            <m:sty m:val="p"/>
          </m:rPr>
          <w:rPr>
            <w:rFonts w:ascii="Cambria Math" w:hAnsi="Cambria Math"/>
          </w:rPr>
          <m:t>∈</m:t>
        </m:r>
        <m:r>
          <w:rPr>
            <w:rFonts w:ascii="Cambria Math" w:hAnsi="Cambria Math"/>
          </w:rPr>
          <m:t>A</m:t>
        </m:r>
      </m:oMath>
      <w:r>
        <w:t xml:space="preserve">, dann ist </w:t>
      </w:r>
      <m:oMath>
        <m:r>
          <w:rPr>
            <w:rFonts w:ascii="Cambria Math" w:hAnsi="Cambria Math"/>
          </w:rPr>
          <m:t>a</m:t>
        </m:r>
      </m:oMath>
      <w:r>
        <w:t xml:space="preserve"> ein Element der ursprünglichen Menge. Ist dagegen </w:t>
      </w:r>
      <m:oMath>
        <m:r>
          <w:rPr>
            <w:rFonts w:ascii="Cambria Math" w:hAnsi="Cambria Math"/>
          </w:rPr>
          <m:t>B</m:t>
        </m:r>
        <m:r>
          <m:rPr>
            <m:sty m:val="p"/>
          </m:rPr>
          <w:rPr>
            <w:rFonts w:ascii="Cambria Math" w:hAnsi="Cambria Math"/>
          </w:rPr>
          <m:t>∈</m:t>
        </m:r>
        <m:r>
          <m:rPr>
            <m:scr m:val="script"/>
          </m:rPr>
          <w:rPr>
            <w:rFonts w:ascii="Cambria Math" w:hAnsi="Cambria Math" w:cs="Cambria Math"/>
          </w:rPr>
          <m:t>P</m:t>
        </m:r>
        <m:d>
          <m:dPr>
            <m:ctrlPr>
              <w:rPr>
                <w:rFonts w:ascii="Cambria Math" w:hAnsi="Cambria Math"/>
                <w:i/>
              </w:rPr>
            </m:ctrlPr>
          </m:dPr>
          <m:e>
            <m:r>
              <w:rPr>
                <w:rFonts w:ascii="Cambria Math" w:hAnsi="Cambria Math"/>
              </w:rPr>
              <m:t>A</m:t>
            </m:r>
          </m:e>
        </m:d>
      </m:oMath>
      <w:r>
        <w:t xml:space="preserve">, dann ist </w:t>
      </w:r>
      <m:oMath>
        <m:r>
          <w:rPr>
            <w:rFonts w:ascii="Cambria Math" w:hAnsi="Cambria Math"/>
          </w:rPr>
          <m:t>B</m:t>
        </m:r>
      </m:oMath>
      <w:r>
        <w:t xml:space="preserve"> selbst eine Menge und zugleich eine Teilmenge von </w:t>
      </w:r>
      <m:oMath>
        <m:r>
          <w:rPr>
            <w:rFonts w:ascii="Cambria Math" w:hAnsi="Cambria Math"/>
          </w:rPr>
          <m:t>A</m:t>
        </m:r>
      </m:oMath>
      <w:r>
        <w:t>.</w:t>
      </w:r>
    </w:p>
    <w:p w:rsidR="007802DD" w:rsidRDefault="007802DD" w:rsidP="007802DD">
      <w:pPr>
        <w:pStyle w:val="StandardWeb"/>
      </w:pPr>
      <w:r>
        <w:t>Bereits bei einer Menge mit zwei unterscheidbaren Elementen wird sichtbar, dass die Potenzmenge sämtliche möglichen Teilbereiche erfasst.</w:t>
      </w:r>
    </w:p>
    <w:p w:rsidR="007802DD" w:rsidRDefault="007802DD" w:rsidP="007802DD">
      <w:pPr>
        <w:pStyle w:val="StandardWeb"/>
      </w:pPr>
      <w:r>
        <w:rPr>
          <w:rStyle w:val="Fett"/>
        </w:rPr>
        <w:t xml:space="preserve">Gleichung (M1.11) – Potenzmenge einer </w:t>
      </w:r>
      <w:proofErr w:type="spellStart"/>
      <w:r>
        <w:rPr>
          <w:rStyle w:val="Fett"/>
        </w:rPr>
        <w:t>zweielementigen</w:t>
      </w:r>
      <w:proofErr w:type="spellEnd"/>
      <w:r>
        <w:rPr>
          <w:rStyle w:val="Fett"/>
        </w:rPr>
        <w:t xml:space="preserve"> Menge</w:t>
      </w:r>
    </w:p>
    <w:p w:rsidR="007802DD" w:rsidRDefault="00AF300A" w:rsidP="00AF300A">
      <w:pPr>
        <w:pStyle w:val="Formel"/>
      </w:pPr>
      <m:oMath>
        <m:r>
          <m:rPr>
            <m:scr m:val="script"/>
          </m:rPr>
          <w:rPr>
            <w:rFonts w:cs="Cambria Math"/>
          </w:rPr>
          <m:t>P</m:t>
        </m:r>
        <m:d>
          <m:dPr>
            <m:ctrlPr/>
          </m:dPr>
          <m:e>
            <m:r>
              <m:t>A</m:t>
            </m:r>
          </m:e>
        </m:d>
        <m:r>
          <m:t>=∅,a,b,a,b</m:t>
        </m:r>
      </m:oMath>
      <w:r>
        <w:t xml:space="preserve"> </w:t>
      </w:r>
      <w:r>
        <w:tab/>
        <w:t>(M1.11)</w:t>
      </w:r>
    </w:p>
    <w:p w:rsidR="00AF300A" w:rsidRDefault="00AF300A" w:rsidP="007802DD">
      <w:pPr>
        <w:pStyle w:val="StandardWeb"/>
      </w:pPr>
      <w:proofErr w:type="spellStart"/>
      <w:r>
        <w:t>aa</w:t>
      </w:r>
      <w:proofErr w:type="spellEnd"/>
      <w:r>
        <w:t xml:space="preserve"> </w:t>
      </w:r>
      <w:proofErr w:type="spellStart"/>
      <w:r>
        <w:t>aa</w:t>
      </w:r>
      <w:proofErr w:type="spellEnd"/>
      <w:r>
        <w:t xml:space="preserve"> </w:t>
      </w:r>
      <w:proofErr w:type="spellStart"/>
      <w:r>
        <w:t>aa</w:t>
      </w:r>
      <w:proofErr w:type="spellEnd"/>
    </w:p>
    <w:p w:rsidR="007802DD" w:rsidRDefault="007802DD" w:rsidP="007802DD">
      <w:pPr>
        <w:pStyle w:val="StandardWeb"/>
      </w:pPr>
      <w:r>
        <w:t xml:space="preserve">Für eine endliche Menge mit genau </w:t>
      </w:r>
      <m:oMath>
        <m:r>
          <w:rPr>
            <w:rFonts w:ascii="Cambria Math" w:hAnsi="Cambria Math"/>
          </w:rPr>
          <m:t>n</m:t>
        </m:r>
      </m:oMath>
      <w:r>
        <w:t xml:space="preserve"> Elementen besitzt die Potenzmenge </w:t>
      </w:r>
      <m:oMath>
        <m:sSup>
          <m:sSupPr>
            <m:ctrlPr>
              <w:rPr>
                <w:rFonts w:ascii="Cambria Math" w:hAnsi="Cambria Math"/>
                <w:i/>
              </w:rPr>
            </m:ctrlPr>
          </m:sSupPr>
          <m:e>
            <m:r>
              <w:rPr>
                <w:rFonts w:ascii="Cambria Math" w:hAnsi="Cambria Math"/>
              </w:rPr>
              <m:t>2</m:t>
            </m:r>
          </m:e>
          <m:sup>
            <m:r>
              <w:rPr>
                <w:rFonts w:ascii="Cambria Math" w:hAnsi="Cambria Math"/>
              </w:rPr>
              <m:t>n</m:t>
            </m:r>
          </m:sup>
        </m:sSup>
      </m:oMath>
      <w:r>
        <w:t xml:space="preserve"> Elemente.</w:t>
      </w:r>
    </w:p>
    <w:p w:rsidR="007802DD" w:rsidRDefault="007802DD" w:rsidP="007802DD">
      <w:pPr>
        <w:pStyle w:val="StandardWeb"/>
      </w:pPr>
      <w:r>
        <w:rPr>
          <w:rStyle w:val="Fett"/>
        </w:rPr>
        <w:t>Gleichung (M1.12) – Mächtigkeit der Potenzmenge einer endlichen Menge</w:t>
      </w:r>
    </w:p>
    <w:p w:rsidR="007802DD" w:rsidRDefault="00AF300A" w:rsidP="00AF300A">
      <w:pPr>
        <w:pStyle w:val="Formel"/>
      </w:pPr>
      <m:oMath>
        <m:d>
          <m:dPr>
            <m:begChr m:val="|"/>
            <m:endChr m:val="|"/>
            <m:ctrlPr/>
          </m:dPr>
          <m:e>
            <m:r>
              <m:t>A</m:t>
            </m:r>
          </m:e>
        </m:d>
        <m:r>
          <m:t>=n⇒</m:t>
        </m:r>
        <m:d>
          <m:dPr>
            <m:begChr m:val="|"/>
            <m:endChr m:val="|"/>
            <m:ctrlPr/>
          </m:dPr>
          <m:e>
            <m:r>
              <m:rPr>
                <m:scr m:val="script"/>
              </m:rPr>
              <w:rPr>
                <w:rFonts w:cs="Cambria Math"/>
              </w:rPr>
              <m:t>P</m:t>
            </m:r>
            <m:d>
              <m:dPr>
                <m:ctrlPr/>
              </m:dPr>
              <m:e>
                <m:r>
                  <m:t>A</m:t>
                </m:r>
              </m:e>
            </m:d>
          </m:e>
        </m:d>
        <m:r>
          <m:t>=</m:t>
        </m:r>
        <m:sSup>
          <m:sSupPr>
            <m:ctrlPr/>
          </m:sSupPr>
          <m:e>
            <m:r>
              <m:t>2</m:t>
            </m:r>
          </m:e>
          <m:sup>
            <m:r>
              <m:t>n</m:t>
            </m:r>
          </m:sup>
        </m:sSup>
      </m:oMath>
      <w:r>
        <w:t xml:space="preserve"> </w:t>
      </w:r>
      <w:r>
        <w:tab/>
        <w:t>(M1.12)</w:t>
      </w:r>
    </w:p>
    <w:p w:rsidR="00AF300A" w:rsidRDefault="00AF300A" w:rsidP="007802DD">
      <w:pPr>
        <w:pStyle w:val="StandardWeb"/>
      </w:pPr>
      <w:proofErr w:type="spellStart"/>
      <w:r>
        <w:t>aa</w:t>
      </w:r>
      <w:proofErr w:type="spellEnd"/>
      <w:r>
        <w:t xml:space="preserve"> </w:t>
      </w:r>
      <w:proofErr w:type="spellStart"/>
      <w:r>
        <w:t>aa</w:t>
      </w:r>
      <w:proofErr w:type="spellEnd"/>
      <w:r>
        <w:t xml:space="preserve"> </w:t>
      </w:r>
      <w:proofErr w:type="spellStart"/>
      <w:r>
        <w:t>aa</w:t>
      </w:r>
      <w:proofErr w:type="spellEnd"/>
    </w:p>
    <w:p w:rsidR="007802DD" w:rsidRDefault="007802DD" w:rsidP="007802DD">
      <w:pPr>
        <w:pStyle w:val="StandardWeb"/>
      </w:pPr>
      <w:r>
        <w:t xml:space="preserve">Die Beziehung lässt sich unmittelbar verstehen. Für jedes Element von </w:t>
      </w:r>
      <m:oMath>
        <m:r>
          <w:rPr>
            <w:rFonts w:ascii="Cambria Math" w:hAnsi="Cambria Math"/>
          </w:rPr>
          <m:t>A</m:t>
        </m:r>
      </m:oMath>
      <w:r>
        <w:t xml:space="preserve"> bestehen bei der Bildung einer Teilmenge genau zwei Möglichkeiten: Es wird aufgenommen oder nicht aufgenommen. Bei </w:t>
      </w:r>
      <m:oMath>
        <m:r>
          <w:rPr>
            <w:rFonts w:ascii="Cambria Math" w:hAnsi="Cambria Math"/>
          </w:rPr>
          <m:t>n</m:t>
        </m:r>
      </m:oMath>
      <w:r>
        <w:t xml:space="preserve"> Elementen entstehen dadurch insgesamt </w:t>
      </w:r>
      <m:oMath>
        <m:sSup>
          <m:sSupPr>
            <m:ctrlPr>
              <w:rPr>
                <w:rFonts w:ascii="Cambria Math" w:hAnsi="Cambria Math"/>
                <w:i/>
              </w:rPr>
            </m:ctrlPr>
          </m:sSupPr>
          <m:e>
            <m:r>
              <w:rPr>
                <w:rFonts w:ascii="Cambria Math" w:hAnsi="Cambria Math"/>
              </w:rPr>
              <m:t>2</m:t>
            </m:r>
          </m:e>
          <m:sup>
            <m:r>
              <w:rPr>
                <w:rFonts w:ascii="Cambria Math" w:hAnsi="Cambria Math"/>
              </w:rPr>
              <m:t>n</m:t>
            </m:r>
          </m:sup>
        </m:sSup>
      </m:oMath>
      <w:r>
        <w:t xml:space="preserve"> Auswahlkombinationen. Die Potenzmengenbildung gehört unmittelbar zum klassischen mengentheoretischen Aufbau [[6]] [[80]].</w:t>
      </w:r>
    </w:p>
    <w:p w:rsidR="007802DD" w:rsidRDefault="007802DD" w:rsidP="007802DD">
      <w:pPr>
        <w:pStyle w:val="StandardWeb"/>
      </w:pPr>
      <w:r>
        <w:t>Für meinen späteren Aufbau ist die Potenzmenge deshalb interessant, weil sie nicht nur einzelne Zustände, sondern sämtliche formal möglichen Teilbereiche eines Zustandsraums zugänglich macht. Daraus folgt jedoch noch nicht, dass jede Teilmenge eine physikalisch sinnvolle Systemgrenze, einen beobachtbaren Zustandsbereich oder einen realisierbaren Zustandstyp beschreibt. Die Potenzmenge stellt zunächst ausschließlich die vollständige mengentheoretische Auswahlstruktur bereit.</w:t>
      </w:r>
    </w:p>
    <w:p w:rsidR="007802DD" w:rsidRDefault="007802DD" w:rsidP="007802DD">
      <w:pPr>
        <w:pStyle w:val="berschrift2"/>
      </w:pPr>
      <w:r>
        <w:t>M1.4 Geordnete Paare und kartesisches Produkt</w:t>
      </w:r>
    </w:p>
    <w:p w:rsidR="007802DD" w:rsidRDefault="007802DD" w:rsidP="007802DD">
      <w:pPr>
        <w:pStyle w:val="StandardWeb"/>
      </w:pPr>
      <w:r>
        <w:t xml:space="preserve">Eine gewöhnliche Menge enthält keine Positionsinformation ihrer Elemente. Die beiden Mengen </w:t>
      </w:r>
      <m:oMath>
        <m:r>
          <w:rPr>
            <w:rFonts w:ascii="Cambria Math" w:hAnsi="Cambria Math"/>
          </w:rPr>
          <m:t>a,b</m:t>
        </m:r>
      </m:oMath>
      <w:r>
        <w:t xml:space="preserve"> und </w:t>
      </w:r>
      <m:oMath>
        <m:r>
          <w:rPr>
            <w:rFonts w:ascii="Cambria Math" w:hAnsi="Cambria Math"/>
          </w:rPr>
          <m:t>b,a</m:t>
        </m:r>
      </m:oMath>
      <w:r>
        <w:t xml:space="preserve"> si</w:t>
      </w:r>
      <w:proofErr w:type="spellStart"/>
      <w:r>
        <w:t>nd</w:t>
      </w:r>
      <w:proofErr w:type="spellEnd"/>
      <w:r>
        <w:t xml:space="preserve"> deshalb mathematisch identisch. Sobald ich jedoch gerichtete Beziehungen oder Funktionen beschreiben möchte, muss ich zwischen einer ersten und einer zweiten Komponente unterscheiden können. Diese Aufgabe übernimmt das geordnete Paar.</w:t>
      </w:r>
    </w:p>
    <w:p w:rsidR="007802DD" w:rsidRDefault="007802DD" w:rsidP="007802DD">
      <w:pPr>
        <w:pStyle w:val="StandardWeb"/>
      </w:pPr>
      <w:r>
        <w:t xml:space="preserve">Für verschiedene Elemente </w:t>
      </w:r>
      <m:oMath>
        <m:r>
          <w:rPr>
            <w:rFonts w:ascii="Cambria Math" w:hAnsi="Cambria Math"/>
          </w:rPr>
          <m:t>a</m:t>
        </m:r>
      </m:oMath>
      <w:r>
        <w:t xml:space="preserve"> und </w:t>
      </w:r>
      <m:oMath>
        <m:r>
          <w:rPr>
            <w:rFonts w:ascii="Cambria Math" w:hAnsi="Cambria Math"/>
          </w:rPr>
          <m:t>b</m:t>
        </m:r>
      </m:oMath>
      <w:r>
        <w:t xml:space="preserve"> ist die Vertauschung der Komponenten im Allgemeinen nicht identisch mit dem ursprünglichen geordneten Paar.</w:t>
      </w:r>
    </w:p>
    <w:p w:rsidR="007802DD" w:rsidRDefault="007802DD" w:rsidP="007802DD">
      <w:pPr>
        <w:pStyle w:val="StandardWeb"/>
      </w:pPr>
      <w:r>
        <w:rPr>
          <w:rStyle w:val="Fett"/>
        </w:rPr>
        <w:t>Gleichung (M1.13) – Reihenfolge im geordneten Paar</w:t>
      </w:r>
    </w:p>
    <w:p w:rsidR="007802DD" w:rsidRDefault="00AF300A" w:rsidP="00AF300A">
      <w:pPr>
        <w:pStyle w:val="Formel"/>
      </w:pPr>
      <m:oMath>
        <m:d>
          <m:dPr>
            <m:ctrlPr/>
          </m:dPr>
          <m:e>
            <m:r>
              <m:t>a,b</m:t>
            </m:r>
          </m:e>
        </m:d>
        <m:r>
          <m:t>≠</m:t>
        </m:r>
        <m:d>
          <m:dPr>
            <m:ctrlPr/>
          </m:dPr>
          <m:e>
            <m:r>
              <m:t>b,a</m:t>
            </m:r>
          </m:e>
        </m:d>
        <m:r>
          <m:t> </m:t>
        </m:r>
        <m:r>
          <m:rPr>
            <m:nor/>
          </m:rPr>
          <m:t xml:space="preserve">für </m:t>
        </m:r>
        <m:r>
          <m:t>a≠b</m:t>
        </m:r>
      </m:oMath>
      <w:r>
        <w:t xml:space="preserve"> </w:t>
      </w:r>
      <w:r>
        <w:tab/>
        <w:t>(M1.13)</w:t>
      </w:r>
    </w:p>
    <w:p w:rsidR="007802DD" w:rsidRDefault="007802DD" w:rsidP="007802DD">
      <w:pPr>
        <w:pStyle w:val="StandardWeb"/>
      </w:pPr>
      <w:r>
        <w:t>Die Reihenfolge innerhalb eines geordneten Paars ist zunächst rein formal. Sie darf nicht ohne zusätzliche Voraussetzungen als zeitliche Reihenfolge, räumliche Richtung oder Kausalrichtung interpretiert werden. Geordnete Paare bilden vielmehr die formale Grundlage für Relationen und Funktionen [[6]] [[80]].</w:t>
      </w:r>
    </w:p>
    <w:p w:rsidR="007802DD" w:rsidRDefault="007802DD" w:rsidP="007802DD">
      <w:pPr>
        <w:pStyle w:val="StandardWeb"/>
      </w:pPr>
      <w:r>
        <w:t xml:space="preserve">Aus zwei Mengen </w:t>
      </w:r>
      <m:oMath>
        <m:r>
          <w:rPr>
            <w:rFonts w:ascii="Cambria Math" w:hAnsi="Cambria Math"/>
          </w:rPr>
          <m:t>A</m:t>
        </m:r>
      </m:oMath>
      <w:r>
        <w:t xml:space="preserve"> und </w:t>
      </w:r>
      <m:oMath>
        <m:r>
          <w:rPr>
            <w:rFonts w:ascii="Cambria Math" w:hAnsi="Cambria Math"/>
          </w:rPr>
          <m:t>B</m:t>
        </m:r>
      </m:oMath>
      <w:r>
        <w:t xml:space="preserve"> kann ich anschließend die Menge aller geordneten Paare bilden, deren erste Komponente aus </w:t>
      </w:r>
      <m:oMath>
        <m:r>
          <w:rPr>
            <w:rFonts w:ascii="Cambria Math" w:hAnsi="Cambria Math"/>
          </w:rPr>
          <m:t>A</m:t>
        </m:r>
      </m:oMath>
      <w:r>
        <w:t xml:space="preserve"> und deren zweite Komponente aus </w:t>
      </w:r>
      <m:oMath>
        <m:r>
          <w:rPr>
            <w:rFonts w:ascii="Cambria Math" w:hAnsi="Cambria Math"/>
          </w:rPr>
          <m:t>B</m:t>
        </m:r>
      </m:oMath>
      <w:r>
        <w:t xml:space="preserve"> stammt. Diese Menge ist das kartesische Produkt.</w:t>
      </w:r>
    </w:p>
    <w:p w:rsidR="007802DD" w:rsidRDefault="007802DD" w:rsidP="007802DD">
      <w:pPr>
        <w:pStyle w:val="StandardWeb"/>
      </w:pPr>
      <w:r>
        <w:rPr>
          <w:rStyle w:val="Fett"/>
        </w:rPr>
        <w:t>Gleichung (M1.14) – Kartesisches Produkt</w:t>
      </w:r>
    </w:p>
    <w:p w:rsidR="007802DD" w:rsidRDefault="00AF300A" w:rsidP="00AF300A">
      <w:pPr>
        <w:pStyle w:val="Formel"/>
      </w:pPr>
      <m:oMath>
        <m:r>
          <m:t>A×B=</m:t>
        </m:r>
        <m:d>
          <m:dPr>
            <m:ctrlPr/>
          </m:dPr>
          <m:e>
            <m:r>
              <m:t>a,b</m:t>
            </m:r>
          </m:e>
        </m:d>
        <m:r>
          <m:t>|a∈A∧b∈B</m:t>
        </m:r>
      </m:oMath>
      <w:r>
        <w:t xml:space="preserve"> </w:t>
      </w:r>
      <w:r>
        <w:tab/>
        <w:t>(M1.14)</w:t>
      </w:r>
    </w:p>
    <w:p w:rsidR="00AF300A" w:rsidRDefault="00AF300A" w:rsidP="007802DD">
      <w:pPr>
        <w:pStyle w:val="StandardWeb"/>
      </w:pPr>
      <w:proofErr w:type="spellStart"/>
      <w:r>
        <w:t>aa</w:t>
      </w:r>
      <w:proofErr w:type="spellEnd"/>
      <w:r>
        <w:t xml:space="preserve"> </w:t>
      </w:r>
      <w:proofErr w:type="spellStart"/>
      <w:r>
        <w:t>aa</w:t>
      </w:r>
      <w:proofErr w:type="spellEnd"/>
      <w:r>
        <w:t xml:space="preserve"> </w:t>
      </w:r>
      <w:proofErr w:type="spellStart"/>
      <w:r>
        <w:t>aa</w:t>
      </w:r>
      <w:proofErr w:type="spellEnd"/>
    </w:p>
    <w:p w:rsidR="007802DD" w:rsidRDefault="007802DD" w:rsidP="007802DD">
      <w:pPr>
        <w:pStyle w:val="StandardWeb"/>
      </w:pPr>
      <w:r>
        <w:t xml:space="preserve">Das kartesische Produkt bestimmt damit den formal möglichen Paarungsraum. Eine Relation wählt daraus bestimmte Paare aus; eine Funktion schränkt diese Auswahl zusätzlich durch die Eindeutigkeitsforderung ein. Das kartesische Produkt ist deshalb nicht selbst die Beziehung </w:t>
      </w:r>
      <w:r>
        <w:lastRenderedPageBreak/>
        <w:t>zwischen zwei Bereichen, sondern zunächst der Raum aller zulässigen geordneten Kombinationen.</w:t>
      </w:r>
    </w:p>
    <w:p w:rsidR="007802DD" w:rsidRDefault="007802DD" w:rsidP="007802DD">
      <w:pPr>
        <w:pStyle w:val="StandardWeb"/>
      </w:pPr>
      <w:r>
        <w:t>Für endliche Mengen lässt sich die Anzahl der möglichen Paare unmittelbar aus den Mächtigkeiten der Ausgangsmengen bestimmen.</w:t>
      </w:r>
    </w:p>
    <w:p w:rsidR="007802DD" w:rsidRDefault="007802DD" w:rsidP="007802DD">
      <w:pPr>
        <w:pStyle w:val="StandardWeb"/>
      </w:pPr>
      <w:r>
        <w:rPr>
          <w:rStyle w:val="Fett"/>
        </w:rPr>
        <w:t>Gleichung (M1.15) – Mächtigkeit eines endlichen kartesischen Produkts</w:t>
      </w:r>
    </w:p>
    <w:p w:rsidR="007802DD" w:rsidRDefault="00AF300A" w:rsidP="00AF300A">
      <w:pPr>
        <w:pStyle w:val="Formel"/>
      </w:pPr>
      <m:oMath>
        <m:d>
          <m:dPr>
            <m:begChr m:val="|"/>
            <m:endChr m:val="|"/>
            <m:ctrlPr/>
          </m:dPr>
          <m:e>
            <m:r>
              <m:t>A×B</m:t>
            </m:r>
          </m:e>
        </m:d>
        <m:r>
          <m:t>=</m:t>
        </m:r>
        <m:d>
          <m:dPr>
            <m:begChr m:val="|"/>
            <m:endChr m:val="|"/>
            <m:ctrlPr/>
          </m:dPr>
          <m:e>
            <m:r>
              <m:t>A</m:t>
            </m:r>
          </m:e>
        </m:d>
        <m:r>
          <m:t>⋅</m:t>
        </m:r>
        <m:d>
          <m:dPr>
            <m:begChr m:val="|"/>
            <m:endChr m:val="|"/>
            <m:ctrlPr/>
          </m:dPr>
          <m:e>
            <m:r>
              <m:t>B</m:t>
            </m:r>
          </m:e>
        </m:d>
      </m:oMath>
      <w:r>
        <w:t xml:space="preserve"> </w:t>
      </w:r>
      <w:r>
        <w:tab/>
        <w:t>(M1.15)</w:t>
      </w:r>
    </w:p>
    <w:p w:rsidR="007802DD" w:rsidRDefault="007802DD" w:rsidP="007802DD">
      <w:pPr>
        <w:pStyle w:val="StandardWeb"/>
      </w:pPr>
      <w:r>
        <w:t xml:space="preserve">Besitzt </w:t>
      </w:r>
      <m:oMath>
        <m:r>
          <w:rPr>
            <w:rFonts w:ascii="Cambria Math" w:hAnsi="Cambria Math"/>
          </w:rPr>
          <m:t>A</m:t>
        </m:r>
      </m:oMath>
      <w:r>
        <w:t xml:space="preserve"> genau </w:t>
      </w:r>
      <m:oMath>
        <m:d>
          <m:dPr>
            <m:begChr m:val="|"/>
            <m:endChr m:val="|"/>
            <m:ctrlPr>
              <w:rPr>
                <w:rFonts w:ascii="Cambria Math" w:hAnsi="Cambria Math"/>
                <w:i/>
              </w:rPr>
            </m:ctrlPr>
          </m:dPr>
          <m:e>
            <m:r>
              <w:rPr>
                <w:rFonts w:ascii="Cambria Math" w:hAnsi="Cambria Math"/>
              </w:rPr>
              <m:t>A</m:t>
            </m:r>
          </m:e>
        </m:d>
      </m:oMath>
      <w:r>
        <w:t xml:space="preserve"> Elemente und </w:t>
      </w:r>
      <m:oMath>
        <m:r>
          <w:rPr>
            <w:rFonts w:ascii="Cambria Math" w:hAnsi="Cambria Math"/>
          </w:rPr>
          <m:t>B</m:t>
        </m:r>
      </m:oMath>
      <w:r>
        <w:t xml:space="preserve"> genau </w:t>
      </w:r>
      <m:oMath>
        <m:d>
          <m:dPr>
            <m:begChr m:val="|"/>
            <m:endChr m:val="|"/>
            <m:ctrlPr>
              <w:rPr>
                <w:rFonts w:ascii="Cambria Math" w:hAnsi="Cambria Math"/>
                <w:i/>
              </w:rPr>
            </m:ctrlPr>
          </m:dPr>
          <m:e>
            <m:r>
              <w:rPr>
                <w:rFonts w:ascii="Cambria Math" w:hAnsi="Cambria Math"/>
              </w:rPr>
              <m:t>B</m:t>
            </m:r>
          </m:e>
        </m:d>
      </m:oMath>
      <w:r>
        <w:t xml:space="preserve"> Elemente, kann jedes Element aus </w:t>
      </w:r>
      <m:oMath>
        <m:r>
          <w:rPr>
            <w:rFonts w:ascii="Cambria Math" w:hAnsi="Cambria Math"/>
          </w:rPr>
          <m:t>A</m:t>
        </m:r>
      </m:oMath>
      <w:r>
        <w:t xml:space="preserve"> mit jedem Element aus </w:t>
      </w:r>
      <m:oMath>
        <m:r>
          <w:rPr>
            <w:rFonts w:ascii="Cambria Math" w:hAnsi="Cambria Math"/>
          </w:rPr>
          <m:t>B</m:t>
        </m:r>
      </m:oMath>
      <w:r>
        <w:t xml:space="preserve"> ko</w:t>
      </w:r>
      <w:proofErr w:type="spellStart"/>
      <w:r>
        <w:t>mbiniert</w:t>
      </w:r>
      <w:proofErr w:type="spellEnd"/>
      <w:r>
        <w:t xml:space="preserve"> werden. Für die spätere Modellbildung ist deshalb zwischen dem vollständigen Möglichkeitsraum </w:t>
      </w:r>
      <m:oMath>
        <m:r>
          <w:rPr>
            <w:rFonts w:ascii="Cambria Math" w:hAnsi="Cambria Math"/>
          </w:rPr>
          <m:t xml:space="preserve">A </m:t>
        </m:r>
        <m:r>
          <m:rPr>
            <m:sty m:val="p"/>
          </m:rPr>
          <w:rPr>
            <w:rFonts w:ascii="Cambria Math" w:hAnsi="Cambria Math"/>
          </w:rPr>
          <m:t>×</m:t>
        </m:r>
        <m:r>
          <w:rPr>
            <w:rFonts w:ascii="Cambria Math" w:hAnsi="Cambria Math"/>
          </w:rPr>
          <m:t>B</m:t>
        </m:r>
      </m:oMath>
      <w:r>
        <w:t xml:space="preserve"> und der tatsächlich ausgewählten relationalen oder funktionalen Struktur zu unterscheiden.</w:t>
      </w:r>
    </w:p>
    <w:p w:rsidR="007802DD" w:rsidRDefault="007802DD" w:rsidP="007802DD">
      <w:pPr>
        <w:pStyle w:val="berschrift2"/>
      </w:pPr>
      <w:r>
        <w:t>M1.5 Bild, Teilbild und Urbild</w:t>
      </w:r>
    </w:p>
    <w:p w:rsidR="007802DD" w:rsidRDefault="007802DD" w:rsidP="007802DD">
      <w:pPr>
        <w:pStyle w:val="StandardWeb"/>
      </w:pPr>
      <w:r>
        <w:t xml:space="preserve">Im Haupttext wird die Funktion als eindeutige Zuordnung zwischen Definitions- und Zielbereich eingeführt. Für die vertiefte Arbeit muss ich zusätzlich unterscheiden, welche Elemente des Zielbereichs tatsächlich erreicht werden. Für eine Funktion </w:t>
      </w:r>
      <m:oMath>
        <m:r>
          <w:rPr>
            <w:rFonts w:ascii="Cambria Math" w:hAnsi="Cambria Math"/>
          </w:rPr>
          <m:t xml:space="preserve">f:A </m:t>
        </m:r>
        <m:r>
          <m:rPr>
            <m:sty m:val="p"/>
          </m:rPr>
          <w:rPr>
            <w:rFonts w:ascii="Cambria Math" w:hAnsi="Cambria Math"/>
          </w:rPr>
          <m:t>→</m:t>
        </m:r>
        <m:r>
          <w:rPr>
            <w:rFonts w:ascii="Cambria Math" w:hAnsi="Cambria Math"/>
          </w:rPr>
          <m:t>B</m:t>
        </m:r>
      </m:oMath>
      <w:r>
        <w:t xml:space="preserve"> ist das Bild der gesamten Definitionsmenge die Menge aller Funktionswerte, die durch Elemente aus </w:t>
      </w:r>
      <m:oMath>
        <m:r>
          <w:rPr>
            <w:rFonts w:ascii="Cambria Math" w:hAnsi="Cambria Math"/>
          </w:rPr>
          <m:t>A</m:t>
        </m:r>
      </m:oMath>
      <w:r>
        <w:t xml:space="preserve"> entstehen.</w:t>
      </w:r>
    </w:p>
    <w:p w:rsidR="007802DD" w:rsidRDefault="007802DD" w:rsidP="007802DD">
      <w:pPr>
        <w:pStyle w:val="StandardWeb"/>
      </w:pPr>
      <w:r>
        <w:rPr>
          <w:rStyle w:val="Fett"/>
        </w:rPr>
        <w:t>Gleichung (M1.16) – Bild der Definitionsmenge</w:t>
      </w:r>
    </w:p>
    <w:p w:rsidR="007802DD" w:rsidRDefault="00AF300A" w:rsidP="00AF300A">
      <w:pPr>
        <w:pStyle w:val="Formel"/>
      </w:pPr>
      <m:oMath>
        <m:r>
          <m:t>f</m:t>
        </m:r>
        <m:d>
          <m:dPr>
            <m:ctrlPr/>
          </m:dPr>
          <m:e>
            <m:r>
              <m:t>A</m:t>
            </m:r>
          </m:e>
        </m:d>
        <m:r>
          <m:t>=f</m:t>
        </m:r>
        <m:d>
          <m:dPr>
            <m:ctrlPr/>
          </m:dPr>
          <m:e>
            <m:r>
              <m:t>a</m:t>
            </m:r>
          </m:e>
        </m:d>
        <m:r>
          <m:t>|a∈A⊆B</m:t>
        </m:r>
      </m:oMath>
      <w:r>
        <w:t xml:space="preserve"> </w:t>
      </w:r>
      <w:r>
        <w:tab/>
        <w:t>(M1.16)</w:t>
      </w:r>
    </w:p>
    <w:p w:rsidR="007802DD" w:rsidRDefault="007802DD" w:rsidP="007802DD">
      <w:pPr>
        <w:pStyle w:val="StandardWeb"/>
      </w:pPr>
      <w:r>
        <w:t xml:space="preserve">Damit ist das Bild </w:t>
      </w:r>
      <m:oMath>
        <m:r>
          <w:rPr>
            <w:rFonts w:ascii="Cambria Math" w:hAnsi="Cambria Math"/>
          </w:rPr>
          <m:t>f</m:t>
        </m:r>
        <m:d>
          <m:dPr>
            <m:ctrlPr>
              <w:rPr>
                <w:rFonts w:ascii="Cambria Math" w:hAnsi="Cambria Math"/>
                <w:i/>
              </w:rPr>
            </m:ctrlPr>
          </m:dPr>
          <m:e>
            <m:r>
              <w:rPr>
                <w:rFonts w:ascii="Cambria Math" w:hAnsi="Cambria Math"/>
              </w:rPr>
              <m:t>A</m:t>
            </m:r>
          </m:e>
        </m:d>
      </m:oMath>
      <w:r>
        <w:t xml:space="preserve"> stets eine Teilmenge des Zielbereichs </w:t>
      </w:r>
      <m:oMath>
        <m:r>
          <w:rPr>
            <w:rFonts w:ascii="Cambria Math" w:hAnsi="Cambria Math"/>
          </w:rPr>
          <m:t>B</m:t>
        </m:r>
      </m:oMath>
      <w:r>
        <w:t xml:space="preserve">. Die Gleichheit </w:t>
      </w:r>
      <m:oMath>
        <m:r>
          <w:rPr>
            <w:rFonts w:ascii="Cambria Math" w:hAnsi="Cambria Math"/>
          </w:rPr>
          <m:t>f</m:t>
        </m:r>
        <m:d>
          <m:dPr>
            <m:ctrlPr>
              <w:rPr>
                <w:rFonts w:ascii="Cambria Math" w:hAnsi="Cambria Math"/>
                <w:i/>
              </w:rPr>
            </m:ctrlPr>
          </m:dPr>
          <m:e>
            <m:r>
              <w:rPr>
                <w:rFonts w:ascii="Cambria Math" w:hAnsi="Cambria Math"/>
              </w:rPr>
              <m:t>A</m:t>
            </m:r>
          </m:e>
        </m:d>
        <m:r>
          <w:rPr>
            <w:rFonts w:ascii="Cambria Math" w:hAnsi="Cambria Math"/>
          </w:rPr>
          <m:t>=B</m:t>
        </m:r>
      </m:oMath>
      <w:r>
        <w:t xml:space="preserve"> entsteht erst unter der zusätzlichen Bedingung der Surjektivität. Enderton behandelt diese Unterscheidung zwischen Definitionsbereich, Zielbereich und Bild ausdrücklich [[80]].</w:t>
      </w:r>
    </w:p>
    <w:p w:rsidR="007802DD" w:rsidRDefault="007802DD" w:rsidP="007802DD">
      <w:pPr>
        <w:pStyle w:val="StandardWeb"/>
      </w:pPr>
      <w:r>
        <w:t xml:space="preserve">Für eine weiterführende analytische Verwendung von Mengen und Funktionen ziehe ich ergänzend </w:t>
      </w:r>
      <w:proofErr w:type="spellStart"/>
      <w:r>
        <w:t>Bartle</w:t>
      </w:r>
      <w:proofErr w:type="spellEnd"/>
      <w:r>
        <w:t xml:space="preserve"> und </w:t>
      </w:r>
      <w:proofErr w:type="spellStart"/>
      <w:r>
        <w:t>Sherbert</w:t>
      </w:r>
      <w:proofErr w:type="spellEnd"/>
      <w:r>
        <w:t xml:space="preserve"> heran. {[Robert G. </w:t>
      </w:r>
      <w:proofErr w:type="spellStart"/>
      <w:r>
        <w:t>Bartle</w:t>
      </w:r>
      <w:proofErr w:type="spellEnd"/>
      <w:r>
        <w:t xml:space="preserve">; Donald R. </w:t>
      </w:r>
      <w:proofErr w:type="spellStart"/>
      <w:r>
        <w:t>Sherbert</w:t>
      </w:r>
      <w:proofErr w:type="spellEnd"/>
      <w:r>
        <w:t xml:space="preserve">, John Wiley &amp; </w:t>
      </w:r>
      <w:proofErr w:type="spellStart"/>
      <w:r>
        <w:t>Sons</w:t>
      </w:r>
      <w:proofErr w:type="spellEnd"/>
      <w:r>
        <w:t xml:space="preserve">, 2011, Kapitel 1, Abschnitt „Sets and </w:t>
      </w:r>
      <w:proofErr w:type="spellStart"/>
      <w:r>
        <w:t>Functions</w:t>
      </w:r>
      <w:proofErr w:type="spellEnd"/>
      <w:r>
        <w:t xml:space="preserve">“, </w:t>
      </w:r>
      <w:proofErr w:type="spellStart"/>
      <w:r>
        <w:t>Introduction</w:t>
      </w:r>
      <w:proofErr w:type="spellEnd"/>
      <w:r>
        <w:t xml:space="preserve"> </w:t>
      </w:r>
      <w:proofErr w:type="spellStart"/>
      <w:r>
        <w:t>to</w:t>
      </w:r>
      <w:proofErr w:type="spellEnd"/>
      <w:r>
        <w:t xml:space="preserve"> Real Analysis, </w:t>
      </w:r>
      <w:proofErr w:type="spellStart"/>
      <w:r>
        <w:t>Fourth</w:t>
      </w:r>
      <w:proofErr w:type="spellEnd"/>
      <w:r>
        <w:t xml:space="preserve"> Edition, Hoboken, New Jersey</w:t>
      </w:r>
      <w:proofErr w:type="gramStart"/>
      <w:r>
        <w:t>]}[</w:t>
      </w:r>
      <w:proofErr w:type="gramEnd"/>
      <w:r>
        <w:t>[83]].</w:t>
      </w:r>
    </w:p>
    <w:p w:rsidR="007802DD" w:rsidRDefault="007802DD" w:rsidP="007802DD">
      <w:pPr>
        <w:pStyle w:val="StandardWeb"/>
      </w:pPr>
      <w:r>
        <w:t xml:space="preserve">Die Bildbildung kann ebenso auf einen eingeschränkten Teil der Definitionsmenge angewendet werden. Ist </w:t>
      </w:r>
      <m:oMath>
        <m:r>
          <w:rPr>
            <w:rFonts w:ascii="Cambria Math" w:hAnsi="Cambria Math"/>
          </w:rPr>
          <m:t xml:space="preserve">C </m:t>
        </m:r>
        <m:r>
          <m:rPr>
            <m:sty m:val="p"/>
          </m:rPr>
          <w:rPr>
            <w:rFonts w:ascii="Cambria Math" w:hAnsi="Cambria Math"/>
          </w:rPr>
          <m:t>⊆</m:t>
        </m:r>
        <m:r>
          <w:rPr>
            <w:rFonts w:ascii="Cambria Math" w:hAnsi="Cambria Math"/>
          </w:rPr>
          <m:t>A</m:t>
        </m:r>
      </m:oMath>
      <w:r>
        <w:t xml:space="preserve">, dann enthält </w:t>
      </w:r>
      <m:oMath>
        <m:r>
          <w:rPr>
            <w:rFonts w:ascii="Cambria Math" w:hAnsi="Cambria Math"/>
          </w:rPr>
          <m:t>f</m:t>
        </m:r>
        <m:d>
          <m:dPr>
            <m:ctrlPr>
              <w:rPr>
                <w:rFonts w:ascii="Cambria Math" w:hAnsi="Cambria Math"/>
                <w:i/>
              </w:rPr>
            </m:ctrlPr>
          </m:dPr>
          <m:e>
            <m:r>
              <w:rPr>
                <w:rFonts w:ascii="Cambria Math" w:hAnsi="Cambria Math"/>
              </w:rPr>
              <m:t>C</m:t>
            </m:r>
          </m:e>
        </m:d>
      </m:oMath>
      <w:r>
        <w:t xml:space="preserve"> genau diejenigen Werte, die aus Elemen</w:t>
      </w:r>
      <w:proofErr w:type="spellStart"/>
      <w:r>
        <w:t>ten</w:t>
      </w:r>
      <w:proofErr w:type="spellEnd"/>
      <w:r>
        <w:t xml:space="preserve"> dieses Teilbereichs hervorgehen.</w:t>
      </w:r>
    </w:p>
    <w:p w:rsidR="007802DD" w:rsidRDefault="007802DD" w:rsidP="007802DD">
      <w:pPr>
        <w:pStyle w:val="StandardWeb"/>
      </w:pPr>
      <w:r>
        <w:rPr>
          <w:rStyle w:val="Fett"/>
        </w:rPr>
        <w:t>Gleichung (M1.17) – Bild einer Teilmenge</w:t>
      </w:r>
    </w:p>
    <w:p w:rsidR="007802DD" w:rsidRDefault="00AF300A" w:rsidP="00AF300A">
      <w:pPr>
        <w:pStyle w:val="Formel"/>
      </w:pPr>
      <m:oMath>
        <m:r>
          <m:t>f</m:t>
        </m:r>
        <m:d>
          <m:dPr>
            <m:ctrlPr/>
          </m:dPr>
          <m:e>
            <m:r>
              <m:t>C</m:t>
            </m:r>
          </m:e>
        </m:d>
        <m:r>
          <m:t>=f</m:t>
        </m:r>
        <m:d>
          <m:dPr>
            <m:ctrlPr/>
          </m:dPr>
          <m:e>
            <m:r>
              <m:t>c</m:t>
            </m:r>
          </m:e>
        </m:d>
        <m:r>
          <m:t>|c∈C</m:t>
        </m:r>
      </m:oMath>
      <w:r>
        <w:t xml:space="preserve"> </w:t>
      </w:r>
      <w:r>
        <w:tab/>
        <w:t>(M1.17)</w:t>
      </w:r>
    </w:p>
    <w:p w:rsidR="00AF300A" w:rsidRDefault="00AF300A" w:rsidP="007802DD">
      <w:pPr>
        <w:pStyle w:val="StandardWeb"/>
      </w:pPr>
      <w:proofErr w:type="spellStart"/>
      <w:r>
        <w:t>aa</w:t>
      </w:r>
      <w:proofErr w:type="spellEnd"/>
      <w:r>
        <w:t xml:space="preserve"> </w:t>
      </w:r>
      <w:proofErr w:type="spellStart"/>
      <w:r>
        <w:t>aa</w:t>
      </w:r>
      <w:proofErr w:type="spellEnd"/>
      <w:r>
        <w:t xml:space="preserve"> </w:t>
      </w:r>
      <w:proofErr w:type="spellStart"/>
      <w:r>
        <w:t>aa</w:t>
      </w:r>
      <w:proofErr w:type="spellEnd"/>
    </w:p>
    <w:p w:rsidR="007802DD" w:rsidRDefault="007802DD" w:rsidP="007802DD">
      <w:pPr>
        <w:pStyle w:val="StandardWeb"/>
      </w:pPr>
      <w:r>
        <w:t xml:space="preserve">Diese Form erlaubt es mir, die Wirkung einer Funktion nicht nur auf einzelne Elemente, sondern auf vollständige Teilbereiche zu untersuchen. Dabei muss ich beachten, dass aus </w:t>
      </w:r>
      <w:r>
        <w:lastRenderedPageBreak/>
        <w:t>einer Bildbildung allein noch nicht folgt, dass zusätzliche algebraische, metrische oder topologische Strukturen erhalten bleiben.</w:t>
      </w:r>
    </w:p>
    <w:p w:rsidR="007802DD" w:rsidRDefault="007802DD" w:rsidP="007802DD">
      <w:pPr>
        <w:pStyle w:val="StandardWeb"/>
      </w:pPr>
      <w:r>
        <w:t xml:space="preserve">Umgekehrt kann ich zu einer Teilmenge </w:t>
      </w:r>
      <m:oMath>
        <m:r>
          <w:rPr>
            <w:rFonts w:ascii="Cambria Math" w:hAnsi="Cambria Math"/>
          </w:rPr>
          <m:t xml:space="preserve">D </m:t>
        </m:r>
        <m:r>
          <m:rPr>
            <m:sty m:val="p"/>
          </m:rPr>
          <w:rPr>
            <w:rFonts w:ascii="Cambria Math" w:hAnsi="Cambria Math"/>
          </w:rPr>
          <m:t>⊆</m:t>
        </m:r>
        <m:r>
          <w:rPr>
            <w:rFonts w:ascii="Cambria Math" w:hAnsi="Cambria Math"/>
          </w:rPr>
          <m:t>B</m:t>
        </m:r>
      </m:oMath>
      <w:r>
        <w:t xml:space="preserve"> diejenigen Elemente aus </w:t>
      </w:r>
      <m:oMath>
        <m:r>
          <w:rPr>
            <w:rFonts w:ascii="Cambria Math" w:hAnsi="Cambria Math"/>
          </w:rPr>
          <m:t>A</m:t>
        </m:r>
      </m:oMath>
      <w:r>
        <w:t xml:space="preserve"> bestimmen, deren Funktionswerte in </w:t>
      </w:r>
      <m:oMath>
        <m:r>
          <w:rPr>
            <w:rFonts w:ascii="Cambria Math" w:hAnsi="Cambria Math"/>
          </w:rPr>
          <m:t>D</m:t>
        </m:r>
      </m:oMath>
      <w:r>
        <w:t xml:space="preserve"> liegen.</w:t>
      </w:r>
    </w:p>
    <w:p w:rsidR="007802DD" w:rsidRDefault="007802DD" w:rsidP="007802DD">
      <w:pPr>
        <w:pStyle w:val="StandardWeb"/>
      </w:pPr>
      <w:r>
        <w:rPr>
          <w:rStyle w:val="Fett"/>
        </w:rPr>
        <w:t>Gleichung (M1.18) – Urbild einer Teilmenge</w:t>
      </w:r>
    </w:p>
    <w:p w:rsidR="007802DD" w:rsidRDefault="00AF300A" w:rsidP="00AF300A">
      <w:pPr>
        <w:pStyle w:val="Formel"/>
      </w:pPr>
      <m:oMath>
        <m:sSup>
          <m:sSupPr>
            <m:ctrlPr/>
          </m:sSupPr>
          <m:e>
            <m:r>
              <m:t>f</m:t>
            </m:r>
          </m:e>
          <m:sup>
            <m:r>
              <m:t>-1</m:t>
            </m:r>
          </m:sup>
        </m:sSup>
        <m:d>
          <m:dPr>
            <m:ctrlPr/>
          </m:dPr>
          <m:e>
            <m:r>
              <m:t>D</m:t>
            </m:r>
          </m:e>
        </m:d>
        <m:r>
          <m:t>=a∈A|f</m:t>
        </m:r>
        <m:d>
          <m:dPr>
            <m:ctrlPr/>
          </m:dPr>
          <m:e>
            <m:r>
              <m:t>a</m:t>
            </m:r>
          </m:e>
        </m:d>
        <m:r>
          <m:t>∈D</m:t>
        </m:r>
      </m:oMath>
      <w:r>
        <w:t xml:space="preserve"> </w:t>
      </w:r>
      <w:r>
        <w:tab/>
        <w:t>(M1.18)</w:t>
      </w:r>
    </w:p>
    <w:p w:rsidR="00AF300A" w:rsidRDefault="00AF300A" w:rsidP="007802DD">
      <w:pPr>
        <w:pStyle w:val="StandardWeb"/>
      </w:pPr>
      <w:proofErr w:type="spellStart"/>
      <w:r>
        <w:t>aa</w:t>
      </w:r>
      <w:proofErr w:type="spellEnd"/>
      <w:r>
        <w:t xml:space="preserve"> </w:t>
      </w:r>
      <w:proofErr w:type="spellStart"/>
      <w:r>
        <w:t>aa</w:t>
      </w:r>
      <w:proofErr w:type="spellEnd"/>
      <w:r>
        <w:t xml:space="preserve"> </w:t>
      </w:r>
      <w:proofErr w:type="spellStart"/>
      <w:r>
        <w:t>aa</w:t>
      </w:r>
      <w:proofErr w:type="spellEnd"/>
    </w:p>
    <w:p w:rsidR="007802DD" w:rsidRDefault="007802DD" w:rsidP="007802DD">
      <w:pPr>
        <w:pStyle w:val="StandardWeb"/>
      </w:pPr>
      <w:r>
        <w:t xml:space="preserve">Gerade die Schreibweise </w:t>
      </w:r>
      <m:oMath>
        <m:sSup>
          <m:sSupPr>
            <m:ctrlPr>
              <w:rPr>
                <w:rFonts w:ascii="Cambria Math" w:hAnsi="Cambria Math"/>
                <w:i/>
              </w:rPr>
            </m:ctrlPr>
          </m:sSupPr>
          <m:e>
            <m:r>
              <w:rPr>
                <w:rFonts w:ascii="Cambria Math" w:hAnsi="Cambria Math"/>
              </w:rPr>
              <m:t>f</m:t>
            </m:r>
          </m:e>
          <m:sup>
            <m:r>
              <w:rPr>
                <w:rFonts w:ascii="Cambria Math" w:hAnsi="Cambria Math"/>
              </w:rPr>
              <m:t>-1</m:t>
            </m:r>
          </m:sup>
        </m:sSup>
        <m:d>
          <m:dPr>
            <m:ctrlPr>
              <w:rPr>
                <w:rFonts w:ascii="Cambria Math" w:hAnsi="Cambria Math"/>
                <w:i/>
              </w:rPr>
            </m:ctrlPr>
          </m:dPr>
          <m:e>
            <m:r>
              <w:rPr>
                <w:rFonts w:ascii="Cambria Math" w:hAnsi="Cambria Math"/>
              </w:rPr>
              <m:t>D</m:t>
            </m:r>
          </m:e>
        </m:d>
      </m:oMath>
      <w:r>
        <w:t xml:space="preserve"> verlangt begriffliche Sorgfalt. Sie bezeichnet hier das Urbild einer Menge und nicht automatisch die Anwendung einer inversen Funktion. Eine Umkehrfunktion existiert nur unter zusätzlichen Voraussetzungen, während das Urbild einer Teilmenge unabhängig davon bestimmt werden kann [[80]] [[83]].</w:t>
      </w:r>
    </w:p>
    <w:p w:rsidR="007802DD" w:rsidRDefault="007802DD" w:rsidP="007802DD">
      <w:pPr>
        <w:pStyle w:val="StandardWeb"/>
      </w:pPr>
      <w:r>
        <w:t>Diese Trennung verhindert, dass eine mengentheoretische Rückverfolgung mit mathematischer Reversibilität verwechselt wird. Beim Urbild frage ich lediglich, welche Eingangselemente von der vorhandenen Funktion in einen bestimmten Zielbereich abgebildet werden. Ich muss die Funktion dazu nicht mathematisch umkehren können.</w:t>
      </w:r>
    </w:p>
    <w:p w:rsidR="007802DD" w:rsidRDefault="007802DD" w:rsidP="007802DD">
      <w:pPr>
        <w:pStyle w:val="berschrift2"/>
      </w:pPr>
      <w:r>
        <w:t>M1.6 Identität und Verkettung von Funktionen</w:t>
      </w:r>
    </w:p>
    <w:p w:rsidR="007802DD" w:rsidRDefault="007802DD" w:rsidP="007802DD">
      <w:pPr>
        <w:pStyle w:val="StandardWeb"/>
      </w:pPr>
      <w:r>
        <w:t xml:space="preserve">Für die spätere Untersuchung zusammengesetzter Transformationen benötige ich neben allgemeinen Funktionen eine ausgezeichnete Abbildung, die jedes Element unverändert lässt. Für eine Menge </w:t>
      </w:r>
      <m:oMath>
        <m:r>
          <w:rPr>
            <w:rFonts w:ascii="Cambria Math" w:hAnsi="Cambria Math"/>
          </w:rPr>
          <m:t>A</m:t>
        </m:r>
      </m:oMath>
      <w:r>
        <w:t xml:space="preserve"> ist die Identität </w:t>
      </w:r>
      <m:oMath>
        <m:r>
          <w:rPr>
            <w:rFonts w:ascii="Cambria Math" w:hAnsi="Cambria Math"/>
          </w:rPr>
          <m:t>i</m:t>
        </m:r>
        <m:sSub>
          <m:sSubPr>
            <m:ctrlPr>
              <w:rPr>
                <w:rFonts w:ascii="Cambria Math" w:hAnsi="Cambria Math"/>
                <w:i/>
              </w:rPr>
            </m:ctrlPr>
          </m:sSubPr>
          <m:e>
            <m:r>
              <w:rPr>
                <w:rFonts w:ascii="Cambria Math" w:hAnsi="Cambria Math"/>
              </w:rPr>
              <m:t>d</m:t>
            </m:r>
          </m:e>
          <m:sub>
            <m:r>
              <w:rPr>
                <w:rFonts w:ascii="Cambria Math" w:hAnsi="Cambria Math"/>
              </w:rPr>
              <m:t>A</m:t>
            </m:r>
          </m:sub>
        </m:sSub>
        <m:r>
          <w:rPr>
            <w:rFonts w:ascii="Cambria Math" w:hAnsi="Cambria Math"/>
          </w:rPr>
          <m:t>:A</m:t>
        </m:r>
        <m:r>
          <m:rPr>
            <m:sty m:val="p"/>
          </m:rPr>
          <w:rPr>
            <w:rFonts w:ascii="Cambria Math" w:hAnsi="Cambria Math"/>
          </w:rPr>
          <m:t>→</m:t>
        </m:r>
        <m:r>
          <w:rPr>
            <w:rFonts w:ascii="Cambria Math" w:hAnsi="Cambria Math"/>
          </w:rPr>
          <m:t>A</m:t>
        </m:r>
      </m:oMath>
      <w:r>
        <w:t xml:space="preserve"> dadurch bestimmt, dass jedem Element </w:t>
      </w:r>
      <m:oMath>
        <m:r>
          <w:rPr>
            <w:rFonts w:ascii="Cambria Math" w:hAnsi="Cambria Math"/>
          </w:rPr>
          <m:t xml:space="preserve">a </m:t>
        </m:r>
        <m:r>
          <m:rPr>
            <m:sty m:val="p"/>
          </m:rPr>
          <w:rPr>
            <w:rFonts w:ascii="Cambria Math" w:hAnsi="Cambria Math"/>
          </w:rPr>
          <m:t>∈</m:t>
        </m:r>
        <m:r>
          <w:rPr>
            <w:rFonts w:ascii="Cambria Math" w:hAnsi="Cambria Math"/>
          </w:rPr>
          <m:t>A</m:t>
        </m:r>
      </m:oMath>
      <w:r>
        <w:t xml:space="preserve"> wiederum dasselbe Element </w:t>
      </w:r>
      <m:oMath>
        <m:r>
          <w:rPr>
            <w:rFonts w:ascii="Cambria Math" w:hAnsi="Cambria Math"/>
          </w:rPr>
          <m:t>a</m:t>
        </m:r>
      </m:oMath>
      <w:r>
        <w:t xml:space="preserve"> zugeordnet wird.</w:t>
      </w:r>
    </w:p>
    <w:p w:rsidR="007802DD" w:rsidRDefault="007802DD" w:rsidP="007802DD">
      <w:pPr>
        <w:pStyle w:val="StandardWeb"/>
      </w:pPr>
      <w:r>
        <w:rPr>
          <w:rStyle w:val="Fett"/>
        </w:rPr>
        <w:t>Gleichung (M1.19) – Identische Funktion</w:t>
      </w:r>
    </w:p>
    <w:p w:rsidR="007802DD" w:rsidRDefault="00AF300A" w:rsidP="00AF300A">
      <w:pPr>
        <w:pStyle w:val="Formel"/>
      </w:pPr>
      <m:oMath>
        <m:r>
          <m:t>i</m:t>
        </m:r>
        <m:sSub>
          <m:sSubPr>
            <m:ctrlPr/>
          </m:sSubPr>
          <m:e>
            <m:r>
              <m:t>d</m:t>
            </m:r>
          </m:e>
          <m:sub>
            <m:r>
              <m:t>A</m:t>
            </m:r>
          </m:sub>
        </m:sSub>
        <m:r>
          <m:t>:A→A, i</m:t>
        </m:r>
        <m:sSub>
          <m:sSubPr>
            <m:ctrlPr/>
          </m:sSubPr>
          <m:e>
            <m:r>
              <m:t>d</m:t>
            </m:r>
          </m:e>
          <m:sub>
            <m:r>
              <m:t>A</m:t>
            </m:r>
          </m:sub>
        </m:sSub>
        <m:d>
          <m:dPr>
            <m:ctrlPr/>
          </m:dPr>
          <m:e>
            <m:r>
              <m:t>a</m:t>
            </m:r>
          </m:e>
        </m:d>
        <m:r>
          <m:t>=a ∀a∈A</m:t>
        </m:r>
      </m:oMath>
      <w:r>
        <w:t xml:space="preserve"> </w:t>
      </w:r>
      <w:r>
        <w:tab/>
        <w:t>(M1.19)</w:t>
      </w:r>
    </w:p>
    <w:p w:rsidR="007802DD" w:rsidRDefault="007802DD" w:rsidP="007802DD">
      <w:pPr>
        <w:pStyle w:val="StandardWeb"/>
      </w:pPr>
      <w:r>
        <w:t>Die Identität ist nicht das Fehlen einer Funktion, sondern eine vollständig bestimmte Funktion mit Definitionsbereich, Zielbereich und Zuordnungsvorschrift.</w:t>
      </w:r>
    </w:p>
    <w:p w:rsidR="007802DD" w:rsidRDefault="007802DD" w:rsidP="007802DD">
      <w:pPr>
        <w:pStyle w:val="StandardWeb"/>
      </w:pPr>
      <w:r>
        <w:t xml:space="preserve">Sind zwei Funktionen </w:t>
      </w:r>
      <m:oMath>
        <m:r>
          <w:rPr>
            <w:rFonts w:ascii="Cambria Math" w:hAnsi="Cambria Math"/>
          </w:rPr>
          <m:t xml:space="preserve">f:A </m:t>
        </m:r>
        <m:r>
          <m:rPr>
            <m:sty m:val="p"/>
          </m:rPr>
          <w:rPr>
            <w:rFonts w:ascii="Cambria Math" w:hAnsi="Cambria Math"/>
          </w:rPr>
          <m:t>→</m:t>
        </m:r>
        <m:r>
          <w:rPr>
            <w:rFonts w:ascii="Cambria Math" w:hAnsi="Cambria Math"/>
          </w:rPr>
          <m:t>B</m:t>
        </m:r>
      </m:oMath>
      <w:r>
        <w:t xml:space="preserve"> und </w:t>
      </w:r>
      <m:oMath>
        <m:r>
          <w:rPr>
            <w:rFonts w:ascii="Cambria Math" w:hAnsi="Cambria Math"/>
          </w:rPr>
          <m:t xml:space="preserve">g:B </m:t>
        </m:r>
        <m:r>
          <m:rPr>
            <m:sty m:val="p"/>
          </m:rPr>
          <w:rPr>
            <w:rFonts w:ascii="Cambria Math" w:hAnsi="Cambria Math"/>
          </w:rPr>
          <m:t>→</m:t>
        </m:r>
        <m:r>
          <w:rPr>
            <w:rFonts w:ascii="Cambria Math" w:hAnsi="Cambria Math"/>
          </w:rPr>
          <m:t>C</m:t>
        </m:r>
      </m:oMath>
      <w:r>
        <w:t xml:space="preserve"> so gegeben, dass der Funktionswert von </w:t>
      </w:r>
      <m:oMath>
        <m:r>
          <w:rPr>
            <w:rFonts w:ascii="Cambria Math" w:hAnsi="Cambria Math"/>
          </w:rPr>
          <m:t>f</m:t>
        </m:r>
      </m:oMath>
      <w:r>
        <w:t xml:space="preserve"> als zulässige Eingabe von </w:t>
      </w:r>
      <m:oMath>
        <m:r>
          <w:rPr>
            <w:rFonts w:ascii="Cambria Math" w:hAnsi="Cambria Math"/>
          </w:rPr>
          <m:t>g</m:t>
        </m:r>
      </m:oMath>
      <w:r>
        <w:t xml:space="preserve"> verwendet werden kann, entsteht ihre Verkettung </w:t>
      </w:r>
      <m:oMath>
        <m:r>
          <w:rPr>
            <w:rFonts w:ascii="Cambria Math" w:hAnsi="Cambria Math"/>
          </w:rPr>
          <m:t xml:space="preserve">g </m:t>
        </m:r>
        <m:r>
          <m:rPr>
            <m:sty m:val="p"/>
          </m:rPr>
          <w:rPr>
            <w:rFonts w:ascii="Cambria Math" w:hAnsi="Cambria Math"/>
          </w:rPr>
          <m:t>∘</m:t>
        </m:r>
        <m:r>
          <w:rPr>
            <w:rFonts w:ascii="Cambria Math" w:hAnsi="Cambria Math"/>
          </w:rPr>
          <m:t>f</m:t>
        </m:r>
      </m:oMath>
      <w:r>
        <w:t>.</w:t>
      </w:r>
    </w:p>
    <w:p w:rsidR="007802DD" w:rsidRDefault="007802DD" w:rsidP="007802DD">
      <w:pPr>
        <w:pStyle w:val="StandardWeb"/>
      </w:pPr>
      <w:r>
        <w:rPr>
          <w:rStyle w:val="Fett"/>
        </w:rPr>
        <w:t>Gleichung (M1.20) – Verkettung zweier Funktionen</w:t>
      </w:r>
    </w:p>
    <w:p w:rsidR="007802DD" w:rsidRDefault="00AF300A" w:rsidP="00AF300A">
      <w:pPr>
        <w:pStyle w:val="Formel"/>
      </w:pPr>
      <m:oMath>
        <m:r>
          <m:t>g∘f:A→C, </m:t>
        </m:r>
        <m:d>
          <m:dPr>
            <m:ctrlPr/>
          </m:dPr>
          <m:e>
            <m:r>
              <m:t>g∘f</m:t>
            </m:r>
          </m:e>
        </m:d>
        <m:d>
          <m:dPr>
            <m:ctrlPr/>
          </m:dPr>
          <m:e>
            <m:r>
              <m:t>a</m:t>
            </m:r>
          </m:e>
        </m:d>
        <m:r>
          <m:t>=g</m:t>
        </m:r>
        <m:d>
          <m:dPr>
            <m:ctrlPr/>
          </m:dPr>
          <m:e>
            <m:r>
              <m:t>f</m:t>
            </m:r>
            <m:d>
              <m:dPr>
                <m:ctrlPr/>
              </m:dPr>
              <m:e>
                <m:r>
                  <m:t>a</m:t>
                </m:r>
              </m:e>
            </m:d>
          </m:e>
        </m:d>
      </m:oMath>
      <w:r>
        <w:t xml:space="preserve"> </w:t>
      </w:r>
      <w:r>
        <w:tab/>
        <w:t>(M1.20)</w:t>
      </w:r>
    </w:p>
    <w:p w:rsidR="00AF300A" w:rsidRDefault="00AF300A" w:rsidP="007802DD">
      <w:pPr>
        <w:pStyle w:val="StandardWeb"/>
      </w:pPr>
      <w:proofErr w:type="spellStart"/>
      <w:r>
        <w:t>aa</w:t>
      </w:r>
      <w:proofErr w:type="spellEnd"/>
      <w:r>
        <w:t xml:space="preserve"> </w:t>
      </w:r>
      <w:proofErr w:type="spellStart"/>
      <w:r>
        <w:t>aa</w:t>
      </w:r>
      <w:proofErr w:type="spellEnd"/>
      <w:r>
        <w:t xml:space="preserve"> </w:t>
      </w:r>
      <w:proofErr w:type="spellStart"/>
      <w:r>
        <w:t>aa</w:t>
      </w:r>
      <w:proofErr w:type="spellEnd"/>
    </w:p>
    <w:p w:rsidR="007802DD" w:rsidRDefault="007802DD" w:rsidP="007802DD">
      <w:pPr>
        <w:pStyle w:val="StandardWeb"/>
      </w:pPr>
      <w:r>
        <w:t>Die Reihenfolge ist Bestandteil der mathematischen Struktur. Wenn beide Verkettungsrichtungen überhaupt definiert sind, darf ich im Allgemeinen nicht voraussetzen, dass ihre Ergebnisse übereinstimmen.</w:t>
      </w:r>
    </w:p>
    <w:p w:rsidR="007802DD" w:rsidRDefault="007802DD" w:rsidP="007802DD">
      <w:pPr>
        <w:pStyle w:val="StandardWeb"/>
      </w:pPr>
      <w:r>
        <w:rPr>
          <w:rStyle w:val="Fett"/>
        </w:rPr>
        <w:lastRenderedPageBreak/>
        <w:t>Gleichung (M1.21) – Nichtkommutativität im Allgemeinen</w:t>
      </w:r>
    </w:p>
    <w:p w:rsidR="007802DD" w:rsidRDefault="00AF300A" w:rsidP="00AF300A">
      <w:pPr>
        <w:pStyle w:val="Formel"/>
      </w:pPr>
      <m:oMath>
        <m:r>
          <m:t>g ∘f ≠f ∘g</m:t>
        </m:r>
      </m:oMath>
      <w:r>
        <w:t xml:space="preserve"> </w:t>
      </w:r>
      <w:r>
        <w:tab/>
        <w:t>(M1.21)</w:t>
      </w:r>
    </w:p>
    <w:p w:rsidR="007802DD" w:rsidRDefault="007802DD" w:rsidP="007802DD">
      <w:pPr>
        <w:pStyle w:val="StandardWeb"/>
      </w:pPr>
      <w:r>
        <w:t xml:space="preserve">Diese Beziehung ist als allgemeiner Hinweis gegen eine vorausgesetzte Vertauschbarkeit zu verstehen. Sie darf nicht als Behauptung gelesen werden, dass zwei konkrete Funktionen niemals kommutieren könnten. Für bestimmte Funktionen kann durchaus </w:t>
      </w:r>
      <m:oMath>
        <m:r>
          <w:rPr>
            <w:rFonts w:ascii="Cambria Math" w:hAnsi="Cambria Math"/>
          </w:rPr>
          <m:t xml:space="preserve">g </m:t>
        </m:r>
        <m:r>
          <m:rPr>
            <m:sty m:val="p"/>
          </m:rPr>
          <w:rPr>
            <w:rFonts w:ascii="Cambria Math" w:hAnsi="Cambria Math"/>
          </w:rPr>
          <m:t>∘</m:t>
        </m:r>
        <m:r>
          <w:rPr>
            <w:rFonts w:ascii="Cambria Math" w:hAnsi="Cambria Math"/>
          </w:rPr>
          <m:t xml:space="preserve">f=f </m:t>
        </m:r>
        <m:r>
          <m:rPr>
            <m:sty m:val="p"/>
          </m:rPr>
          <w:rPr>
            <w:rFonts w:ascii="Cambria Math" w:hAnsi="Cambria Math"/>
          </w:rPr>
          <m:t>∘</m:t>
        </m:r>
        <m:r>
          <w:rPr>
            <w:rFonts w:ascii="Cambria Math" w:hAnsi="Cambria Math"/>
          </w:rPr>
          <m:t>g</m:t>
        </m:r>
      </m:oMath>
      <w:r>
        <w:t xml:space="preserve"> gelten. Eine solche Gleichheit muss jedoch aus den Eigenschaften dieser konkreten Funktionen folgen.</w:t>
      </w:r>
    </w:p>
    <w:p w:rsidR="007802DD" w:rsidRDefault="007802DD" w:rsidP="007802DD">
      <w:pPr>
        <w:pStyle w:val="StandardWeb"/>
      </w:pPr>
      <w:r>
        <w:t>Anders verhält es sich mit der Klammerung einer zulässigen Folge von drei Funktionen. Die Funktionskomposition ist assoziativ.</w:t>
      </w:r>
    </w:p>
    <w:p w:rsidR="007802DD" w:rsidRDefault="007802DD" w:rsidP="007802DD">
      <w:pPr>
        <w:pStyle w:val="StandardWeb"/>
      </w:pPr>
      <w:r>
        <w:rPr>
          <w:rStyle w:val="Fett"/>
        </w:rPr>
        <w:t xml:space="preserve">Gleichung (M1.22) – </w:t>
      </w:r>
      <w:proofErr w:type="spellStart"/>
      <w:r>
        <w:rPr>
          <w:rStyle w:val="Fett"/>
        </w:rPr>
        <w:t>Assoziativität</w:t>
      </w:r>
      <w:proofErr w:type="spellEnd"/>
      <w:r>
        <w:rPr>
          <w:rStyle w:val="Fett"/>
        </w:rPr>
        <w:t xml:space="preserve"> der Funktionsverkettung</w:t>
      </w:r>
    </w:p>
    <w:p w:rsidR="007802DD" w:rsidRDefault="00AF300A" w:rsidP="00AF300A">
      <w:pPr>
        <w:pStyle w:val="Formel"/>
      </w:pPr>
      <m:oMath>
        <m:r>
          <m:t>h∘</m:t>
        </m:r>
        <m:d>
          <m:dPr>
            <m:ctrlPr/>
          </m:dPr>
          <m:e>
            <m:r>
              <m:t>g∘f</m:t>
            </m:r>
          </m:e>
        </m:d>
        <m:r>
          <m:t>=</m:t>
        </m:r>
        <m:d>
          <m:dPr>
            <m:ctrlPr/>
          </m:dPr>
          <m:e>
            <m:r>
              <m:t>h∘g</m:t>
            </m:r>
          </m:e>
        </m:d>
        <m:r>
          <m:t>∘f</m:t>
        </m:r>
      </m:oMath>
      <w:r>
        <w:t xml:space="preserve"> </w:t>
      </w:r>
      <w:r>
        <w:tab/>
        <w:t>(M1.22)</w:t>
      </w:r>
    </w:p>
    <w:p w:rsidR="007802DD" w:rsidRDefault="007802DD" w:rsidP="007802DD">
      <w:pPr>
        <w:pStyle w:val="StandardWeb"/>
      </w:pPr>
      <w:r>
        <w:t>Identität, Inverse und Komposition gehören zum klassischen Funktionsbegriff [[6]] [[80]]. Damit können längere Folgen von Zuordnungen eindeutig zusammengefasst werden. Aus dieser mathematischen Reihenfolge folgt jedoch noch keine zeitliche oder kausale Interpretation.</w:t>
      </w:r>
    </w:p>
    <w:p w:rsidR="007802DD" w:rsidRDefault="007802DD" w:rsidP="007802DD">
      <w:pPr>
        <w:pStyle w:val="berschrift2"/>
      </w:pPr>
      <w:r>
        <w:t>M1.7 Funktionen mit mehreren Eingangsgrößen</w:t>
      </w:r>
    </w:p>
    <w:p w:rsidR="007802DD" w:rsidRDefault="007802DD" w:rsidP="007802DD">
      <w:pPr>
        <w:pStyle w:val="StandardWeb"/>
      </w:pPr>
      <w:r>
        <w:t>Eine Funktion muss nicht nur von einem einzelnen Argument abhängen. Ihr Argument kann selbst ein geordnetes Paar oder allgemeiner ein Tupel sein. Die bereits eingeführten kartesischen Produkte liefern dafür unmittelbar die geeigneten Definitionsbereiche.</w:t>
      </w:r>
    </w:p>
    <w:p w:rsidR="007802DD" w:rsidRDefault="007802DD" w:rsidP="007802DD">
      <w:pPr>
        <w:pStyle w:val="StandardWeb"/>
      </w:pPr>
      <w:r>
        <w:t xml:space="preserve">Für zwei Eingangsbereiche </w:t>
      </w:r>
      <m:oMath>
        <m:r>
          <w:rPr>
            <w:rFonts w:ascii="Cambria Math" w:hAnsi="Cambria Math"/>
          </w:rPr>
          <m:t>A</m:t>
        </m:r>
      </m:oMath>
      <w:r>
        <w:t xml:space="preserve"> und </w:t>
      </w:r>
      <m:oMath>
        <m:r>
          <w:rPr>
            <w:rFonts w:ascii="Cambria Math" w:hAnsi="Cambria Math"/>
          </w:rPr>
          <m:t>B</m:t>
        </m:r>
      </m:oMath>
      <w:r>
        <w:t xml:space="preserve"> kann eine Funktion auf dem kartesischen Produkt </w:t>
      </w:r>
      <m:oMath>
        <m:r>
          <w:rPr>
            <w:rFonts w:ascii="Cambria Math" w:hAnsi="Cambria Math"/>
          </w:rPr>
          <m:t xml:space="preserve">A </m:t>
        </m:r>
        <m:r>
          <m:rPr>
            <m:sty m:val="p"/>
          </m:rPr>
          <w:rPr>
            <w:rFonts w:ascii="Cambria Math" w:hAnsi="Cambria Math"/>
          </w:rPr>
          <m:t>×</m:t>
        </m:r>
        <m:r>
          <w:rPr>
            <w:rFonts w:ascii="Cambria Math" w:hAnsi="Cambria Math"/>
          </w:rPr>
          <m:t>B</m:t>
        </m:r>
      </m:oMath>
      <w:r>
        <w:t xml:space="preserve"> definiert werden.</w:t>
      </w:r>
    </w:p>
    <w:p w:rsidR="007802DD" w:rsidRDefault="007802DD" w:rsidP="007802DD">
      <w:pPr>
        <w:pStyle w:val="StandardWeb"/>
      </w:pPr>
      <w:r>
        <w:rPr>
          <w:rStyle w:val="Fett"/>
        </w:rPr>
        <w:t>Gleichung (M1.23) – Funktion mit zwei Eingangsgrößen</w:t>
      </w:r>
    </w:p>
    <w:p w:rsidR="00AF300A" w:rsidRDefault="00AF300A" w:rsidP="00AF300A">
      <w:pPr>
        <w:pStyle w:val="Formel"/>
      </w:pPr>
      <m:oMath>
        <m:r>
          <m:t>f:A×B→C, f</m:t>
        </m:r>
        <m:d>
          <m:dPr>
            <m:ctrlPr/>
          </m:dPr>
          <m:e>
            <m:r>
              <m:t>a,b</m:t>
            </m:r>
          </m:e>
        </m:d>
        <m:r>
          <m:t>=c∈C, a∈A, </m:t>
        </m:r>
        <m:r>
          <m:t>b</m:t>
        </m:r>
        <m:r>
          <m:t>∈B</m:t>
        </m:r>
      </m:oMath>
      <w:r>
        <w:t xml:space="preserve"> </w:t>
      </w:r>
      <w:r>
        <w:tab/>
        <w:t>(M1.23)</w:t>
      </w:r>
    </w:p>
    <w:p w:rsidR="007802DD" w:rsidRDefault="007802DD" w:rsidP="007802DD">
      <w:pPr>
        <w:pStyle w:val="StandardWeb"/>
      </w:pPr>
      <w:r>
        <w:t xml:space="preserve">Die Funktion legt damit fest, welcher Wert </w:t>
      </w:r>
      <m:oMath>
        <m:r>
          <w:rPr>
            <w:rFonts w:ascii="Cambria Math" w:hAnsi="Cambria Math"/>
          </w:rPr>
          <m:t>c</m:t>
        </m:r>
      </m:oMath>
      <w:r>
        <w:t xml:space="preserve"> dem vollständigen geordneten Eingangspaar </w:t>
      </w:r>
      <m:oMath>
        <m:d>
          <m:dPr>
            <m:ctrlPr>
              <w:rPr>
                <w:rFonts w:ascii="Cambria Math" w:hAnsi="Cambria Math"/>
                <w:i/>
              </w:rPr>
            </m:ctrlPr>
          </m:dPr>
          <m:e>
            <m:r>
              <w:rPr>
                <w:rFonts w:ascii="Cambria Math" w:hAnsi="Cambria Math"/>
              </w:rPr>
              <m:t>a,b</m:t>
            </m:r>
          </m:e>
        </m:d>
      </m:oMath>
      <w:r>
        <w:t xml:space="preserve"> zugeordnet wird. Aus dieser mathematischen Mehrstellig</w:t>
      </w:r>
      <w:proofErr w:type="spellStart"/>
      <w:r>
        <w:t>keit</w:t>
      </w:r>
      <w:proofErr w:type="spellEnd"/>
      <w:r>
        <w:t xml:space="preserve"> folgt noch keine Aussage darüber, ob die Eingangsgrößen voneinander unabhängig sind.</w:t>
      </w:r>
    </w:p>
    <w:p w:rsidR="007802DD" w:rsidRDefault="007802DD" w:rsidP="007802DD">
      <w:pPr>
        <w:pStyle w:val="StandardWeb"/>
      </w:pPr>
      <w:r>
        <w:t>Der Gedanke lässt sich auf endlich viele Eingangsgrößen verallgemeinern.</w:t>
      </w:r>
    </w:p>
    <w:p w:rsidR="007802DD" w:rsidRDefault="007802DD" w:rsidP="007802DD">
      <w:pPr>
        <w:pStyle w:val="StandardWeb"/>
      </w:pPr>
      <w:r>
        <w:rPr>
          <w:rStyle w:val="Fett"/>
        </w:rPr>
        <w:t>Gleichung (M1.24) – Funktion mit n Eingangsgrößen</w:t>
      </w:r>
    </w:p>
    <w:p w:rsidR="00AF300A" w:rsidRPr="00AF300A" w:rsidRDefault="00AF300A" w:rsidP="007802DD">
      <w:pPr>
        <w:pStyle w:val="StandardWeb"/>
        <w:rPr>
          <w:rFonts w:ascii="Cambria Math" w:eastAsia="Calibri" w:hAnsi="Cambria Math"/>
          <w:bCs w:val="0"/>
          <w:i/>
          <w:iCs/>
        </w:rPr>
      </w:pPr>
      <m:oMath>
        <m:r>
          <w:rPr>
            <w:rFonts w:ascii="Cambria Math" w:hAnsi="Cambria Math"/>
          </w:rPr>
          <m:t>f:</m:t>
        </m:r>
        <m:sSub>
          <m:sSubPr>
            <m:ctrlPr>
              <w:rPr>
                <w:rFonts w:ascii="Cambria Math" w:hAnsi="Cambria Math"/>
                <w:i/>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i/>
              </w:rPr>
            </m:ctrlPr>
          </m:sSubPr>
          <m:e>
            <m:r>
              <w:rPr>
                <w:rFonts w:ascii="Cambria Math" w:hAnsi="Cambria Math"/>
              </w:rPr>
              <m:t>A</m:t>
            </m:r>
            <m:ctrlPr>
              <w:rPr>
                <w:rFonts w:ascii="Cambria Math" w:hAnsi="Cambria Math"/>
              </w:rPr>
            </m:ctrlPr>
          </m:e>
          <m:sub>
            <m:r>
              <w:rPr>
                <w:rFonts w:ascii="Cambria Math" w:hAnsi="Cambria Math"/>
              </w:rPr>
              <m:t>2</m:t>
            </m:r>
          </m:sub>
        </m:sSub>
        <m:r>
          <m:rPr>
            <m:sty m:val="p"/>
          </m:rPr>
          <w:rPr>
            <w:rFonts w:ascii="Cambria Math" w:hAnsi="Cambria Math"/>
          </w:rPr>
          <m:t>×⋯×</m:t>
        </m:r>
        <m:sSub>
          <m:sSubPr>
            <m:ctrlPr>
              <w:rPr>
                <w:rFonts w:ascii="Cambria Math" w:hAnsi="Cambria Math"/>
                <w:i/>
              </w:rPr>
            </m:ctrlPr>
          </m:sSubPr>
          <m:e>
            <m:r>
              <w:rPr>
                <w:rFonts w:ascii="Cambria Math" w:hAnsi="Cambria Math"/>
              </w:rPr>
              <m:t>A</m:t>
            </m:r>
            <m:ctrlPr>
              <w:rPr>
                <w:rFonts w:ascii="Cambria Math" w:hAnsi="Cambria Math"/>
              </w:rPr>
            </m:ctrlPr>
          </m:e>
          <m:sub>
            <m:r>
              <w:rPr>
                <w:rFonts w:ascii="Cambria Math" w:hAnsi="Cambria Math"/>
              </w:rPr>
              <m:t>n</m:t>
            </m:r>
          </m:sub>
        </m:sSub>
        <m:r>
          <m:rPr>
            <m:sty m:val="p"/>
          </m:rPr>
          <w:rPr>
            <w:rFonts w:ascii="Cambria Math" w:hAnsi="Cambria Math"/>
          </w:rPr>
          <m:t>→</m:t>
        </m:r>
        <m:r>
          <w:rPr>
            <w:rFonts w:ascii="Cambria Math" w:hAnsi="Cambria Math"/>
          </w:rPr>
          <m:t>B, </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m:t>
                </m:r>
              </m:sub>
            </m:sSub>
          </m:e>
        </m:d>
        <m:r>
          <m:rPr>
            <m:sty m:val="p"/>
          </m:rPr>
          <w:rPr>
            <w:rFonts w:ascii="Cambria Math" w:hAnsi="Cambria Math"/>
          </w:rPr>
          <m:t>∈</m:t>
        </m:r>
        <m:sSub>
          <m:sSubPr>
            <m:ctrlPr>
              <w:rPr>
                <w:rFonts w:ascii="Cambria Math" w:hAnsi="Cambria Math"/>
                <w:i/>
              </w:rPr>
            </m:ctrlPr>
          </m:sSubPr>
          <m:e>
            <m:r>
              <w:rPr>
                <w:rFonts w:ascii="Cambria Math" w:hAnsi="Cambria Math"/>
              </w:rPr>
              <m:t>A</m:t>
            </m:r>
            <m:ctrlPr>
              <w:rPr>
                <w:rFonts w:ascii="Cambria Math" w:hAnsi="Cambria Math"/>
              </w:rPr>
            </m:ctrlPr>
          </m:e>
          <m:sub>
            <m:r>
              <w:rPr>
                <w:rFonts w:ascii="Cambria Math" w:hAnsi="Cambria Math"/>
              </w:rPr>
              <m:t>1</m:t>
            </m:r>
          </m:sub>
        </m:sSub>
        <m:r>
          <m:rPr>
            <m:sty m:val="p"/>
          </m:rPr>
          <w:rPr>
            <w:rFonts w:ascii="Cambria Math" w:hAnsi="Cambria Math"/>
          </w:rPr>
          <m:t>×</m:t>
        </m:r>
        <m:sSub>
          <m:sSubPr>
            <m:ctrlPr>
              <w:rPr>
                <w:rFonts w:ascii="Cambria Math" w:hAnsi="Cambria Math"/>
                <w:i/>
              </w:rPr>
            </m:ctrlPr>
          </m:sSubPr>
          <m:e>
            <m:r>
              <w:rPr>
                <w:rFonts w:ascii="Cambria Math" w:hAnsi="Cambria Math"/>
              </w:rPr>
              <m:t>A</m:t>
            </m:r>
            <m:ctrlPr>
              <w:rPr>
                <w:rFonts w:ascii="Cambria Math" w:hAnsi="Cambria Math"/>
              </w:rPr>
            </m:ctrlPr>
          </m:e>
          <m:sub>
            <m:r>
              <w:rPr>
                <w:rFonts w:ascii="Cambria Math" w:hAnsi="Cambria Math"/>
              </w:rPr>
              <m:t>2</m:t>
            </m:r>
          </m:sub>
        </m:sSub>
        <m:r>
          <m:rPr>
            <m:sty m:val="p"/>
          </m:rPr>
          <w:rPr>
            <w:rFonts w:ascii="Cambria Math" w:hAnsi="Cambria Math"/>
          </w:rPr>
          <m:t>×⋯×</m:t>
        </m:r>
        <m:sSub>
          <m:sSubPr>
            <m:ctrlPr>
              <w:rPr>
                <w:rFonts w:ascii="Cambria Math" w:hAnsi="Cambria Math"/>
                <w:i/>
              </w:rPr>
            </m:ctrlPr>
          </m:sSubPr>
          <m:e>
            <m:r>
              <w:rPr>
                <w:rFonts w:ascii="Cambria Math" w:hAnsi="Cambria Math"/>
              </w:rPr>
              <m:t>A</m:t>
            </m:r>
            <m:ctrlPr>
              <w:rPr>
                <w:rFonts w:ascii="Cambria Math" w:hAnsi="Cambria Math"/>
              </w:rPr>
            </m:ctrlPr>
          </m:e>
          <m:sub>
            <m:r>
              <w:rPr>
                <w:rFonts w:ascii="Cambria Math" w:hAnsi="Cambria Math"/>
              </w:rPr>
              <m:t>n</m:t>
            </m:r>
          </m:sub>
        </m:sSub>
        <m:r>
          <w:rPr>
            <w:rFonts w:ascii="Cambria Math" w:hAnsi="Cambria Math"/>
          </w:rPr>
          <m:t>, </m:t>
        </m:r>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m:t>
                </m:r>
              </m:sub>
            </m:sSub>
          </m:e>
        </m:d>
        <m:r>
          <m:rPr>
            <m:sty m:val="p"/>
          </m:rPr>
          <w:rPr>
            <w:rFonts w:ascii="Cambria Math" w:hAnsi="Cambria Math"/>
          </w:rPr>
          <m:t>∈</m:t>
        </m:r>
        <m:r>
          <w:rPr>
            <w:rFonts w:ascii="Cambria Math" w:hAnsi="Cambria Math"/>
          </w:rPr>
          <m:t>B</m:t>
        </m:r>
      </m:oMath>
      <w:r>
        <w:t xml:space="preserve"> </w:t>
      </w:r>
      <w:r w:rsidRPr="00AF300A">
        <w:rPr>
          <w:rFonts w:ascii="Cambria Math" w:eastAsia="Calibri" w:hAnsi="Cambria Math"/>
          <w:bCs w:val="0"/>
          <w:i/>
          <w:iCs/>
        </w:rPr>
        <w:tab/>
        <w:t>(M1.24)</w:t>
      </w:r>
    </w:p>
    <w:p w:rsidR="00AF300A" w:rsidRPr="00AF300A" w:rsidRDefault="00AF300A" w:rsidP="007802DD">
      <w:pPr>
        <w:pStyle w:val="StandardWeb"/>
      </w:pPr>
      <w:proofErr w:type="spellStart"/>
      <w:r>
        <w:t>aa</w:t>
      </w:r>
      <w:proofErr w:type="spellEnd"/>
    </w:p>
    <w:p w:rsidR="007802DD" w:rsidRDefault="007802DD" w:rsidP="007802DD">
      <w:pPr>
        <w:pStyle w:val="StandardWeb"/>
      </w:pPr>
      <w:r>
        <w:lastRenderedPageBreak/>
        <w:t xml:space="preserve">Die mengentheoretische Grundlage mehrstelliger Funktionen ergibt sich aus kartesischen Produkten und Funktionen [[80]]. Für die analytische Weiterführung von Funktionen mehrerer Variablen verwende ich ergänzend Rudin. {[Walter Rudin, McGraw-Hill, 1976, Kapitel 7 und Kapitel 9, </w:t>
      </w:r>
      <w:proofErr w:type="spellStart"/>
      <w:r>
        <w:t>Principles</w:t>
      </w:r>
      <w:proofErr w:type="spellEnd"/>
      <w:r>
        <w:t xml:space="preserve"> </w:t>
      </w:r>
      <w:proofErr w:type="spellStart"/>
      <w:r>
        <w:t>of</w:t>
      </w:r>
      <w:proofErr w:type="spellEnd"/>
      <w:r>
        <w:t xml:space="preserve"> </w:t>
      </w:r>
      <w:proofErr w:type="spellStart"/>
      <w:r>
        <w:t>Mathematical</w:t>
      </w:r>
      <w:proofErr w:type="spellEnd"/>
      <w:r>
        <w:t xml:space="preserve"> Analysis, Third Edition, New York</w:t>
      </w:r>
      <w:proofErr w:type="gramStart"/>
      <w:r>
        <w:t>]}[</w:t>
      </w:r>
      <w:proofErr w:type="gramEnd"/>
      <w:r>
        <w:t>[72]].</w:t>
      </w:r>
    </w:p>
    <w:p w:rsidR="007802DD" w:rsidRDefault="007802DD" w:rsidP="007802DD">
      <w:pPr>
        <w:pStyle w:val="StandardWeb"/>
      </w:pPr>
      <w:r>
        <w:t>Für die spätere Zustandsbeschreibung ist diese Struktur wesentlich, weil ein Zustand oder eine abgeleitete Größe von mehreren Komponenten abhängen kann. Die Anzahl der Argumente einer Funktion und die Dimension eines mathematischen Zustandsraums sind jedoch nicht automatisch identisch. Ob einzelne Komponenten unabhängige Dimensionen darstellen, muss durch zusätzliche algebraische Kriterien entschieden werden.</w:t>
      </w:r>
    </w:p>
    <w:p w:rsidR="007802DD" w:rsidRDefault="007802DD" w:rsidP="007802DD">
      <w:pPr>
        <w:pStyle w:val="berschrift2"/>
      </w:pPr>
      <w:r>
        <w:t>M1.8 Parametrisierte und partielle Funktionen</w:t>
      </w:r>
    </w:p>
    <w:p w:rsidR="007802DD" w:rsidRDefault="007802DD" w:rsidP="007802DD">
      <w:pPr>
        <w:pStyle w:val="StandardWeb"/>
      </w:pPr>
      <w:r>
        <w:t xml:space="preserve">Neben einer einzelnen Funktion kann ich eine ganze Familie von Funktionen betrachten, deren konkrete Mitglieder durch einen Parameter unterschieden werden. Sei </w:t>
      </w:r>
      <m:oMath>
        <m:r>
          <m:rPr>
            <m:sty m:val="p"/>
          </m:rPr>
          <w:rPr>
            <w:rFonts w:ascii="Cambria Math" w:hAnsi="Cambria Math"/>
          </w:rPr>
          <m:t>Θ</m:t>
        </m:r>
      </m:oMath>
      <w:r>
        <w:t xml:space="preserve"> eine Parametermenge. Dann bezeichnet </w:t>
      </w:r>
      <m:oMath>
        <m:sSub>
          <m:sSubPr>
            <m:ctrlPr>
              <w:rPr>
                <w:rFonts w:ascii="Cambria Math" w:hAnsi="Cambria Math"/>
                <w:i/>
              </w:rPr>
            </m:ctrlPr>
          </m:sSubPr>
          <m:e>
            <m:r>
              <w:rPr>
                <w:rFonts w:ascii="Cambria Math" w:hAnsi="Cambria Math"/>
              </w:rPr>
              <m:t>f</m:t>
            </m:r>
          </m:e>
          <m:sub>
            <m:r>
              <m:rPr>
                <m:sty m:val="p"/>
              </m:rPr>
              <w:rPr>
                <w:rFonts w:ascii="Cambria Math" w:hAnsi="Cambria Math"/>
              </w:rPr>
              <m:t>θ</m:t>
            </m:r>
          </m:sub>
        </m:sSub>
      </m:oMath>
      <w:r>
        <w:t xml:space="preserve"> für jedes </w:t>
      </w:r>
      <m:oMath>
        <m:r>
          <m:rPr>
            <m:sty m:val="p"/>
          </m:rPr>
          <w:rPr>
            <w:rFonts w:ascii="Cambria Math" w:hAnsi="Cambria Math"/>
          </w:rPr>
          <m:t>θ∈Θ</m:t>
        </m:r>
      </m:oMath>
      <w:r>
        <w:t xml:space="preserve"> eine konkre</w:t>
      </w:r>
      <w:proofErr w:type="spellStart"/>
      <w:r>
        <w:t>te</w:t>
      </w:r>
      <w:proofErr w:type="spellEnd"/>
      <w:r>
        <w:t xml:space="preserve"> Funktion derselben parametrisierten Familie.</w:t>
      </w:r>
    </w:p>
    <w:p w:rsidR="007802DD" w:rsidRDefault="007802DD" w:rsidP="007802DD">
      <w:pPr>
        <w:pStyle w:val="StandardWeb"/>
      </w:pPr>
      <w:r>
        <w:rPr>
          <w:rStyle w:val="Fett"/>
        </w:rPr>
        <w:t>Gleichung (M1.25) – Parametrisierte Funktionsfamilie</w:t>
      </w:r>
    </w:p>
    <w:p w:rsidR="007802DD" w:rsidRDefault="00AF300A" w:rsidP="00AF300A">
      <w:pPr>
        <w:pStyle w:val="Formel"/>
      </w:pPr>
      <m:oMath>
        <m:r>
          <m:rPr>
            <m:lit/>
            <m:sty m:val="p"/>
          </m:rPr>
          <w:rPr>
            <w:rStyle w:val="katex"/>
          </w:rPr>
          <m:t>{</m:t>
        </m:r>
        <m:sSub>
          <m:sSubPr>
            <m:ctrlPr>
              <w:rPr>
                <w:rStyle w:val="katex"/>
                <w:i w:val="0"/>
              </w:rPr>
            </m:ctrlPr>
          </m:sSubPr>
          <m:e>
            <m:r>
              <w:rPr>
                <w:rStyle w:val="katex"/>
              </w:rPr>
              <m:t>f</m:t>
            </m:r>
          </m:e>
          <m:sub>
            <m:r>
              <w:rPr>
                <w:rStyle w:val="katex"/>
              </w:rPr>
              <m:t>θ</m:t>
            </m:r>
          </m:sub>
        </m:sSub>
        <m:r>
          <m:rPr>
            <m:sty m:val="p"/>
          </m:rPr>
          <w:rPr>
            <w:rStyle w:val="katex"/>
          </w:rPr>
          <m:t xml:space="preserve">| </m:t>
        </m:r>
        <m:r>
          <w:rPr>
            <w:rStyle w:val="katex"/>
          </w:rPr>
          <m:t>θ</m:t>
        </m:r>
        <m:r>
          <m:rPr>
            <m:sty m:val="p"/>
          </m:rPr>
          <w:rPr>
            <w:rStyle w:val="katex"/>
          </w:rPr>
          <m:t>∈Θ</m:t>
        </m:r>
        <m:r>
          <m:rPr>
            <m:lit/>
            <m:sty m:val="p"/>
          </m:rPr>
          <w:rPr>
            <w:rStyle w:val="katex"/>
          </w:rPr>
          <m:t>}</m:t>
        </m:r>
        <m:r>
          <m:rPr>
            <m:sty m:val="p"/>
          </m:rPr>
          <w:rPr>
            <w:rStyle w:val="katex"/>
          </w:rPr>
          <m:t xml:space="preserve">,   </m:t>
        </m:r>
        <m:sSub>
          <m:sSubPr>
            <m:ctrlPr>
              <w:rPr>
                <w:rStyle w:val="katex"/>
                <w:i w:val="0"/>
              </w:rPr>
            </m:ctrlPr>
          </m:sSubPr>
          <m:e>
            <m:r>
              <w:rPr>
                <w:rStyle w:val="katex"/>
              </w:rPr>
              <m:t>f</m:t>
            </m:r>
          </m:e>
          <m:sub>
            <m:r>
              <w:rPr>
                <w:rStyle w:val="katex"/>
              </w:rPr>
              <m:t>θ</m:t>
            </m:r>
          </m:sub>
        </m:sSub>
        <m:r>
          <m:rPr>
            <m:sty m:val="p"/>
          </m:rPr>
          <w:rPr>
            <w:rStyle w:val="katex"/>
          </w:rPr>
          <m:t>:</m:t>
        </m:r>
        <m:r>
          <w:rPr>
            <w:rStyle w:val="katex"/>
          </w:rPr>
          <m:t>A</m:t>
        </m:r>
        <m:r>
          <m:rPr>
            <m:sty m:val="p"/>
          </m:rPr>
          <w:rPr>
            <w:rStyle w:val="katex"/>
          </w:rPr>
          <m:t xml:space="preserve"> →</m:t>
        </m:r>
        <m:r>
          <w:rPr>
            <w:rStyle w:val="katex"/>
          </w:rPr>
          <m:t>B</m:t>
        </m:r>
        <m:r>
          <m:rPr>
            <m:sty m:val="p"/>
          </m:rPr>
          <w:rPr>
            <w:rStyle w:val="katex"/>
          </w:rPr>
          <m:t> ∀</m:t>
        </m:r>
        <m:r>
          <w:rPr>
            <w:rStyle w:val="katex"/>
          </w:rPr>
          <m:t>θ</m:t>
        </m:r>
        <m:r>
          <m:rPr>
            <m:sty m:val="p"/>
          </m:rPr>
          <w:rPr>
            <w:rStyle w:val="katex"/>
          </w:rPr>
          <m:t>∈Θ</m:t>
        </m:r>
      </m:oMath>
      <w:r>
        <w:rPr>
          <w:rStyle w:val="katex"/>
        </w:rPr>
        <w:t xml:space="preserve"> </w:t>
      </w:r>
      <w:r>
        <w:rPr>
          <w:rStyle w:val="katex"/>
        </w:rPr>
        <w:tab/>
        <w:t>(M1.25)</w:t>
      </w:r>
    </w:p>
    <w:p w:rsidR="007802DD" w:rsidRDefault="007802DD" w:rsidP="007802DD">
      <w:pPr>
        <w:pStyle w:val="StandardWeb"/>
      </w:pPr>
      <w:r>
        <w:t>Die Parametrisierung erlaubt es, eine Menge verwandter Zuordnungsvorschriften unter einer gemeinsamen Struktur zu behandeln. Die mathematische Verwendung indexierter beziehungsweise parametrisierter Funktionsfamilien ist insbesondere in der Analysis grundlegend [[72]].</w:t>
      </w:r>
    </w:p>
    <w:p w:rsidR="007802DD" w:rsidRDefault="007802DD" w:rsidP="007802DD">
      <w:pPr>
        <w:pStyle w:val="StandardWeb"/>
      </w:pPr>
      <w:r>
        <w:t xml:space="preserve">Der Parameter </w:t>
      </w:r>
      <m:oMath>
        <m:r>
          <m:rPr>
            <m:sty m:val="p"/>
          </m:rPr>
          <w:rPr>
            <w:rFonts w:ascii="Cambria Math" w:hAnsi="Cambria Math"/>
          </w:rPr>
          <m:t>θ</m:t>
        </m:r>
      </m:oMath>
      <w:r>
        <w:t xml:space="preserve"> besitzt durch diese Schreibweise noch keine festgelegte wissenschaftliche Bedeutung. Er kann später beispielsweise eine Modellvariante, eine Randbedingung, eine Anfangsbedingung oder eine andere mathematische Auswahl kennzeichnen. Welche Bedeutung er konkret besitzt, muss durch die jeweilige Theorie bestimmt werden.</w:t>
      </w:r>
    </w:p>
    <w:p w:rsidR="007802DD" w:rsidRDefault="007802DD" w:rsidP="007802DD">
      <w:pPr>
        <w:pStyle w:val="StandardWeb"/>
      </w:pPr>
      <w:r>
        <w:t xml:space="preserve">Bei diesem Objekt liegt im importierten Quellbestand eine beschädigte Formel vor. Die ursprüngliche Gleichung endet nach der Bedingung </w:t>
      </w:r>
      <m:oMath>
        <m:r>
          <m:rPr>
            <m:sty m:val="p"/>
          </m:rPr>
          <w:rPr>
            <w:rFonts w:ascii="Cambria Math" w:hAnsi="Cambria Math"/>
          </w:rPr>
          <m:t>∀θ∈</m:t>
        </m:r>
      </m:oMath>
      <w:r>
        <w:t xml:space="preserve">, obwohl der unmittelbar zugehörige Text </w:t>
      </w:r>
      <m:oMath>
        <m:r>
          <m:rPr>
            <m:sty m:val="p"/>
          </m:rPr>
          <w:rPr>
            <w:rFonts w:ascii="Cambria Math" w:hAnsi="Cambria Math"/>
          </w:rPr>
          <m:t>Θ</m:t>
        </m:r>
      </m:oMath>
      <w:r>
        <w:t xml:space="preserve"> als Parametermenge benennt. In der vorliegenden Anlagenfassung wird deshalb die mathematisch vollständige Bedingung </w:t>
      </w:r>
      <m:oMath>
        <m:r>
          <m:rPr>
            <m:sty m:val="p"/>
          </m:rPr>
          <w:rPr>
            <w:rFonts w:ascii="Cambria Math" w:hAnsi="Cambria Math"/>
          </w:rPr>
          <m:t>∀θ∈Θ</m:t>
        </m:r>
      </m:oMath>
      <w:r>
        <w:t xml:space="preserve"> verwendet. Der beschädigte Ausgangsbestand bleibt im Repository getrennt erhalten, damit die redaktionelle Korrektur nachvollziehbar bleibt.</w:t>
      </w:r>
    </w:p>
    <w:p w:rsidR="007802DD" w:rsidRDefault="007802DD" w:rsidP="007802DD">
      <w:pPr>
        <w:pStyle w:val="StandardWeb"/>
      </w:pPr>
      <w:r>
        <w:t xml:space="preserve">Schließlich muss ich berücksichtigen, dass eine Zuordnung nicht notwendig auf jedem Element eines zunächst betrachteten größeren Bereichs definiert ist. Ist </w:t>
      </w:r>
      <m:oMath>
        <m:r>
          <w:rPr>
            <w:rFonts w:ascii="Cambria Math" w:hAnsi="Cambria Math"/>
          </w:rPr>
          <m:t xml:space="preserve">D </m:t>
        </m:r>
        <m:r>
          <m:rPr>
            <m:sty m:val="p"/>
          </m:rPr>
          <w:rPr>
            <w:rFonts w:ascii="Cambria Math" w:hAnsi="Cambria Math"/>
          </w:rPr>
          <m:t>⊆</m:t>
        </m:r>
        <m:r>
          <w:rPr>
            <w:rFonts w:ascii="Cambria Math" w:hAnsi="Cambria Math"/>
          </w:rPr>
          <m:t>A</m:t>
        </m:r>
      </m:oMath>
      <w:r>
        <w:t xml:space="preserve"> der tatsächliche Definitionsbereich, kann eine Funktion </w:t>
      </w:r>
      <m:oMath>
        <m:r>
          <w:rPr>
            <w:rFonts w:ascii="Cambria Math" w:hAnsi="Cambria Math"/>
          </w:rPr>
          <m:t xml:space="preserve">f:D </m:t>
        </m:r>
        <m:r>
          <m:rPr>
            <m:sty m:val="p"/>
          </m:rPr>
          <w:rPr>
            <w:rFonts w:ascii="Cambria Math" w:hAnsi="Cambria Math"/>
          </w:rPr>
          <m:t>→</m:t>
        </m:r>
        <m:r>
          <w:rPr>
            <w:rFonts w:ascii="Cambria Math" w:hAnsi="Cambria Math"/>
          </w:rPr>
          <m:t>B</m:t>
        </m:r>
      </m:oMath>
      <w:r>
        <w:t xml:space="preserve"> im Verhältnis zum größeren Grundbereich </w:t>
      </w:r>
      <m:oMath>
        <m:r>
          <w:rPr>
            <w:rFonts w:ascii="Cambria Math" w:hAnsi="Cambria Math"/>
          </w:rPr>
          <m:t>A</m:t>
        </m:r>
      </m:oMath>
      <w:r>
        <w:t xml:space="preserve"> als partielle Funktion aufgefasst werden.</w:t>
      </w:r>
    </w:p>
    <w:p w:rsidR="007802DD" w:rsidRDefault="007802DD" w:rsidP="007802DD">
      <w:pPr>
        <w:pStyle w:val="StandardWeb"/>
      </w:pPr>
      <w:r>
        <w:rPr>
          <w:rStyle w:val="Fett"/>
        </w:rPr>
        <w:t>Gleichung (M1.26) – Partielle Funktion</w:t>
      </w:r>
    </w:p>
    <w:p w:rsidR="007802DD" w:rsidRDefault="00AF300A" w:rsidP="00AF300A">
      <w:pPr>
        <w:pStyle w:val="Formel"/>
      </w:pPr>
      <m:oMath>
        <m:r>
          <m:t>f:D →B,  D ⊆A</m:t>
        </m:r>
      </m:oMath>
      <w:r>
        <w:t xml:space="preserve"> </w:t>
      </w:r>
      <w:r>
        <w:tab/>
        <w:t>(M1.26)</w:t>
      </w:r>
    </w:p>
    <w:p w:rsidR="007802DD" w:rsidRDefault="007802DD" w:rsidP="007802DD">
      <w:pPr>
        <w:pStyle w:val="StandardWeb"/>
      </w:pPr>
      <w:r>
        <w:lastRenderedPageBreak/>
        <w:t>Diese Unterscheidung folgt aus der grundlegenden Bedeutung des Definitionsbereichs einer Funktion [[80]]. Die Existenz eines übergeordneten Zustandsraums bedeutet nicht, dass jeder darauf betrachtete Operator oder jede Abbildung auf jedem Element dieses Raums definiert sein muss.</w:t>
      </w:r>
    </w:p>
    <w:p w:rsidR="007802DD" w:rsidRDefault="007802DD" w:rsidP="007802DD">
      <w:pPr>
        <w:pStyle w:val="StandardWeb"/>
      </w:pPr>
      <w:r>
        <w:t xml:space="preserve">Eine Funktion </w:t>
      </w:r>
      <m:oMath>
        <m:r>
          <w:rPr>
            <w:rFonts w:ascii="Cambria Math" w:hAnsi="Cambria Math"/>
          </w:rPr>
          <m:t xml:space="preserve">f:D </m:t>
        </m:r>
        <m:r>
          <m:rPr>
            <m:sty m:val="p"/>
          </m:rPr>
          <w:rPr>
            <w:rFonts w:ascii="Cambria Math" w:hAnsi="Cambria Math"/>
          </w:rPr>
          <m:t>→</m:t>
        </m:r>
        <m:r>
          <w:rPr>
            <w:rFonts w:ascii="Cambria Math" w:hAnsi="Cambria Math"/>
          </w:rPr>
          <m:t>B</m:t>
        </m:r>
      </m:oMath>
      <w:r>
        <w:t xml:space="preserve"> ist bezüglich ihres tatsächlichen Definitionsbereichs </w:t>
      </w:r>
      <m:oMath>
        <m:r>
          <w:rPr>
            <w:rFonts w:ascii="Cambria Math" w:hAnsi="Cambria Math"/>
          </w:rPr>
          <m:t>D</m:t>
        </m:r>
      </m:oMath>
      <w:r>
        <w:t xml:space="preserve"> eine vollständig besti</w:t>
      </w:r>
      <w:proofErr w:type="spellStart"/>
      <w:r>
        <w:t>mmte</w:t>
      </w:r>
      <w:proofErr w:type="spellEnd"/>
      <w:r>
        <w:t xml:space="preserve"> Funktion. Die Bezeichnung „partiell“ entsteht erst dadurch, dass zusätzlich ein größerer Betrachtungsbereich </w:t>
      </w:r>
      <m:oMath>
        <m:r>
          <w:rPr>
            <w:rFonts w:ascii="Cambria Math" w:hAnsi="Cambria Math"/>
          </w:rPr>
          <m:t>A</m:t>
        </m:r>
      </m:oMath>
      <w:r>
        <w:t xml:space="preserve"> vorausgesetzt wird, für den </w:t>
      </w:r>
      <m:oMath>
        <m:r>
          <w:rPr>
            <w:rFonts w:ascii="Cambria Math" w:hAnsi="Cambria Math"/>
          </w:rPr>
          <m:t xml:space="preserve">D </m:t>
        </m:r>
        <m:r>
          <m:rPr>
            <m:sty m:val="p"/>
          </m:rPr>
          <w:rPr>
            <w:rFonts w:ascii="Cambria Math" w:hAnsi="Cambria Math"/>
          </w:rPr>
          <m:t>⊆</m:t>
        </m:r>
        <m:r>
          <w:rPr>
            <w:rFonts w:ascii="Cambria Math" w:hAnsi="Cambria Math"/>
          </w:rPr>
          <m:t>A</m:t>
        </m:r>
      </m:oMath>
      <w:r>
        <w:t xml:space="preserve"> gilt.</w:t>
      </w:r>
    </w:p>
    <w:p w:rsidR="007802DD" w:rsidRDefault="007802DD" w:rsidP="007802DD">
      <w:pPr>
        <w:pStyle w:val="berschrift2"/>
      </w:pPr>
      <w:r>
        <w:t>M1.9 Struktureller Zusammenhang der ausgelagerten Grundlagen</w:t>
      </w:r>
    </w:p>
    <w:p w:rsidR="007802DD" w:rsidRDefault="007802DD" w:rsidP="007802DD">
      <w:pPr>
        <w:pStyle w:val="StandardWeb"/>
      </w:pPr>
      <w:r>
        <w:t>Die in dieser Anlage zusammengeführten Beziehungen bilden keine voneinander unabhängige Sammlung elementarer Formeln. Sie folgen einem klaren strukturellen Aufbau, bei dem jeder zusätzliche Begriff eine mathematische Möglichkeit bereitstellt, die mit den vorhergehenden Strukturen noch nicht vorhanden war.</w:t>
      </w:r>
    </w:p>
    <w:p w:rsidR="007802DD" w:rsidRDefault="007802DD" w:rsidP="007802DD">
      <w:pPr>
        <w:pStyle w:val="StandardWeb"/>
      </w:pPr>
      <w:r>
        <w:t>Zunächst erlaubt mir die Teilmengenrelation, eingeschränkte Objektbereiche innerhalb größerer Bereiche zu bestimmen. Die Mengengleichheit entscheidet, wann zwei solcher Bereiche formal identisch sind. Die leere Menge bildet den Grenzfall eines Bereichs ohne Elemente. Vereinigung, Schnitt und Differenz ermöglichen anschließend, verschiedene Bereiche zusammenzuführen, ihre Gemeinsamkeiten zu bestimmen oder sie voneinander abzugrenzen.</w:t>
      </w:r>
    </w:p>
    <w:p w:rsidR="007802DD" w:rsidRDefault="007802DD" w:rsidP="007802DD">
      <w:pPr>
        <w:pStyle w:val="StandardWeb"/>
      </w:pPr>
      <w:r>
        <w:t>Mit der Potenzmenge entsteht eine zusätzliche mathematische Ebene, weil nun nicht mehr nur einzelne Elemente, sondern sämtliche möglichen Teilbereiche eines gegebenen Objektbereichs gemeinsam betrachtet werden. Das geordnete Paar ergänzt anschließend Positionsinformation, die in einer gewöhnlichen Menge nicht vorhanden ist. Das kartesische Produkt erzeugt daraus den Raum sämtlicher formal möglichen geordneten Paarungen.</w:t>
      </w:r>
    </w:p>
    <w:p w:rsidR="007802DD" w:rsidRDefault="007802DD" w:rsidP="007802DD">
      <w:pPr>
        <w:pStyle w:val="StandardWeb"/>
      </w:pPr>
      <w:r>
        <w:t xml:space="preserve">Erst auf dieser Grundlage können Relationen und Funktionen präzise verstanden werden. Eine Relation wählt bestimmte geordnete Paare aus einem kartesischen Produkt aus. Eine Funktion schränkt diese Auswahl zusätzlich so ein, dass jedem Element ihres Definitionsbereichs genau ein Funktionswert zugeordnet wird. Dieser strukturelle Übergang von Mengen über Relationen zu Funktionen wird sowohl bei </w:t>
      </w:r>
      <w:proofErr w:type="spellStart"/>
      <w:r>
        <w:t>Halmos</w:t>
      </w:r>
      <w:proofErr w:type="spellEnd"/>
      <w:r>
        <w:t xml:space="preserve"> als auch bei </w:t>
      </w:r>
      <w:proofErr w:type="spellStart"/>
      <w:r>
        <w:t>Enderton</w:t>
      </w:r>
      <w:proofErr w:type="spellEnd"/>
      <w:r>
        <w:t xml:space="preserve"> systematisch entwickelt [[6]] [[80]].</w:t>
      </w:r>
    </w:p>
    <w:p w:rsidR="007802DD" w:rsidRDefault="007802DD" w:rsidP="007802DD">
      <w:pPr>
        <w:pStyle w:val="StandardWeb"/>
      </w:pPr>
      <w:r>
        <w:t>Auf der funktionalen Ebene treten anschließend weitere Unterscheidungen hinzu. Das Bild legt fest, welche Elemente des Zielbereichs tatsächlich erreicht werden. Teilbilder erlauben die Untersuchung eingeschränkter Definitionsbereiche, während Urbilder diejenigen Ausgangselemente bestimmen, die in einen vorgegebenen Zielbereich abgebildet werden.</w:t>
      </w:r>
    </w:p>
    <w:p w:rsidR="007802DD" w:rsidRDefault="007802DD" w:rsidP="007802DD">
      <w:pPr>
        <w:pStyle w:val="StandardWeb"/>
      </w:pPr>
      <w:r>
        <w:t>Identität und Komposition erweitern diese Struktur auf zusammengesetzte Zuordnungen. Mehrstellige Funktionen nutzen kartesische Produkte als Definitionsbereiche. Parametrisierte Funktionsfamilien behandeln vollständige Mengen verwandter Funktionen, und partielle Funktionen machen deutlich, dass der tatsächliche Definitionsbereich einer Abbildung kleiner sein kann als ein übergeordneter Betrachtungsraum.</w:t>
      </w:r>
    </w:p>
    <w:p w:rsidR="007802DD" w:rsidRDefault="007802DD" w:rsidP="007802DD">
      <w:pPr>
        <w:pStyle w:val="StandardWeb"/>
      </w:pPr>
      <w:r>
        <w:t xml:space="preserve">Für meinen Aufbau ist gerade diese schrittweise Erweiterung wesentlich. Ich benötige keinen isolierten Katalog mathematischer Definitionen, sondern eine nachvollziehbare </w:t>
      </w:r>
      <w:r>
        <w:lastRenderedPageBreak/>
        <w:t>Abhängigkeitsstruktur, in der sichtbar bleibt, welches zusätzliche Problem durch einen jeweils neu eingeführten Begriff gelöst wird.</w:t>
      </w:r>
    </w:p>
    <w:p w:rsidR="007802DD" w:rsidRDefault="007802DD" w:rsidP="007802DD">
      <w:pPr>
        <w:pStyle w:val="berschrift2"/>
      </w:pPr>
      <w:r>
        <w:t>M1.10 Methodologische Einordnung</w:t>
      </w:r>
    </w:p>
    <w:p w:rsidR="007802DD" w:rsidRDefault="007802DD" w:rsidP="007802DD">
      <w:pPr>
        <w:pStyle w:val="StandardWeb"/>
      </w:pPr>
      <w:r>
        <w:t>Mit dieser Anlage habe ich die im Haupttext bewusst komprimierten mengentheoretischen und funktionalen Beziehungen vollständig entfaltet. Die mathematische Grundlage dafür ist etablierte Literatur [[6]] [[80]] [[72]] [[83]].</w:t>
      </w:r>
    </w:p>
    <w:p w:rsidR="007802DD" w:rsidRDefault="007802DD" w:rsidP="007802DD">
      <w:pPr>
        <w:pStyle w:val="StandardWeb"/>
      </w:pPr>
      <w:r>
        <w:t xml:space="preserve">Für die weitere Dissertation ist jedoch vor allem die Grenze dieser Mathematik entscheidend. Keine der eingeführten Strukturen legt aus sich heraus fest, was ein physikalischer Zustand, eine Ursache, eine zeitliche Entwicklung, eine räumliche Richtung oder eine reale Systemgrenze </w:t>
      </w:r>
      <w:proofErr w:type="gramStart"/>
      <w:r>
        <w:t>ist</w:t>
      </w:r>
      <w:proofErr w:type="gramEnd"/>
      <w:r>
        <w:t>. Diese Einschränkung ist keine zusätzliche mathematische Behauptung aus einer der verwendeten Quellen, sondern Bestandteil meiner methodologischen Trennung zwischen etablierter Mathematik und späterer FRZK-Interpretation.</w:t>
      </w:r>
    </w:p>
    <w:p w:rsidR="007802DD" w:rsidRDefault="007802DD" w:rsidP="007802DD">
      <w:pPr>
        <w:pStyle w:val="StandardWeb"/>
      </w:pPr>
      <w:r>
        <w:t xml:space="preserve">Die mathematische Aussage </w:t>
      </w:r>
      <m:oMath>
        <m:r>
          <w:rPr>
            <w:rFonts w:ascii="Cambria Math" w:hAnsi="Cambria Math"/>
          </w:rPr>
          <m:t xml:space="preserve">A </m:t>
        </m:r>
        <m:r>
          <m:rPr>
            <m:sty m:val="p"/>
          </m:rPr>
          <w:rPr>
            <w:rFonts w:ascii="Cambria Math" w:hAnsi="Cambria Math"/>
          </w:rPr>
          <m:t>⊆</m:t>
        </m:r>
        <m:r>
          <w:rPr>
            <w:rFonts w:ascii="Cambria Math" w:hAnsi="Cambria Math"/>
          </w:rPr>
          <m:t>B</m:t>
        </m:r>
      </m:oMath>
      <w:r>
        <w:t xml:space="preserve"> bedeutet deshalb nicht, dass ein physikalisches System räumlich innerhalb eines anderen Systems liegt. Die Aussage </w:t>
      </w:r>
      <m:oMath>
        <m:d>
          <m:dPr>
            <m:ctrlPr>
              <w:rPr>
                <w:rFonts w:ascii="Cambria Math" w:hAnsi="Cambria Math"/>
                <w:i/>
              </w:rPr>
            </m:ctrlPr>
          </m:dPr>
          <m:e>
            <m:r>
              <w:rPr>
                <w:rFonts w:ascii="Cambria Math" w:hAnsi="Cambria Math"/>
              </w:rPr>
              <m:t>a,b</m:t>
            </m:r>
          </m:e>
        </m:d>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oMath>
      <w:r>
        <w:t xml:space="preserve"> bedeutet nicht, dass zwischen </w:t>
      </w:r>
      <m:oMath>
        <m:r>
          <w:rPr>
            <w:rFonts w:ascii="Cambria Math" w:hAnsi="Cambria Math"/>
          </w:rPr>
          <m:t>a</m:t>
        </m:r>
      </m:oMath>
      <w:r>
        <w:t xml:space="preserve"> und </w:t>
      </w:r>
      <m:oMath>
        <m:r>
          <w:rPr>
            <w:rFonts w:ascii="Cambria Math" w:hAnsi="Cambria Math"/>
          </w:rPr>
          <m:t>b</m:t>
        </m:r>
      </m:oMath>
      <w:r>
        <w:t xml:space="preserve"> eine physikalische Wechselwirkung existiert. Die Funktionsbeziehung </w:t>
      </w:r>
      <m:oMath>
        <m:r>
          <w:rPr>
            <w:rFonts w:ascii="Cambria Math" w:hAnsi="Cambria Math"/>
          </w:rPr>
          <m:t>f</m:t>
        </m:r>
        <m:d>
          <m:dPr>
            <m:ctrlPr>
              <w:rPr>
                <w:rFonts w:ascii="Cambria Math" w:hAnsi="Cambria Math"/>
                <w:i/>
              </w:rPr>
            </m:ctrlPr>
          </m:dPr>
          <m:e>
            <m:r>
              <w:rPr>
                <w:rFonts w:ascii="Cambria Math" w:hAnsi="Cambria Math"/>
              </w:rPr>
              <m:t>a</m:t>
            </m:r>
          </m:e>
        </m:d>
        <m:r>
          <w:rPr>
            <w:rFonts w:ascii="Cambria Math" w:hAnsi="Cambria Math"/>
          </w:rPr>
          <m:t>=b</m:t>
        </m:r>
      </m:oMath>
      <w:r>
        <w:t xml:space="preserve"> bedeutet nicht, dass </w:t>
      </w:r>
      <m:oMath>
        <m:r>
          <w:rPr>
            <w:rFonts w:ascii="Cambria Math" w:hAnsi="Cambria Math"/>
          </w:rPr>
          <m:t>a</m:t>
        </m:r>
      </m:oMath>
      <w:r>
        <w:t xml:space="preserve"> die Ursache von </w:t>
      </w:r>
      <m:oMath>
        <m:r>
          <w:rPr>
            <w:rFonts w:ascii="Cambria Math" w:hAnsi="Cambria Math"/>
          </w:rPr>
          <m:t>b</m:t>
        </m:r>
      </m:oMath>
      <w:r>
        <w:t xml:space="preserve"> ist. Ebenso bedeutet die Verkettung </w:t>
      </w:r>
      <m:oMath>
        <m:r>
          <w:rPr>
            <w:rFonts w:ascii="Cambria Math" w:hAnsi="Cambria Math"/>
          </w:rPr>
          <m:t xml:space="preserve">g </m:t>
        </m:r>
        <m:r>
          <m:rPr>
            <m:sty m:val="p"/>
          </m:rPr>
          <w:rPr>
            <w:rFonts w:ascii="Cambria Math" w:hAnsi="Cambria Math"/>
          </w:rPr>
          <m:t>∘</m:t>
        </m:r>
        <m:r>
          <w:rPr>
            <w:rFonts w:ascii="Cambria Math" w:hAnsi="Cambria Math"/>
          </w:rPr>
          <m:t>f</m:t>
        </m:r>
      </m:oMath>
      <w:r>
        <w:t xml:space="preserve"> nicht automatisch, dass die beiden mathematischen Zuordnungen als reale Vorgänge zeitlich nacheinander ablaufen.</w:t>
      </w:r>
    </w:p>
    <w:p w:rsidR="007802DD" w:rsidRDefault="007802DD" w:rsidP="007802DD">
      <w:pPr>
        <w:pStyle w:val="StandardWeb"/>
      </w:pPr>
      <w:r>
        <w:t xml:space="preserve">Auch der Begriff der mathematischen Erreichbarkeit muss in diesem Zusammenhang vorsichtig verwendet werden. Wenn ein Element </w:t>
      </w:r>
      <m:oMath>
        <m:r>
          <w:rPr>
            <w:rFonts w:ascii="Cambria Math" w:hAnsi="Cambria Math"/>
          </w:rPr>
          <m:t>b</m:t>
        </m:r>
      </m:oMath>
      <w:r>
        <w:t xml:space="preserve"> im Bild </w:t>
      </w:r>
      <m:oMath>
        <m:r>
          <w:rPr>
            <w:rFonts w:ascii="Cambria Math" w:hAnsi="Cambria Math"/>
          </w:rPr>
          <m:t>f</m:t>
        </m:r>
        <m:d>
          <m:dPr>
            <m:ctrlPr>
              <w:rPr>
                <w:rFonts w:ascii="Cambria Math" w:hAnsi="Cambria Math"/>
                <w:i/>
              </w:rPr>
            </m:ctrlPr>
          </m:dPr>
          <m:e>
            <m:r>
              <w:rPr>
                <w:rFonts w:ascii="Cambria Math" w:hAnsi="Cambria Math"/>
              </w:rPr>
              <m:t>A</m:t>
            </m:r>
          </m:e>
        </m:d>
      </m:oMath>
      <w:r>
        <w:t xml:space="preserve"> liegt, bedeutet dies zunächst ausschließlich, dass mindestens ein Element </w:t>
      </w:r>
      <m:oMath>
        <m:r>
          <w:rPr>
            <w:rFonts w:ascii="Cambria Math" w:hAnsi="Cambria Math"/>
          </w:rPr>
          <m:t xml:space="preserve">a </m:t>
        </m:r>
        <m:r>
          <m:rPr>
            <m:sty m:val="p"/>
          </m:rPr>
          <w:rPr>
            <w:rFonts w:ascii="Cambria Math" w:hAnsi="Cambria Math"/>
          </w:rPr>
          <m:t>∈</m:t>
        </m:r>
        <m:r>
          <w:rPr>
            <w:rFonts w:ascii="Cambria Math" w:hAnsi="Cambria Math"/>
          </w:rPr>
          <m:t>A</m:t>
        </m:r>
      </m:oMath>
      <w:r>
        <w:t xml:space="preserve"> existiert, für das </w:t>
      </w:r>
      <m:oMath>
        <m:r>
          <w:rPr>
            <w:rFonts w:ascii="Cambria Math" w:hAnsi="Cambria Math"/>
          </w:rPr>
          <m:t>f</m:t>
        </m:r>
        <m:d>
          <m:dPr>
            <m:ctrlPr>
              <w:rPr>
                <w:rFonts w:ascii="Cambria Math" w:hAnsi="Cambria Math"/>
                <w:i/>
              </w:rPr>
            </m:ctrlPr>
          </m:dPr>
          <m:e>
            <m:r>
              <w:rPr>
                <w:rFonts w:ascii="Cambria Math" w:hAnsi="Cambria Math"/>
              </w:rPr>
              <m:t>a</m:t>
            </m:r>
          </m:e>
        </m:d>
        <m:r>
          <w:rPr>
            <w:rFonts w:ascii="Cambria Math" w:hAnsi="Cambria Math"/>
          </w:rPr>
          <m:t>=b</m:t>
        </m:r>
      </m:oMath>
      <w:r>
        <w:t xml:space="preserve"> gilt. Daraus folgt noch nicht, dass ein physikalisches System durch einen realen Prozess von einem Zustand </w:t>
      </w:r>
      <m:oMath>
        <m:r>
          <w:rPr>
            <w:rFonts w:ascii="Cambria Math" w:hAnsi="Cambria Math"/>
          </w:rPr>
          <m:t>a</m:t>
        </m:r>
      </m:oMath>
      <w:r>
        <w:t xml:space="preserve"> zu einem Zustand </w:t>
      </w:r>
      <m:oMath>
        <m:r>
          <w:rPr>
            <w:rFonts w:ascii="Cambria Math" w:hAnsi="Cambria Math"/>
          </w:rPr>
          <m:t>b</m:t>
        </m:r>
      </m:oMath>
      <w:r>
        <w:t xml:space="preserve"> gelangen kann.</w:t>
      </w:r>
    </w:p>
    <w:p w:rsidR="007802DD" w:rsidRDefault="007802DD" w:rsidP="007802DD">
      <w:pPr>
        <w:pStyle w:val="StandardWeb"/>
      </w:pPr>
      <w:r>
        <w:t xml:space="preserve">Dasselbe gilt für die Parametrisierung. Eine </w:t>
      </w:r>
      <w:proofErr w:type="gramStart"/>
      <w:r>
        <w:t>Funktionsfamilie  beschreibt</w:t>
      </w:r>
      <w:proofErr w:type="gramEnd"/>
      <w:r>
        <w:t xml:space="preserve"> eine mathematische Menge von Funktionen. Aus dem Parameter </w:t>
      </w:r>
      <m:oMath>
        <m:r>
          <m:rPr>
            <m:sty m:val="p"/>
          </m:rPr>
          <w:rPr>
            <w:rFonts w:ascii="Cambria Math" w:hAnsi="Cambria Math"/>
          </w:rPr>
          <m:t>θ</m:t>
        </m:r>
      </m:oMath>
      <w:r>
        <w:t xml:space="preserve"> folgt weder eine zeitliche Koordinate noch eine physikalische Zustandsgröße. Eine solche Interpretation müsste später ausdrücklich eingeführt und begründet werden.</w:t>
      </w:r>
    </w:p>
    <w:p w:rsidR="007802DD" w:rsidRDefault="007802DD" w:rsidP="007802DD">
      <w:pPr>
        <w:pStyle w:val="StandardWeb"/>
      </w:pPr>
      <w:r>
        <w:t>Erst die axiomatische Konstruktion darf deshalb festlegen, welche dieser mathematischen Strukturen innerhalb des FRZK verwendet werden, welche mathematischen Räume als Zustandsräume dienen und welche zusätzliche Bedeutung bestimmten Relationen, Funktionen oder Transformationen zukommt.</w:t>
      </w:r>
    </w:p>
    <w:p w:rsidR="007802DD" w:rsidRDefault="007802DD" w:rsidP="007802DD">
      <w:pPr>
        <w:pStyle w:val="berschrift2"/>
      </w:pPr>
      <w:r>
        <w:t>M1.11 Didaktische Einordnung</w:t>
      </w:r>
    </w:p>
    <w:p w:rsidR="007802DD" w:rsidRDefault="007802DD" w:rsidP="007802DD">
      <w:pPr>
        <w:pStyle w:val="StandardWeb"/>
      </w:pPr>
      <w:r>
        <w:t>Didaktisch erfüllt die Anlage für mich eine andere Aufgabe als der mathematische Haupttext. Im Haupttext muss die Argumentationslinie zu den später benötigten Strukturen sichtbar bleiben. Würde ich dort jede elementare Mengenoperation, jede Variante des Funktionsbegriffs und jede daraus folgende formale Beziehung vollständig entfalten, würde der eigentliche mathematische Entwicklungspfad zunehmend durch Detailstrukturen verdeckt.</w:t>
      </w:r>
    </w:p>
    <w:p w:rsidR="007802DD" w:rsidRDefault="007802DD" w:rsidP="007802DD">
      <w:pPr>
        <w:pStyle w:val="StandardWeb"/>
      </w:pPr>
      <w:r>
        <w:t xml:space="preserve">Die Auslagerung bedeutet jedoch nicht, dass diese Details entbehrlich wären. Gerade bei grundlegenden mathematischen Begriffen entstehen spätere Fehler häufig dadurch, dass scheinbar selbstverständliche Unterscheidungen nicht mehr ausdrücklich beachtet werden. </w:t>
      </w:r>
      <w:r>
        <w:lastRenderedPageBreak/>
        <w:t>Zielbereich und Bild werden miteinander verwechselt, Urbild und Umkehrfunktion gleichgesetzt, Teilmenge und echte Teilmenge nicht unterschieden oder die Reihenfolge einer Funktionskomposition als beliebig behandelt. Die klare Trennung dieser Begriffe gehört deshalb zum grundlegenden mathematischen Aufbau [[6]] [[80]].</w:t>
      </w:r>
    </w:p>
    <w:p w:rsidR="007802DD" w:rsidRDefault="007802DD" w:rsidP="007802DD">
      <w:pPr>
        <w:pStyle w:val="StandardWeb"/>
      </w:pPr>
      <w:r>
        <w:t>Deshalb führe ich diese Beziehungen hier ausdrücklich aus. Für mich entsteht dadurch eine zweistufige Darstellung. Der Haupttext zeigt, welche mathematische Struktur ich für den nächsten Argumentationsschritt benötige. Die Anlage ermöglicht es dagegen, die zugehörigen formalen Einzelheiten nachzuvollziehen, ohne den Hauptpfad zu unterbrechen.</w:t>
      </w:r>
    </w:p>
    <w:p w:rsidR="007802DD" w:rsidRDefault="007802DD" w:rsidP="007802DD">
      <w:pPr>
        <w:pStyle w:val="berschrift2"/>
      </w:pPr>
      <w:r>
        <w:t>M1.12 Ergebnis und Rückbindung an Kapitel 3.2</w:t>
      </w:r>
    </w:p>
    <w:p w:rsidR="007802DD" w:rsidRDefault="007802DD" w:rsidP="007802DD">
      <w:pPr>
        <w:pStyle w:val="StandardWeb"/>
      </w:pPr>
      <w:r>
        <w:t>Mit Anlage M1 stehen die in den Abschnitten 3.2.1 und 3.2.2 benötigten mengentheoretischen und funktionalen Vertiefungen vollständig zur Verfügung. Der Haupttext kann dadurch auf diejenigen Definitionen und Aussagen konzentriert bleiben, die für den weiteren mathematischen Argumentationsgang unmittelbar erforderlich sind, ohne dass die ausgelagerten formalen Zusammenhänge verloren gehen.</w:t>
      </w:r>
    </w:p>
    <w:p w:rsidR="007802DD" w:rsidRDefault="007802DD" w:rsidP="007802DD">
      <w:pPr>
        <w:pStyle w:val="StandardWeb"/>
      </w:pPr>
      <w:r>
        <w:t>Die Anlage zeigt insbesondere, wie sich aus einfachen Zugehörigkeitsbeziehungen schrittweise komplexere mathematische Strukturen entwickeln. Teilmengen und Mengenoperationen strukturieren Objektbereiche. Potenzmengen erweitern die Betrachtung auf vollständige Teilbereiche. Geordnete Paare und kartesische Produkte schaffen die Grundlage für Relationen. Funktionen ergänzen die Forderung einer eindeutigen Zuordnung. Bild und Urbild differenzieren die tatsächliche Reichweite einer Funktion, während Identität und Komposition die Grundlage für zusammengesetzte Transformationen bilden. Mehrstellige, parametrisierte und partielle Funktionen erweitern diese Struktur schließlich auf diejenigen Formen von Zuordnungen, die im weiteren mathematischen Aufbau benötigt werden.</w:t>
      </w:r>
    </w:p>
    <w:p w:rsidR="007802DD" w:rsidRDefault="007802DD" w:rsidP="007802DD">
      <w:pPr>
        <w:pStyle w:val="StandardWeb"/>
      </w:pPr>
      <w:r>
        <w:t xml:space="preserve">Damit bleibt die Aufgabenverteilung zwischen Haupttext und Anlage eindeutig. Kapitel 3.2 führt die für den mathematischen Argumentationspfad notwendigen Kernbegriffe ein. Anlage M1 hält die dazugehörigen mengentheoretischen und funktionalen Vertiefungen vollständig, nachvollziehbar und technisch </w:t>
      </w:r>
      <w:proofErr w:type="spellStart"/>
      <w:r>
        <w:t>referenzierbar</w:t>
      </w:r>
      <w:proofErr w:type="spellEnd"/>
      <w:r>
        <w:t xml:space="preserve"> bereit.</w:t>
      </w:r>
    </w:p>
    <w:p w:rsidR="007802DD" w:rsidRDefault="007802DD" w:rsidP="007802DD">
      <w:pPr>
        <w:pStyle w:val="StandardWeb"/>
      </w:pPr>
      <w:r>
        <w:t xml:space="preserve">Der nächste ausgelagerte mathematische Bereich schließt unmittelbar daran an. Nachdem Mengen und Funktionen geklärt sind, muss untersucht werden, unter welchen zusätzlichen Bedingungen ein Objektbereich eine algebraische Struktur erhält, in der Elemente addiert und mit Skalaren multipliziert werden können. Diese Vertiefung erfolgt in </w:t>
      </w:r>
      <w:r>
        <w:rPr>
          <w:rStyle w:val="Fett"/>
        </w:rPr>
        <w:t>Anlage M2 – Algebraische Grundlagen des Vektorraums</w:t>
      </w:r>
      <w:r>
        <w:t>.</w:t>
      </w:r>
    </w:p>
    <w:p w:rsidR="00D313FE" w:rsidRPr="007802DD" w:rsidRDefault="00D313FE" w:rsidP="007802DD">
      <w:pPr>
        <w:rPr>
          <w:rStyle w:val="SQLTabellen"/>
          <w:rFonts w:ascii="Calibri" w:hAnsi="Calibri"/>
          <w:b w:val="0"/>
          <w:sz w:val="24"/>
        </w:rPr>
      </w:pPr>
      <w:bookmarkStart w:id="0" w:name="_GoBack"/>
      <w:bookmarkEnd w:id="0"/>
    </w:p>
    <w:sectPr w:rsidR="00D313FE" w:rsidRPr="007802DD">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A225BBD"/>
    <w:multiLevelType w:val="multilevel"/>
    <w:tmpl w:val="39F4BE56"/>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1"/>
  </w:num>
  <w:num w:numId="3">
    <w:abstractNumId w:val="2"/>
  </w:num>
  <w:num w:numId="4">
    <w:abstractNumId w:val="3"/>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2"/>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CD2"/>
    <w:rsid w:val="00003048"/>
    <w:rsid w:val="00043608"/>
    <w:rsid w:val="000467F2"/>
    <w:rsid w:val="0006156C"/>
    <w:rsid w:val="00082214"/>
    <w:rsid w:val="000B0C44"/>
    <w:rsid w:val="000C2FC6"/>
    <w:rsid w:val="000D70EA"/>
    <w:rsid w:val="00103784"/>
    <w:rsid w:val="00106528"/>
    <w:rsid w:val="00153E4B"/>
    <w:rsid w:val="001830F2"/>
    <w:rsid w:val="0019229D"/>
    <w:rsid w:val="002B03D4"/>
    <w:rsid w:val="002D20FA"/>
    <w:rsid w:val="002D4202"/>
    <w:rsid w:val="00324306"/>
    <w:rsid w:val="00341905"/>
    <w:rsid w:val="003F7382"/>
    <w:rsid w:val="00433ECB"/>
    <w:rsid w:val="00436FC4"/>
    <w:rsid w:val="0044266C"/>
    <w:rsid w:val="00446557"/>
    <w:rsid w:val="00461C7A"/>
    <w:rsid w:val="00483AB8"/>
    <w:rsid w:val="00500020"/>
    <w:rsid w:val="005454E6"/>
    <w:rsid w:val="00560B17"/>
    <w:rsid w:val="005B5EFD"/>
    <w:rsid w:val="005E4CED"/>
    <w:rsid w:val="006016DC"/>
    <w:rsid w:val="00614AA1"/>
    <w:rsid w:val="00665F4B"/>
    <w:rsid w:val="00687548"/>
    <w:rsid w:val="006B3395"/>
    <w:rsid w:val="006D52C7"/>
    <w:rsid w:val="00706409"/>
    <w:rsid w:val="007115B7"/>
    <w:rsid w:val="007802DD"/>
    <w:rsid w:val="00790A9E"/>
    <w:rsid w:val="00795695"/>
    <w:rsid w:val="007A3369"/>
    <w:rsid w:val="007B7DE7"/>
    <w:rsid w:val="007E333F"/>
    <w:rsid w:val="007E47AB"/>
    <w:rsid w:val="00835ADB"/>
    <w:rsid w:val="00885F7D"/>
    <w:rsid w:val="008871CF"/>
    <w:rsid w:val="008B0C43"/>
    <w:rsid w:val="008C3FE9"/>
    <w:rsid w:val="008C4935"/>
    <w:rsid w:val="008E0764"/>
    <w:rsid w:val="009032D7"/>
    <w:rsid w:val="00997246"/>
    <w:rsid w:val="009A595B"/>
    <w:rsid w:val="009D04D3"/>
    <w:rsid w:val="00A307C9"/>
    <w:rsid w:val="00A34CFC"/>
    <w:rsid w:val="00AA4222"/>
    <w:rsid w:val="00AA579E"/>
    <w:rsid w:val="00AA5CD2"/>
    <w:rsid w:val="00AC1440"/>
    <w:rsid w:val="00AE408D"/>
    <w:rsid w:val="00AF300A"/>
    <w:rsid w:val="00AF6392"/>
    <w:rsid w:val="00B04313"/>
    <w:rsid w:val="00B53EE0"/>
    <w:rsid w:val="00B555C2"/>
    <w:rsid w:val="00B873C2"/>
    <w:rsid w:val="00BA5790"/>
    <w:rsid w:val="00BA664A"/>
    <w:rsid w:val="00BB30C9"/>
    <w:rsid w:val="00BE24E2"/>
    <w:rsid w:val="00C2343F"/>
    <w:rsid w:val="00C6537C"/>
    <w:rsid w:val="00C9163A"/>
    <w:rsid w:val="00CD2089"/>
    <w:rsid w:val="00CF1387"/>
    <w:rsid w:val="00D313FE"/>
    <w:rsid w:val="00D33BDA"/>
    <w:rsid w:val="00D44FE7"/>
    <w:rsid w:val="00D542C6"/>
    <w:rsid w:val="00D67542"/>
    <w:rsid w:val="00D80CC8"/>
    <w:rsid w:val="00E6450A"/>
    <w:rsid w:val="00EA1CC2"/>
    <w:rsid w:val="00EC35D8"/>
    <w:rsid w:val="00EE1062"/>
    <w:rsid w:val="00EE2879"/>
    <w:rsid w:val="00F23B99"/>
    <w:rsid w:val="00F40666"/>
    <w:rsid w:val="00F46CF6"/>
    <w:rsid w:val="00F5220B"/>
    <w:rsid w:val="00F63881"/>
    <w:rsid w:val="00F74A0F"/>
    <w:rsid w:val="00FA747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52943"/>
  <w15:chartTrackingRefBased/>
  <w15:docId w15:val="{952E71BE-69BC-4594-97FD-E230A6150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7115B7"/>
    <w:pPr>
      <w:spacing w:after="120"/>
    </w:pPr>
    <w:rPr>
      <w:rFonts w:eastAsia="Times New Roman" w:cs="Calibri"/>
      <w:bCs/>
      <w:sz w:val="24"/>
      <w:szCs w:val="24"/>
    </w:rPr>
  </w:style>
  <w:style w:type="paragraph" w:styleId="berschrift1">
    <w:name w:val="heading 1"/>
    <w:basedOn w:val="Standard"/>
    <w:next w:val="Standard"/>
    <w:link w:val="berschrift1Zchn"/>
    <w:uiPriority w:val="9"/>
    <w:qFormat/>
    <w:rsid w:val="00D313FE"/>
    <w:pPr>
      <w:outlineLvl w:val="0"/>
    </w:pPr>
    <w:rPr>
      <w:b/>
      <w:sz w:val="40"/>
      <w:szCs w:val="40"/>
    </w:rPr>
  </w:style>
  <w:style w:type="paragraph" w:styleId="berschrift2">
    <w:name w:val="heading 2"/>
    <w:basedOn w:val="Standard"/>
    <w:next w:val="Standard"/>
    <w:link w:val="berschrift2Zchn"/>
    <w:uiPriority w:val="9"/>
    <w:unhideWhenUsed/>
    <w:qFormat/>
    <w:rsid w:val="00D313FE"/>
    <w:pPr>
      <w:outlineLvl w:val="1"/>
    </w:pPr>
    <w:rPr>
      <w:b/>
      <w:sz w:val="36"/>
      <w:szCs w:val="36"/>
    </w:rPr>
  </w:style>
  <w:style w:type="paragraph" w:styleId="berschrift3">
    <w:name w:val="heading 3"/>
    <w:basedOn w:val="Standard"/>
    <w:next w:val="Standard"/>
    <w:link w:val="berschrift3Zchn"/>
    <w:uiPriority w:val="9"/>
    <w:unhideWhenUsed/>
    <w:qFormat/>
    <w:rsid w:val="00D313FE"/>
    <w:pPr>
      <w:outlineLvl w:val="2"/>
    </w:pPr>
    <w:rPr>
      <w:b/>
      <w:sz w:val="32"/>
      <w:szCs w:val="32"/>
    </w:rPr>
  </w:style>
  <w:style w:type="paragraph" w:styleId="berschrift4">
    <w:name w:val="heading 4"/>
    <w:basedOn w:val="Standard"/>
    <w:next w:val="Standard"/>
    <w:link w:val="berschrift4Zchn"/>
    <w:uiPriority w:val="9"/>
    <w:unhideWhenUsed/>
    <w:qFormat/>
    <w:rsid w:val="00835ADB"/>
    <w:pPr>
      <w:outlineLvl w:val="3"/>
    </w:pPr>
    <w:rPr>
      <w:b/>
      <w:sz w:val="26"/>
      <w:szCs w:val="28"/>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b/>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D313FE"/>
    <w:rPr>
      <w:rFonts w:eastAsia="Times New Roman" w:cs="Calibri"/>
      <w:b/>
      <w:bCs/>
      <w:sz w:val="36"/>
      <w:szCs w:val="36"/>
    </w:rPr>
  </w:style>
  <w:style w:type="character" w:customStyle="1" w:styleId="berschrift1Zchn">
    <w:name w:val="Überschrift 1 Zchn"/>
    <w:link w:val="berschrift1"/>
    <w:uiPriority w:val="9"/>
    <w:rsid w:val="00D313FE"/>
    <w:rPr>
      <w:rFonts w:eastAsia="Times New Roman" w:cs="Calibri"/>
      <w:b/>
      <w:bCs/>
      <w:sz w:val="40"/>
      <w:szCs w:val="40"/>
    </w:rPr>
  </w:style>
  <w:style w:type="character" w:customStyle="1" w:styleId="berschrift3Zchn">
    <w:name w:val="Überschrift 3 Zchn"/>
    <w:link w:val="berschrift3"/>
    <w:uiPriority w:val="9"/>
    <w:rsid w:val="00D313FE"/>
    <w:rPr>
      <w:rFonts w:eastAsia="Times New Roman" w:cs="Calibri"/>
      <w:b/>
      <w:bCs/>
      <w:sz w:val="32"/>
      <w:szCs w:val="32"/>
    </w:rPr>
  </w:style>
  <w:style w:type="character" w:customStyle="1" w:styleId="berschrift4Zchn">
    <w:name w:val="Überschrift 4 Zchn"/>
    <w:link w:val="berschrift4"/>
    <w:uiPriority w:val="9"/>
    <w:rsid w:val="00835ADB"/>
    <w:rPr>
      <w:rFonts w:eastAsia="Times New Roman" w:cs="Calibri"/>
      <w:b/>
      <w:bCs/>
      <w:sz w:val="26"/>
      <w:szCs w:val="28"/>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rsid w:val="002B03D4"/>
    <w:pPr>
      <w:keepNext/>
      <w:keepLines/>
      <w:spacing w:before="480" w:line="259" w:lineRule="auto"/>
    </w:pPr>
    <w:rPr>
      <w:rFonts w:eastAsia="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665F4B"/>
    <w:pPr>
      <w:tabs>
        <w:tab w:val="left" w:pos="7088"/>
      </w:tabs>
      <w:spacing w:before="360" w:after="360"/>
      <w:ind w:left="1418" w:firstLine="709"/>
      <w:jc w:val="both"/>
    </w:pPr>
    <w:rPr>
      <w:rFonts w:ascii="Cambria Math" w:eastAsia="Calibri" w:hAnsi="Cambria Math"/>
      <w:bCs w:val="0"/>
      <w:i/>
      <w:iCs/>
    </w:rPr>
  </w:style>
  <w:style w:type="character" w:customStyle="1" w:styleId="FormelZchn">
    <w:name w:val="Formel Zchn"/>
    <w:link w:val="Formel"/>
    <w:rsid w:val="00665F4B"/>
    <w:rPr>
      <w:rFonts w:ascii="Cambria Math" w:hAnsi="Cambria Math" w:cs="Calibri"/>
      <w:i/>
      <w:iCs/>
      <w:sz w:val="24"/>
      <w:szCs w:val="24"/>
    </w:rPr>
  </w:style>
  <w:style w:type="paragraph" w:customStyle="1" w:styleId="Zahlenliste">
    <w:name w:val="Zahlenliste"/>
    <w:basedOn w:val="Listenabsatz"/>
    <w:link w:val="ZahlenlisteZchn"/>
    <w:autoRedefine/>
    <w:qFormat/>
    <w:rsid w:val="00997246"/>
    <w:pPr>
      <w:numPr>
        <w:numId w:val="4"/>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tabs>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 w:type="paragraph" w:customStyle="1" w:styleId="SQLTabellennamen">
    <w:name w:val="SQLTabellennamen"/>
    <w:link w:val="SQLTabellennamenZchn"/>
    <w:qFormat/>
    <w:rsid w:val="009D04D3"/>
    <w:rPr>
      <w:rFonts w:ascii="Courier New" w:eastAsia="Times New Roman" w:hAnsi="Courier New"/>
      <w:b/>
      <w:sz w:val="22"/>
      <w:szCs w:val="24"/>
    </w:rPr>
  </w:style>
  <w:style w:type="character" w:customStyle="1" w:styleId="SQLTabellennamenZchn">
    <w:name w:val="SQLTabellennamen Zchn"/>
    <w:link w:val="SQLTabellennamen"/>
    <w:rsid w:val="009D04D3"/>
    <w:rPr>
      <w:rFonts w:ascii="Courier New" w:eastAsia="Times New Roman" w:hAnsi="Courier New"/>
      <w:b/>
      <w:sz w:val="22"/>
      <w:szCs w:val="24"/>
    </w:rPr>
  </w:style>
  <w:style w:type="character" w:customStyle="1" w:styleId="SQLTabellen">
    <w:name w:val="SQLTabellen"/>
    <w:uiPriority w:val="1"/>
    <w:rsid w:val="006B3395"/>
    <w:rPr>
      <w:rFonts w:ascii="Courier New" w:hAnsi="Courier New"/>
      <w:b/>
      <w:sz w:val="22"/>
    </w:rPr>
  </w:style>
  <w:style w:type="paragraph" w:customStyle="1" w:styleId="Definition">
    <w:name w:val="Definition"/>
    <w:basedOn w:val="berschrift4"/>
    <w:link w:val="DefinitionZchn"/>
    <w:qFormat/>
    <w:rsid w:val="00FA747D"/>
    <w:rPr>
      <w:sz w:val="25"/>
    </w:rPr>
  </w:style>
  <w:style w:type="paragraph" w:customStyle="1" w:styleId="Satz">
    <w:name w:val="Satz"/>
    <w:basedOn w:val="berschrift4"/>
    <w:link w:val="SatzZchn"/>
    <w:qFormat/>
    <w:rsid w:val="00FA747D"/>
    <w:rPr>
      <w:sz w:val="25"/>
    </w:rPr>
  </w:style>
  <w:style w:type="character" w:customStyle="1" w:styleId="DefinitionZchn">
    <w:name w:val="Definition Zchn"/>
    <w:basedOn w:val="berschrift4Zchn"/>
    <w:link w:val="Definition"/>
    <w:rsid w:val="00FA747D"/>
    <w:rPr>
      <w:rFonts w:eastAsia="Times New Roman" w:cs="Calibri"/>
      <w:b/>
      <w:bCs/>
      <w:sz w:val="25"/>
      <w:szCs w:val="28"/>
    </w:rPr>
  </w:style>
  <w:style w:type="paragraph" w:customStyle="1" w:styleId="Proposition">
    <w:name w:val="Proposition"/>
    <w:basedOn w:val="berschrift4"/>
    <w:link w:val="PropositionZchn"/>
    <w:qFormat/>
    <w:rsid w:val="00FA747D"/>
    <w:rPr>
      <w:sz w:val="25"/>
    </w:rPr>
  </w:style>
  <w:style w:type="character" w:customStyle="1" w:styleId="SatzZchn">
    <w:name w:val="Satz Zchn"/>
    <w:basedOn w:val="berschrift4Zchn"/>
    <w:link w:val="Satz"/>
    <w:rsid w:val="00FA747D"/>
    <w:rPr>
      <w:rFonts w:eastAsia="Times New Roman" w:cs="Calibri"/>
      <w:b/>
      <w:bCs/>
      <w:sz w:val="25"/>
      <w:szCs w:val="28"/>
    </w:rPr>
  </w:style>
  <w:style w:type="character" w:customStyle="1" w:styleId="PropositionZchn">
    <w:name w:val="Proposition Zchn"/>
    <w:basedOn w:val="berschrift4Zchn"/>
    <w:link w:val="Proposition"/>
    <w:rsid w:val="00FA747D"/>
    <w:rPr>
      <w:rFonts w:eastAsia="Times New Roman" w:cs="Calibri"/>
      <w:b/>
      <w:bCs/>
      <w:sz w:val="25"/>
      <w:szCs w:val="28"/>
    </w:rPr>
  </w:style>
  <w:style w:type="character" w:customStyle="1" w:styleId="katex">
    <w:name w:val="katex"/>
    <w:basedOn w:val="Absatz-Standardschriftart"/>
    <w:rsid w:val="008C3FE9"/>
  </w:style>
  <w:style w:type="character" w:styleId="Hyperlink">
    <w:name w:val="Hyperlink"/>
    <w:basedOn w:val="Absatz-Standardschriftart"/>
    <w:uiPriority w:val="99"/>
    <w:semiHidden/>
    <w:unhideWhenUsed/>
    <w:rsid w:val="008C3FE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224662">
      <w:bodyDiv w:val="1"/>
      <w:marLeft w:val="0"/>
      <w:marRight w:val="0"/>
      <w:marTop w:val="0"/>
      <w:marBottom w:val="0"/>
      <w:divBdr>
        <w:top w:val="none" w:sz="0" w:space="0" w:color="auto"/>
        <w:left w:val="none" w:sz="0" w:space="0" w:color="auto"/>
        <w:bottom w:val="none" w:sz="0" w:space="0" w:color="auto"/>
        <w:right w:val="none" w:sz="0" w:space="0" w:color="auto"/>
      </w:divBdr>
    </w:div>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57712482">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822505145">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2039037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12</Pages>
  <Words>3917</Words>
  <Characters>24682</Characters>
  <Application>Microsoft Office Word</Application>
  <DocSecurity>0</DocSecurity>
  <Lines>205</Lines>
  <Paragraphs>57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28542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8</cp:revision>
  <dcterms:created xsi:type="dcterms:W3CDTF">2026-09-02T11:41:00Z</dcterms:created>
  <dcterms:modified xsi:type="dcterms:W3CDTF">2026-09-02T13:43:00Z</dcterms:modified>
</cp:coreProperties>
</file>