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4855" w:rsidRPr="00444855" w:rsidRDefault="00444855" w:rsidP="00444855">
      <w:pPr>
        <w:spacing w:before="100" w:beforeAutospacing="1" w:after="100" w:afterAutospacing="1"/>
        <w:outlineLvl w:val="0"/>
        <w:rPr>
          <w:rFonts w:ascii="Times New Roman" w:hAnsi="Times New Roman" w:cs="Times New Roman"/>
          <w:b/>
          <w:kern w:val="36"/>
          <w:sz w:val="48"/>
          <w:szCs w:val="48"/>
        </w:rPr>
      </w:pPr>
      <w:r w:rsidRPr="00444855">
        <w:rPr>
          <w:rFonts w:ascii="Times New Roman" w:hAnsi="Times New Roman" w:cs="Times New Roman"/>
          <w:b/>
          <w:kern w:val="36"/>
          <w:sz w:val="48"/>
          <w:szCs w:val="48"/>
        </w:rPr>
        <w:t>3.7 Anwendungsinstanziierung, Modell-Ziel-Zuordnung und Geltungsgrenzen des Funktionalen Raum-Zeit-Kohärenzsystems</w:t>
      </w:r>
    </w:p>
    <w:p w:rsidR="00444855" w:rsidRPr="00444855" w:rsidRDefault="00444855" w:rsidP="00444855">
      <w:pPr>
        <w:spacing w:before="100" w:beforeAutospacing="1" w:after="100" w:afterAutospacing="1"/>
        <w:outlineLvl w:val="1"/>
        <w:rPr>
          <w:rFonts w:ascii="Times New Roman" w:hAnsi="Times New Roman" w:cs="Times New Roman"/>
          <w:b/>
          <w:sz w:val="36"/>
          <w:szCs w:val="36"/>
        </w:rPr>
      </w:pPr>
      <w:r w:rsidRPr="00444855">
        <w:rPr>
          <w:rFonts w:ascii="Times New Roman" w:hAnsi="Times New Roman" w:cs="Times New Roman"/>
          <w:b/>
          <w:sz w:val="36"/>
          <w:szCs w:val="36"/>
        </w:rPr>
        <w:t xml:space="preserve">3.7.0 Anwendungsauftrag, </w:t>
      </w:r>
      <w:proofErr w:type="spellStart"/>
      <w:r w:rsidRPr="00444855">
        <w:rPr>
          <w:rFonts w:ascii="Times New Roman" w:hAnsi="Times New Roman" w:cs="Times New Roman"/>
          <w:b/>
          <w:sz w:val="36"/>
          <w:szCs w:val="36"/>
        </w:rPr>
        <w:t>Ebenengrenze</w:t>
      </w:r>
      <w:proofErr w:type="spellEnd"/>
      <w:r w:rsidRPr="00444855">
        <w:rPr>
          <w:rFonts w:ascii="Times New Roman" w:hAnsi="Times New Roman" w:cs="Times New Roman"/>
          <w:b/>
          <w:sz w:val="36"/>
          <w:szCs w:val="36"/>
        </w:rPr>
        <w:t xml:space="preserve"> und Ausgangsarchitektur</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Mit dem Abschluss von Kapitel 3.6 liegt für meine weitere Untersuchung eine theoretische Architektur vor, die nicht mehr an der Grenze zwischen mathematischer Rekonstruktion und empirischer Zugänglichkeit abbricht. Ich habe dort schrittweise bestimmt, unter welchen zusätzlichen Bedingungen eine bereits zulässige FRZK-Rekonstruktion beobachtungsseitig zugänglich werden kann, welche theoretischen Unterschiede eine Beobachtungsbrücke erhält oder verliert, wann eine Rekonstruktionsklasse unter einer gewählten Beobachtung identifizierbar ist und welche zusätzlichen Bedingungen hinzukommen, sobald quantitative Messung, Messunsicherheit, dynamische Beobachtung oder statistische Inferenz verwendet werden. Das FRZK-Beobachtungszertifikat führt diese Abhängigkeiten schließlich so zusammen, dass eine empirische Aussage ihren theoretischen und methodischen Herkunftspfad nicht verliert.</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Damit erreiche ich jedoch noch nicht die Anwendung einer FRZK-Struktur auf einen bestimmten Gegenstandsbereich. Kapitel 3.6 beantwortet die Frage, wie eine bereits ausgewiesene theoretische Struktur grundsätzlich beobachtungs- und prüfseitig zugänglich gemacht werden kann. Es beantwortet noch nicht die davon verschiedene Frage, wodurch entschieden wird, welche Bestandteile einer solchen Struktur in einem bestimmten Anwendungskontext überhaupt als einschlägig gelten, welche formalen Rollen einem dort betrachteten Zielsystem zugeordnet werden dürfen und innerhalb welcher Grenzen eine daraus hervorgehende Aussage gültig bleibt. Genau an dieser Stelle setzt Kapitel 3.7 an.</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Meine Fragestellung verschiebt sich deshalb erneut. Ich untersuche nicht mehr primär, ob eine theoretische Unterscheidung beobachtbar oder aus Beobachtungen rückgewinnbar ist. Ich muss nun zunächst bestimmen, was überhaupt geschieht, wenn ein allgemeiner, hinsichtlich seiner Voraussetzungen kontrollierter FRZK-Bestand auf einen Anwendungskontext bezogen wird. Eine solche Bezugnahme ist nicht selbstverständlich. Aus der Tatsache, dass innerhalb des FRZK eine mathematische Struktur rekonstruiert werden kann, folgt noch nicht, dass irgendein reales oder fachwissenschaftlich beschriebenes System gerade durch diese Struktur angemessen repräsentiert wird. Ebenso folgt aus einer vorhandenen Beobachtungsbrücke noch nicht, welche theoretische Rolle ein beobachteter Gegenstand innerhalb einer konkreten Anwendung erhalten soll. Zwischen der allgemeinen Theoriearchitektur und einer späteren empirischen Anwendung liegt daher eine eigene </w:t>
      </w:r>
      <w:proofErr w:type="spellStart"/>
      <w:r w:rsidRPr="00444855">
        <w:rPr>
          <w:rFonts w:ascii="Times New Roman" w:hAnsi="Times New Roman" w:cs="Times New Roman"/>
          <w:bCs w:val="0"/>
        </w:rPr>
        <w:t>Instanziierungsebene</w:t>
      </w:r>
      <w:proofErr w:type="spellEnd"/>
      <w:r w:rsidRPr="00444855">
        <w:rPr>
          <w:rFonts w:ascii="Times New Roman" w:hAnsi="Times New Roman" w:cs="Times New Roman"/>
          <w:bCs w:val="0"/>
        </w:rPr>
        <w:t>.</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Diese </w:t>
      </w:r>
      <w:proofErr w:type="spellStart"/>
      <w:r w:rsidRPr="00444855">
        <w:rPr>
          <w:rFonts w:ascii="Times New Roman" w:hAnsi="Times New Roman" w:cs="Times New Roman"/>
          <w:bCs w:val="0"/>
        </w:rPr>
        <w:t>Instanziierungsebene</w:t>
      </w:r>
      <w:proofErr w:type="spellEnd"/>
      <w:r w:rsidRPr="00444855">
        <w:rPr>
          <w:rFonts w:ascii="Times New Roman" w:hAnsi="Times New Roman" w:cs="Times New Roman"/>
          <w:bCs w:val="0"/>
        </w:rPr>
        <w:t xml:space="preserve"> darf ich nicht dadurch überspringen, dass ich die mathematische Form einer Rekonstruktion unmittelbar mit einem Zielsystem identifiziere. Ein Graph wird nicht allein dadurch zu einem Modell eines bestimmten Netzwerks, dass seine formalen Eigenschaften zu einigen beobachteten Beziehungen passen. Eine rekonstruierte Zeitordnung ist nicht allein deshalb die Zeitordnung eines konkreten Systems, weil dessen Daten zeitlich sortiert werden können. Ebenso wenig wird eine funktionale Kopplung dadurch zu einer bestimmten physikalischen, biologischen, technischen oder sozialen Wechselwirkung, dass </w:t>
      </w:r>
      <w:r w:rsidRPr="00444855">
        <w:rPr>
          <w:rFonts w:ascii="Times New Roman" w:hAnsi="Times New Roman" w:cs="Times New Roman"/>
          <w:bCs w:val="0"/>
        </w:rPr>
        <w:lastRenderedPageBreak/>
        <w:t>sich zwischen gemessenen Größen ein statistischer Zusammenhang zeigen lässt. Jeder dieser Schritte enthält eine zusätzliche Zuordnungsentscheidung, deren Voraussetzungen, Reichweite und mögliche Alternativen sichtbar bleiben müssen.</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
        </w:rPr>
        <w:t>Eigenleistung dieser Arbeit.</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Für den Beginn von Kapitel 3.7 ordne ich den Weg von einem bereits zulässigen theoretischen FRZK-Bestand zu einer später möglichen Anwendungsinstanz deshalb zunächst in eine eigene methodische Folge. Mit dem bereits aus der vorangegangenen Architektur übernommenen Arbeitssymbol </w:t>
      </w:r>
      <m:oMath>
        <m:r>
          <m:rPr>
            <m:scr m:val="fraktur"/>
          </m:rPr>
          <w:rPr>
            <w:rFonts w:ascii="Cambria Math" w:hAnsi="Cambria Math" w:cs="Cambria Math"/>
          </w:rPr>
          <m:t>q</m:t>
        </m:r>
      </m:oMath>
      <w:r w:rsidRPr="00444855">
        <w:rPr>
          <w:rFonts w:ascii="Times New Roman" w:hAnsi="Times New Roman" w:cs="Times New Roman"/>
          <w:bCs w:val="0"/>
        </w:rPr>
        <w:t xml:space="preserve"> bezeichne ich den theoretisch qualifizierten Ausgangsbestand. Für einen zunächst nur durch den Index </w:t>
      </w:r>
      <m:oMath>
        <m:r>
          <m:rPr>
            <m:sty m:val="p"/>
          </m:rPr>
          <w:rPr>
            <w:rFonts w:ascii="Cambria Math" w:hAnsi="Cambria Math" w:cs="Times New Roman"/>
          </w:rPr>
          <m:t>α</m:t>
        </m:r>
      </m:oMath>
      <w:r w:rsidRPr="00444855">
        <w:rPr>
          <w:rFonts w:ascii="Times New Roman" w:hAnsi="Times New Roman" w:cs="Times New Roman"/>
          <w:bCs w:val="0"/>
        </w:rPr>
        <w:t xml:space="preserve"> unterschiedenen Anwendungskontext verwende ich vorläufig </w:t>
      </w:r>
      <m:oMath>
        <m:sSubSup>
          <m:sSubSupPr>
            <m:ctrlPr>
              <w:rPr>
                <w:rFonts w:ascii="Cambria Math" w:hAnsi="Cambria Math" w:cs="Times New Roman"/>
                <w:bCs w:val="0"/>
                <w:i/>
              </w:rPr>
            </m:ctrlPr>
          </m:sSubSupPr>
          <m:e>
            <m:r>
              <m:rPr>
                <m:scr m:val="fraktur"/>
              </m:rPr>
              <w:rPr>
                <w:rFonts w:ascii="Cambria Math" w:hAnsi="Cambria Math" w:cs="Times New Roman"/>
              </w:rPr>
              <m:t>C</m:t>
            </m:r>
          </m:e>
          <m:sub>
            <m:r>
              <m:rPr>
                <m:nor/>
              </m:rPr>
              <w:rPr>
                <w:rFonts w:ascii="Cambria Math" w:hAnsi="Cambria Math" w:cs="Times New Roman"/>
                <w:bCs w:val="0"/>
              </w:rPr>
              <m:t>app</m:t>
            </m:r>
          </m:sub>
          <m:sup>
            <m:d>
              <m:dPr>
                <m:ctrlPr>
                  <w:rPr>
                    <w:rFonts w:ascii="Cambria Math" w:hAnsi="Cambria Math" w:cs="Times New Roman"/>
                    <w:bCs w:val="0"/>
                    <w:i/>
                  </w:rPr>
                </m:ctrlPr>
              </m:dPr>
              <m:e>
                <m:r>
                  <m:rPr>
                    <m:sty m:val="p"/>
                  </m:rPr>
                  <w:rPr>
                    <w:rFonts w:ascii="Cambria Math" w:hAnsi="Cambria Math" w:cs="Times New Roman"/>
                  </w:rPr>
                  <m:t>α</m:t>
                </m:r>
              </m:e>
            </m:d>
          </m:sup>
        </m:sSubSup>
      </m:oMath>
      <w:r w:rsidRPr="00444855">
        <w:rPr>
          <w:rFonts w:ascii="Times New Roman" w:hAnsi="Times New Roman" w:cs="Times New Roman"/>
          <w:bCs w:val="0"/>
        </w:rPr>
        <w:t xml:space="preserve">. Eine darauf bezogene Instanziierung kennzeichne ich als </w:t>
      </w:r>
      <m:oMath>
        <m:sSubSup>
          <m:sSubSupPr>
            <m:ctrlPr>
              <w:rPr>
                <w:rFonts w:ascii="Cambria Math" w:hAnsi="Cambria Math" w:cs="Times New Roman"/>
                <w:bCs w:val="0"/>
                <w:i/>
              </w:rPr>
            </m:ctrlPr>
          </m:sSubSupPr>
          <m:e>
            <m:r>
              <m:rPr>
                <m:scr m:val="fraktur"/>
              </m:rPr>
              <w:rPr>
                <w:rFonts w:ascii="Cambria Math" w:hAnsi="Cambria Math" w:cs="Times New Roman"/>
              </w:rPr>
              <m:t>I</m:t>
            </m:r>
          </m:e>
          <m:sub>
            <m:r>
              <m:rPr>
                <m:nor/>
              </m:rPr>
              <w:rPr>
                <w:rFonts w:ascii="Cambria Math" w:hAnsi="Cambria Math" w:cs="Times New Roman"/>
                <w:bCs w:val="0"/>
              </w:rPr>
              <m:t>app</m:t>
            </m:r>
          </m:sub>
          <m:sup>
            <m:d>
              <m:dPr>
                <m:ctrlPr>
                  <w:rPr>
                    <w:rFonts w:ascii="Cambria Math" w:hAnsi="Cambria Math" w:cs="Times New Roman"/>
                    <w:bCs w:val="0"/>
                    <w:i/>
                  </w:rPr>
                </m:ctrlPr>
              </m:dPr>
              <m:e>
                <m:r>
                  <m:rPr>
                    <m:sty m:val="p"/>
                  </m:rPr>
                  <w:rPr>
                    <w:rFonts w:ascii="Cambria Math" w:hAnsi="Cambria Math" w:cs="Times New Roman"/>
                  </w:rPr>
                  <m:t>α</m:t>
                </m:r>
              </m:e>
            </m:d>
          </m:sup>
        </m:sSubSup>
      </m:oMath>
      <w:r w:rsidRPr="00444855">
        <w:rPr>
          <w:rFonts w:ascii="Times New Roman" w:hAnsi="Times New Roman" w:cs="Times New Roman"/>
          <w:bCs w:val="0"/>
        </w:rPr>
        <w:t xml:space="preserve">, eine noch genauer zu bestimmende Modell-Ziel-Zuordnung als </w:t>
      </w:r>
      <m:oMath>
        <m:sSubSup>
          <m:sSubSupPr>
            <m:ctrlPr>
              <w:rPr>
                <w:rFonts w:ascii="Cambria Math" w:hAnsi="Cambria Math" w:cs="Times New Roman"/>
                <w:bCs w:val="0"/>
                <w:i/>
              </w:rPr>
            </m:ctrlPr>
          </m:sSubSup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MT</m:t>
            </m:r>
          </m:sub>
          <m:sup>
            <m:d>
              <m:dPr>
                <m:ctrlPr>
                  <w:rPr>
                    <w:rFonts w:ascii="Cambria Math" w:hAnsi="Cambria Math" w:cs="Times New Roman"/>
                    <w:bCs w:val="0"/>
                    <w:i/>
                  </w:rPr>
                </m:ctrlPr>
              </m:dPr>
              <m:e>
                <m:r>
                  <m:rPr>
                    <m:sty m:val="p"/>
                  </m:rPr>
                  <w:rPr>
                    <w:rFonts w:ascii="Cambria Math" w:hAnsi="Cambria Math" w:cs="Times New Roman"/>
                  </w:rPr>
                  <m:t>α</m:t>
                </m:r>
              </m:e>
            </m:d>
          </m:sup>
        </m:sSubSup>
      </m:oMath>
      <w:r w:rsidRPr="00444855">
        <w:rPr>
          <w:rFonts w:ascii="Times New Roman" w:hAnsi="Times New Roman" w:cs="Times New Roman"/>
          <w:bCs w:val="0"/>
        </w:rPr>
        <w:t xml:space="preserve"> und den daraus tatsächlich gerechtfertigten Anwendungs- beziehungsweise Geltungsbereich als </w:t>
      </w:r>
      <m:oMath>
        <m:sSubSup>
          <m:sSubSupPr>
            <m:ctrlPr>
              <w:rPr>
                <w:rFonts w:ascii="Cambria Math" w:hAnsi="Cambria Math" w:cs="Times New Roman"/>
                <w:bCs w:val="0"/>
                <w:i/>
              </w:rPr>
            </m:ctrlPr>
          </m:sSubSupPr>
          <m:e>
            <m:r>
              <m:rPr>
                <m:scr m:val="script"/>
              </m:rPr>
              <w:rPr>
                <w:rFonts w:ascii="Cambria Math" w:hAnsi="Cambria Math" w:cs="Times New Roman"/>
              </w:rPr>
              <m:t>R</m:t>
            </m:r>
          </m:e>
          <m:sub>
            <m:r>
              <m:rPr>
                <m:nor/>
              </m:rPr>
              <w:rPr>
                <w:rFonts w:ascii="Cambria Math" w:hAnsi="Cambria Math" w:cs="Times New Roman"/>
                <w:bCs w:val="0"/>
              </w:rPr>
              <m:t>app</m:t>
            </m:r>
          </m:sub>
          <m:sup>
            <m:d>
              <m:dPr>
                <m:ctrlPr>
                  <w:rPr>
                    <w:rFonts w:ascii="Cambria Math" w:hAnsi="Cambria Math" w:cs="Times New Roman"/>
                    <w:bCs w:val="0"/>
                    <w:i/>
                  </w:rPr>
                </m:ctrlPr>
              </m:dPr>
              <m:e>
                <m:r>
                  <m:rPr>
                    <m:sty m:val="p"/>
                  </m:rPr>
                  <w:rPr>
                    <w:rFonts w:ascii="Cambria Math" w:hAnsi="Cambria Math" w:cs="Times New Roman"/>
                  </w:rPr>
                  <m:t>α</m:t>
                </m:r>
              </m:e>
            </m:d>
          </m:sup>
        </m:sSubSup>
      </m:oMath>
      <w:r w:rsidRPr="00444855">
        <w:rPr>
          <w:rFonts w:ascii="Times New Roman" w:hAnsi="Times New Roman" w:cs="Times New Roman"/>
          <w:bCs w:val="0"/>
        </w:rPr>
        <w:t>. Diese Bezeichnungen besitzen in 3.7.0 ausschließlich den Status von Arbeitssymbolen. Ihre formale Einführung beginnt erst in den folgenden Abschnitten.</w:t>
      </w:r>
    </w:p>
    <w:p w:rsidR="00444855" w:rsidRPr="00444855" w:rsidRDefault="00444855" w:rsidP="00444855">
      <w:pPr>
        <w:pStyle w:val="Formel"/>
      </w:pPr>
      <m:oMath>
        <m:r>
          <m:rPr>
            <m:scr m:val="fraktur"/>
          </m:rPr>
          <m:t>q⟶</m:t>
        </m:r>
        <m:sSubSup>
          <m:sSubSupPr>
            <m:ctrlPr/>
          </m:sSubSupPr>
          <m:e>
            <m:r>
              <m:rPr>
                <m:scr m:val="fraktur"/>
              </m:rPr>
              <m:t>C</m:t>
            </m:r>
          </m:e>
          <m:sub>
            <m:r>
              <m:rPr>
                <m:nor/>
              </m:rPr>
              <m:t>app</m:t>
            </m:r>
          </m:sub>
          <m:sup>
            <m:d>
              <m:dPr>
                <m:ctrlPr/>
              </m:dPr>
              <m:e>
                <m:r>
                  <m:t>α</m:t>
                </m:r>
              </m:e>
            </m:d>
          </m:sup>
        </m:sSubSup>
        <m:r>
          <m:t>⟶</m:t>
        </m:r>
        <m:sSubSup>
          <m:sSubSupPr>
            <m:ctrlPr/>
          </m:sSubSupPr>
          <m:e>
            <m:r>
              <m:rPr>
                <m:scr m:val="fraktur"/>
              </m:rPr>
              <m:t>I</m:t>
            </m:r>
          </m:e>
          <m:sub>
            <m:r>
              <m:rPr>
                <m:nor/>
              </m:rPr>
              <m:t>app</m:t>
            </m:r>
          </m:sub>
          <m:sup>
            <m:d>
              <m:dPr>
                <m:ctrlPr/>
              </m:dPr>
              <m:e>
                <m:r>
                  <m:t>α</m:t>
                </m:r>
              </m:e>
            </m:d>
          </m:sup>
        </m:sSubSup>
        <m:r>
          <m:t>⟶</m:t>
        </m:r>
        <m:sSubSup>
          <m:sSubSupPr>
            <m:ctrlPr/>
          </m:sSubSupPr>
          <m:e>
            <m:r>
              <m:rPr>
                <m:scr m:val="fraktur"/>
              </m:rPr>
              <m:t>B</m:t>
            </m:r>
          </m:e>
          <m:sub>
            <m:r>
              <m:rPr>
                <m:nor/>
              </m:rPr>
              <m:t>MT</m:t>
            </m:r>
          </m:sub>
          <m:sup>
            <m:d>
              <m:dPr>
                <m:ctrlPr/>
              </m:dPr>
              <m:e>
                <m:r>
                  <m:t>α</m:t>
                </m:r>
              </m:e>
            </m:d>
          </m:sup>
        </m:sSubSup>
        <m:r>
          <m:t>⟶</m:t>
        </m:r>
        <m:sSubSup>
          <m:sSubSupPr>
            <m:ctrlPr/>
          </m:sSubSupPr>
          <m:e>
            <m:r>
              <m:rPr>
                <m:scr m:val="script"/>
              </m:rPr>
              <m:t>R</m:t>
            </m:r>
          </m:e>
          <m:sub>
            <m:r>
              <m:rPr>
                <m:nor/>
              </m:rPr>
              <m:t>app</m:t>
            </m:r>
          </m:sub>
          <m:sup>
            <m:d>
              <m:dPr>
                <m:ctrlPr/>
              </m:dPr>
              <m:e>
                <m:r>
                  <m:t>α</m:t>
                </m:r>
              </m:e>
            </m:d>
          </m:sup>
        </m:sSubSup>
      </m:oMath>
      <w:r w:rsidRPr="00444855">
        <w:t xml:space="preserve"> </w:t>
      </w:r>
      <w:r>
        <w:tab/>
        <w:t>(3.3717)</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Gleichung (3.3717) ist keine universelle Ableitungskette und insbesondere keine Behauptung, dass jedes FRZK-Objekt auf einen Anwendungskontext instanziiert werden müsse. Sie beschreibt die methodische Reihenfolge der Fragen, die ich vor einer konkreten Anwendung beantworten muss. Zuerst ist zu klären, auf welchen Kontext sich eine Anwendung überhaupt beziehen soll. Erst danach kann geprüft werden, welche Bestandteile des vorhandenen FRZK-Bestands für diesen Kontext instanziiert werden sollen. Anschließend muss ausgewiesen werden, wodurch die formalen Rollen dieser Instanziierung mit Bestandteilen eines Zielsystems verbunden werden. Erst auf dieser Grundlage lässt sich bestimmen, wie weit die daraus gewonnenen Aussagen reichen.</w:t>
      </w:r>
    </w:p>
    <w:p w:rsidR="00444855" w:rsidRPr="00444855" w:rsidRDefault="00444855" w:rsidP="00444855">
      <w:pPr>
        <w:spacing w:before="100" w:beforeAutospacing="1" w:after="100" w:afterAutospacing="1"/>
        <w:outlineLvl w:val="2"/>
        <w:rPr>
          <w:rFonts w:ascii="Times New Roman" w:hAnsi="Times New Roman" w:cs="Times New Roman"/>
          <w:b/>
          <w:sz w:val="27"/>
          <w:szCs w:val="27"/>
        </w:rPr>
      </w:pPr>
      <w:r w:rsidRPr="00444855">
        <w:rPr>
          <w:rFonts w:ascii="Times New Roman" w:hAnsi="Times New Roman" w:cs="Times New Roman"/>
          <w:b/>
          <w:sz w:val="27"/>
          <w:szCs w:val="27"/>
        </w:rPr>
        <w:t>Anwendung ist Spezialisierung und keine neue Axiomatik</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Die erste daraus folgende Grenze betrifft den Status einer Anwendungsinstanziierung. Kapitel 3.3 hat den universellen Primärkern des FRZK bestimmt, während Kapitel 3.4 bis 3.6 gezeigt haben, wie stärkere Strukturen durch ausgewiesene Definitionen, Modelle und Brücken hinzutreten können, ohne dadurch automatisch Bestandteil dieses Primärkerns zu werden. Diese Statuslogik darf sich an der Anwendungsschwelle nicht ändern. Gerade eine konkrete Anwendung wird regelmäßig zusätzliche Bedingungen benötigen. Sie kann bestimmte Zustandsgrößen auswählen, einen besonderen Relationstyp verwenden, eine konkrete Dynamik spezifizieren oder eine bestimmte Beobachtungs- und Messstruktur voraussetzen. Keine dieser Anforderungen wird allein dadurch universell, dass sie für den ausgewählten Anwendungskontext notwendig ist.</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Daher halte ich bereits vor jeder formalen </w:t>
      </w:r>
      <w:proofErr w:type="spellStart"/>
      <w:r w:rsidRPr="00444855">
        <w:rPr>
          <w:rFonts w:ascii="Times New Roman" w:hAnsi="Times New Roman" w:cs="Times New Roman"/>
          <w:bCs w:val="0"/>
        </w:rPr>
        <w:t>Instanziierungsdefinition</w:t>
      </w:r>
      <w:proofErr w:type="spellEnd"/>
      <w:r w:rsidRPr="00444855">
        <w:rPr>
          <w:rFonts w:ascii="Times New Roman" w:hAnsi="Times New Roman" w:cs="Times New Roman"/>
          <w:bCs w:val="0"/>
        </w:rPr>
        <w:t xml:space="preserve"> fest:</w:t>
      </w:r>
    </w:p>
    <w:p w:rsidR="00444855" w:rsidRDefault="00FD0EA2" w:rsidP="00444855">
      <w:pPr>
        <w:pStyle w:val="Formel"/>
      </w:pPr>
      <m:oMath>
        <m:sSubSup>
          <m:sSubSupPr>
            <m:ctrlPr/>
          </m:sSubSupPr>
          <m:e>
            <m:r>
              <m:rPr>
                <m:scr m:val="fraktur"/>
              </m:rPr>
              <m:t>I</m:t>
            </m:r>
          </m:e>
          <m:sub>
            <m:r>
              <m:rPr>
                <m:nor/>
              </m:rPr>
              <m:t>app</m:t>
            </m:r>
          </m:sub>
          <m:sup>
            <m:d>
              <m:dPr>
                <m:ctrlPr/>
              </m:dPr>
              <m:e>
                <m:r>
                  <m:t>α</m:t>
                </m:r>
              </m:e>
            </m:d>
          </m:sup>
        </m:sSubSup>
        <m:r>
          <m:t>⇏</m:t>
        </m:r>
        <m:r>
          <m:rPr>
            <m:nor/>
          </m:rPr>
          <m:t>P</m:t>
        </m:r>
        <m:sSub>
          <m:sSubPr>
            <m:ctrlPr/>
          </m:sSubPr>
          <m:e>
            <m:r>
              <m:rPr>
                <m:nor/>
              </m:rPr>
              <m:t>A</m:t>
            </m:r>
          </m:e>
          <m:sub>
            <m:r>
              <m:rPr>
                <m:nor/>
              </m:rPr>
              <m:t>new</m:t>
            </m:r>
          </m:sub>
        </m:sSub>
      </m:oMath>
      <w:r w:rsidR="00444855" w:rsidRPr="00444855">
        <w:t xml:space="preserve"> </w:t>
      </w:r>
      <w:r w:rsidR="00444855">
        <w:tab/>
      </w:r>
      <w:r w:rsidR="00444855" w:rsidRPr="00444855">
        <w:t>(3.3718)</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Gleichung (3.3718) schützt den bisher erreichten axiomatischen Status. Wenn eine Anwendung eine Eigenschaft benötigt, die aus dem allgemeinen Bestand nicht folgt, entsteht </w:t>
      </w:r>
      <w:r w:rsidRPr="00444855">
        <w:rPr>
          <w:rFonts w:ascii="Times New Roman" w:hAnsi="Times New Roman" w:cs="Times New Roman"/>
          <w:bCs w:val="0"/>
        </w:rPr>
        <w:lastRenderedPageBreak/>
        <w:t>zunächst eine anwendungsbezogene Zusatzstruktur. Es wäre methodisch unzulässig, diese Zusatzstruktur nur deshalb in den universellen Primärkern aufzunehmen, weil die gewünschte Anwendung andernfalls nicht konstruiert werden kann. Ein solcher Schritt würde die Entwicklungsrichtung umkehren: Nicht mehr die universelle Theorie würde bestimmen, welche Anwendungen zulässig sind, sondern ein einzelner Anwendungskontext würde nachträglich die universelle Theoriegrundlage verändern.</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Sollte sich tatsächlich zeigen, dass eine bisher nicht enthaltene Eigenschaft unabhängig von jeder konkreten Anwendung für jeden zulässigen FRZK-Bestand notwendig wäre, müsste ich das Primäraxiom-Gate aus Kapitel 3.3 erneut öffnen. Kapitel 3.7 selbst erhält keine Sonderbefugnis zur Erweiterung des Primärkerns. Der normale Fall bleibt deshalb die Spezialisierung eines bereits bestehenden theoretischen Bestands unter zusätzlichen, im Abhängigkeitsweg sichtbaren Bedingungen.</w:t>
      </w:r>
    </w:p>
    <w:p w:rsidR="00444855" w:rsidRPr="00444855" w:rsidRDefault="00444855" w:rsidP="00444855">
      <w:pPr>
        <w:spacing w:before="100" w:beforeAutospacing="1" w:after="100" w:afterAutospacing="1"/>
        <w:outlineLvl w:val="2"/>
        <w:rPr>
          <w:rFonts w:ascii="Times New Roman" w:hAnsi="Times New Roman" w:cs="Times New Roman"/>
          <w:b/>
          <w:sz w:val="27"/>
          <w:szCs w:val="27"/>
        </w:rPr>
      </w:pPr>
      <w:r w:rsidRPr="00444855">
        <w:rPr>
          <w:rFonts w:ascii="Times New Roman" w:hAnsi="Times New Roman" w:cs="Times New Roman"/>
          <w:b/>
          <w:sz w:val="27"/>
          <w:szCs w:val="27"/>
        </w:rPr>
        <w:t>Modell-Ziel-Zuordnung und Beobachtungsbrücke</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Eine zweite Grenze betrifft die Beziehung zwischen der jetzt benötigten Modell-Ziel-Zuordnung und der in Kapitel 3.6 definierten Beobachtungsbrücke. Beide können in einer späteren Anwendung gemeinsam auftreten, erfüllen aber unterschiedliche Aufgaben. Die Beobachtungsbrücke beantwortet die Frage, wie eine theoretisch bestimmte Eigenschaft auf einen beobachtungsseitig zugänglichen Bereich bezogen wird. Die Modell-Ziel-Zuordnung muss dagegen klären, weshalb eine bestimmte formale Struktur, Rolle oder Relation überhaupt einem Bestandteil desjenigen Zielsystems zugeordnet werden darf, auf das sich die Anwendung bezieht.</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Ich darf diese beiden Ebenen daher nicht miteinander identifizieren:</w:t>
      </w:r>
    </w:p>
    <w:p w:rsidR="00444855" w:rsidRPr="00444855" w:rsidRDefault="00FD0EA2" w:rsidP="00444855">
      <w:pPr>
        <w:pStyle w:val="Formel"/>
      </w:pPr>
      <m:oMath>
        <m:sSubSup>
          <m:sSubSupPr>
            <m:ctrlPr/>
          </m:sSubSupPr>
          <m:e>
            <m:r>
              <m:rPr>
                <m:scr m:val="fraktur"/>
              </m:rPr>
              <m:t>B</m:t>
            </m:r>
          </m:e>
          <m:sub>
            <m:r>
              <m:rPr>
                <m:nor/>
              </m:rPr>
              <m:t>MT</m:t>
            </m:r>
          </m:sub>
          <m:sup>
            <m:d>
              <m:dPr>
                <m:ctrlPr/>
              </m:dPr>
              <m:e>
                <m:r>
                  <m:t>α</m:t>
                </m:r>
              </m:e>
            </m:d>
          </m:sup>
        </m:sSubSup>
        <m:r>
          <m:t>≢</m:t>
        </m:r>
        <m:sSubSup>
          <m:sSubSupPr>
            <m:ctrlPr/>
          </m:sSubSupPr>
          <m:e>
            <m:r>
              <m:rPr>
                <m:scr m:val="fraktur"/>
              </m:rPr>
              <m:t>B</m:t>
            </m:r>
          </m:e>
          <m:sub>
            <m:r>
              <m:rPr>
                <m:nor/>
              </m:rPr>
              <m:t>obs</m:t>
            </m:r>
          </m:sub>
          <m:sup>
            <m:d>
              <m:dPr>
                <m:ctrlPr/>
              </m:dPr>
              <m:e>
                <m:r>
                  <m:t>χ</m:t>
                </m:r>
              </m:e>
            </m:d>
          </m:sup>
        </m:sSubSup>
      </m:oMath>
      <w:r w:rsidR="00444855" w:rsidRPr="00444855">
        <w:t xml:space="preserve"> </w:t>
      </w:r>
      <w:r w:rsidR="00444855" w:rsidRPr="00444855">
        <w:tab/>
        <w:t xml:space="preserve"> (3.3719)</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Die Unterscheidung in Gleichung (3.3719) ist insbesondere deshalb notwendig, weil eine anwendungsbezogene Modell-Ziel-Zuordnung denkbar ist, bevor überhaupt eine empirische Beobachtung durchgeführt wird. Ein mathematisches Modell kann beispielsweise festlegen, welche formale Rolle eine bestimmte Klasse von Zielobjekten erhalten soll. Damit ist jedoch noch nicht bestimmt, wie diese Rolle beobachtungsseitig erkannt oder quantitativ gemessen werden kann. Umgekehrt kann ein Datensatz beobachtbare Unterschiede enthalten, ohne dass bereits geklärt wäre, welche dieser Unterschiede einer bestimmten FRZK-Struktur zugeordnet werden dürfen.</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Die in Kapitel 3.6 entwickelte Schichtenlogik bleibt deshalb vollständig erhalten. Die Anwendungsinstanziierung wird ihr nicht nachträglich untergeschoben und ersetzt keinen ihrer Schritte. Vielmehr muss eine spätere konkrete Anwendung beide Richtungen kontrollieren: Einerseits ist auszuweisen, warum ein theoretischer FRZK-Bestand auf einen Zielkontext bezogen wird; andererseits ist zu begründen, wie die für diese Anwendung relevanten theoretischen Eigenschaften beobachtungsseitig zugänglich werden. Erst die Verbindung beider kontrollierter Pfade kann eine empirisch interpretierbare Anwendungsinstanz tragen.</w:t>
      </w:r>
    </w:p>
    <w:p w:rsidR="00444855" w:rsidRPr="00444855" w:rsidRDefault="00444855" w:rsidP="00444855">
      <w:pPr>
        <w:spacing w:before="100" w:beforeAutospacing="1" w:after="100" w:afterAutospacing="1"/>
        <w:outlineLvl w:val="2"/>
        <w:rPr>
          <w:rFonts w:ascii="Times New Roman" w:hAnsi="Times New Roman" w:cs="Times New Roman"/>
          <w:b/>
          <w:sz w:val="27"/>
          <w:szCs w:val="27"/>
        </w:rPr>
      </w:pPr>
      <w:r w:rsidRPr="00444855">
        <w:rPr>
          <w:rFonts w:ascii="Times New Roman" w:hAnsi="Times New Roman" w:cs="Times New Roman"/>
          <w:b/>
          <w:sz w:val="27"/>
          <w:szCs w:val="27"/>
        </w:rPr>
        <w:t>Strukturelle Entsprechung ist keine Identität</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lastRenderedPageBreak/>
        <w:t xml:space="preserve">Für die weitere Entwicklung verwende ich </w:t>
      </w:r>
      <m:oMath>
        <m:sSub>
          <m:sSubPr>
            <m:ctrlPr>
              <w:rPr>
                <w:rFonts w:ascii="Cambria Math" w:hAnsi="Cambria Math" w:cs="Times New Roman"/>
                <w:bCs w:val="0"/>
                <w:i/>
              </w:rPr>
            </m:ctrlPr>
          </m:sSubPr>
          <m:e>
            <m:r>
              <m:rPr>
                <m:scr m:val="script"/>
              </m:rPr>
              <w:rPr>
                <w:rFonts w:ascii="Cambria Math" w:hAnsi="Cambria Math" w:cs="Cambria Math"/>
              </w:rPr>
              <m:t>T</m:t>
            </m:r>
            <m:ctrlPr>
              <w:rPr>
                <w:rFonts w:ascii="Cambria Math" w:hAnsi="Cambria Math" w:cs="Cambria Math"/>
                <w:bCs w:val="0"/>
                <w:i/>
              </w:rPr>
            </m:ctrlPr>
          </m:e>
          <m:sub>
            <m:r>
              <m:rPr>
                <m:sty m:val="p"/>
              </m:rPr>
              <w:rPr>
                <w:rFonts w:ascii="Cambria Math" w:hAnsi="Cambria Math" w:cs="Times New Roman"/>
              </w:rPr>
              <m:t>α</m:t>
            </m:r>
          </m:sub>
        </m:sSub>
      </m:oMath>
      <w:r w:rsidRPr="00444855">
        <w:rPr>
          <w:rFonts w:ascii="Times New Roman" w:hAnsi="Times New Roman" w:cs="Times New Roman"/>
          <w:bCs w:val="0"/>
        </w:rPr>
        <w:t xml:space="preserve"> zunächst als Arbeitssymbol für ein im Anwendungskontext </w:t>
      </w:r>
      <m:oMath>
        <m:r>
          <m:rPr>
            <m:sty m:val="p"/>
          </m:rPr>
          <w:rPr>
            <w:rFonts w:ascii="Cambria Math" w:hAnsi="Cambria Math" w:cs="Times New Roman"/>
          </w:rPr>
          <m:t>α</m:t>
        </m:r>
      </m:oMath>
      <w:r w:rsidRPr="00444855">
        <w:rPr>
          <w:rFonts w:ascii="Times New Roman" w:hAnsi="Times New Roman" w:cs="Times New Roman"/>
          <w:bCs w:val="0"/>
        </w:rPr>
        <w:t xml:space="preserve"> betrachtetes Zielsystem. Auch dieses Symbol führt in 3.7.0 noch keine neue Definition ein. Es ermöglicht lediglich, eine weitere methodische Sperre ausdrücklich zu formulieren.</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Selbst wenn zwischen einer theoretischen FRZK-Struktur und einer formalisierten Beschreibung des Zielsystems eine starke strukturelle Entsprechung hergestellt werden kann, darf daraus keine Identität beider Ebenen abgeleitet werden:</w:t>
      </w:r>
    </w:p>
    <w:p w:rsidR="00444855" w:rsidRPr="00444855" w:rsidRDefault="00444855" w:rsidP="00444855">
      <w:pPr>
        <w:pStyle w:val="Formel"/>
      </w:pPr>
      <m:oMath>
        <m:r>
          <m:rPr>
            <m:scr m:val="fraktur"/>
          </m:rPr>
          <m:t>q≅</m:t>
        </m:r>
        <m:sSub>
          <m:sSubPr>
            <m:ctrlPr/>
          </m:sSubPr>
          <m:e>
            <m:r>
              <m:rPr>
                <m:scr m:val="script"/>
              </m:rPr>
              <m:t>T</m:t>
            </m:r>
          </m:e>
          <m:sub>
            <m:r>
              <m:t>α</m:t>
            </m:r>
          </m:sub>
        </m:sSub>
        <m:r>
          <m:rPr>
            <m:scr m:val="fraktur"/>
          </m:rPr>
          <m:t> ⇏ q≡</m:t>
        </m:r>
        <m:sSub>
          <m:sSubPr>
            <m:ctrlPr/>
          </m:sSubPr>
          <m:e>
            <m:r>
              <m:rPr>
                <m:scr m:val="script"/>
              </m:rPr>
              <m:t>T</m:t>
            </m:r>
          </m:e>
          <m:sub>
            <m:r>
              <m:t>α</m:t>
            </m:r>
          </m:sub>
        </m:sSub>
      </m:oMath>
      <w:r w:rsidRPr="00444855">
        <w:t xml:space="preserve"> </w:t>
      </w:r>
      <w:r w:rsidRPr="00444855">
        <w:tab/>
        <w:t xml:space="preserve"> (3.3720)</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Die Relation in Gleichung (3.3720) ist an dieser Stelle bewusst nur schematisch verwendet. Ich definiere damit noch keine universelle Äquivalenz-, Isomorphie- oder Ähnlichkeitsrelation zwischen FRZK und Anwendungssystemen. Die Gleichung formuliert vielmehr eine methodische Grenze: Selbst eine nachgewiesene strukturelle Übereinstimmung rechtfertigt zunächst nur Aussagen über genau die verglichenen Strukturen und Eigenschaften. Sie erlaubt nicht die ontologische oder theoretische Behauptung, das Zielsystem und sein FRZK-Modell seien identisch.</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Diese Trennung ist für das FRZK besonders wichtig, weil dieselbe allgemeine Rekonstruktionsarchitektur gerade auf unterschiedliche stärkere Strukturen führen kann. Ein bestimmtes Zielsystem kann daher unter verschiedenen Modellierungsinteressen unterschiedliche zulässige Instanziierungen besitzen. Umgekehrt kann dieselbe formale FRZK-Struktur für verschiedene Zielsysteme relevant sein, ohne dass daraus eine Gleichartigkeit dieser Zielsysteme folgt. Die Anwendungsarchitektur muss deshalb nicht nur Übereinstimmungen dokumentieren, sondern ebenso deutlich festhalten, welche Eigenschaften nicht übertragen werden.</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An dieser Stelle wird zugleich sichtbar, warum die Modell-Ziel-Zuordnung nicht lediglich eine neue Bezeichnung für Interpretation ist. Interpretation bleibt eine Aussage darüber, welche Bedeutung einem formalen Gegenstand zugeschrieben wird. Eine anwendungsbezogene Zuordnung muss darüber hinaus kontrollieren, auf welchen Zielbereich sich diese Bedeutung bezieht, welche strukturellen Voraussetzungen dafür verwendet werden und wie weit die resultierende Aussage reicht. Sie kann dabei interpretative Bestandteile enthalten, wird aber nicht zu einem fünften Erweiterungstyp des FRZK. Die in Kapitel 3.3 festgelegte Taxonomie aus </w:t>
      </w:r>
      <w:proofErr w:type="spellStart"/>
      <w:r w:rsidRPr="00444855">
        <w:rPr>
          <w:rFonts w:ascii="Courier New" w:hAnsi="Courier New" w:cs="Courier New"/>
          <w:bCs w:val="0"/>
          <w:sz w:val="20"/>
          <w:szCs w:val="20"/>
        </w:rPr>
        <w:t>def</w:t>
      </w:r>
      <w:proofErr w:type="spellEnd"/>
      <w:r w:rsidRPr="00444855">
        <w:rPr>
          <w:rFonts w:ascii="Times New Roman" w:hAnsi="Times New Roman" w:cs="Times New Roman"/>
          <w:bCs w:val="0"/>
        </w:rPr>
        <w:t xml:space="preserve">, </w:t>
      </w:r>
      <w:proofErr w:type="spellStart"/>
      <w:r w:rsidRPr="00444855">
        <w:rPr>
          <w:rFonts w:ascii="Courier New" w:hAnsi="Courier New" w:cs="Courier New"/>
          <w:bCs w:val="0"/>
          <w:sz w:val="20"/>
          <w:szCs w:val="20"/>
        </w:rPr>
        <w:t>model</w:t>
      </w:r>
      <w:proofErr w:type="spellEnd"/>
      <w:r w:rsidRPr="00444855">
        <w:rPr>
          <w:rFonts w:ascii="Times New Roman" w:hAnsi="Times New Roman" w:cs="Times New Roman"/>
          <w:bCs w:val="0"/>
        </w:rPr>
        <w:t xml:space="preserve">, </w:t>
      </w:r>
      <w:proofErr w:type="spellStart"/>
      <w:r w:rsidRPr="00444855">
        <w:rPr>
          <w:rFonts w:ascii="Courier New" w:hAnsi="Courier New" w:cs="Courier New"/>
          <w:bCs w:val="0"/>
          <w:sz w:val="20"/>
          <w:szCs w:val="20"/>
        </w:rPr>
        <w:t>bridge</w:t>
      </w:r>
      <w:proofErr w:type="spellEnd"/>
      <w:r w:rsidRPr="00444855">
        <w:rPr>
          <w:rFonts w:ascii="Times New Roman" w:hAnsi="Times New Roman" w:cs="Times New Roman"/>
          <w:bCs w:val="0"/>
        </w:rPr>
        <w:t xml:space="preserve"> und </w:t>
      </w:r>
      <w:proofErr w:type="spellStart"/>
      <w:r w:rsidRPr="00444855">
        <w:rPr>
          <w:rFonts w:ascii="Courier New" w:hAnsi="Courier New" w:cs="Courier New"/>
          <w:bCs w:val="0"/>
          <w:sz w:val="20"/>
          <w:szCs w:val="20"/>
        </w:rPr>
        <w:t>primary</w:t>
      </w:r>
      <w:proofErr w:type="spellEnd"/>
      <w:r w:rsidRPr="00444855">
        <w:rPr>
          <w:rFonts w:ascii="Times New Roman" w:hAnsi="Times New Roman" w:cs="Times New Roman"/>
          <w:bCs w:val="0"/>
        </w:rPr>
        <w:t xml:space="preserve"> bleibt unverändert.</w:t>
      </w:r>
    </w:p>
    <w:p w:rsidR="00444855" w:rsidRPr="00444855" w:rsidRDefault="00444855" w:rsidP="00444855">
      <w:pPr>
        <w:spacing w:before="100" w:beforeAutospacing="1" w:after="100" w:afterAutospacing="1"/>
        <w:outlineLvl w:val="2"/>
        <w:rPr>
          <w:rFonts w:ascii="Times New Roman" w:hAnsi="Times New Roman" w:cs="Times New Roman"/>
          <w:b/>
          <w:sz w:val="27"/>
          <w:szCs w:val="27"/>
        </w:rPr>
      </w:pPr>
      <w:r w:rsidRPr="00444855">
        <w:rPr>
          <w:rFonts w:ascii="Times New Roman" w:hAnsi="Times New Roman" w:cs="Times New Roman"/>
          <w:b/>
          <w:sz w:val="27"/>
          <w:szCs w:val="27"/>
        </w:rPr>
        <w:t>Geltungsbereich einer Anwendungsinstanz</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Mit der Auswahl eines Anwendungskontexts entsteht zwangsläufig eine Beschränkung des Geltungsbereichs. Eine Aussage kann innerhalb eines bestimmten Kontextes gut begründet sein und dennoch außerhalb dieses Kontextes nicht gelten. Diese Beschränkung ist kein Mangel des Modells, sondern eine Information über seine Reichweite. Problematisch würde sie erst dann, wenn sie im weiteren Argumentationsweg unsichtbar würde und eine lokale Aussage dadurch den Anschein einer universellen FRZK-Aussage erhielte.</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Für eine vorläufig als </w:t>
      </w:r>
      <m:oMath>
        <m:sSubSup>
          <m:sSubSupPr>
            <m:ctrlPr>
              <w:rPr>
                <w:rFonts w:ascii="Cambria Math" w:hAnsi="Cambria Math" w:cs="Times New Roman"/>
                <w:bCs w:val="0"/>
                <w:i/>
              </w:rPr>
            </m:ctrlPr>
          </m:sSubSupPr>
          <m:e>
            <m:r>
              <m:rPr>
                <m:scr m:val="script"/>
              </m:rPr>
              <w:rPr>
                <w:rFonts w:ascii="Cambria Math" w:hAnsi="Cambria Math" w:cs="Cambria Math"/>
              </w:rPr>
              <m:t>A</m:t>
            </m:r>
            <m:ctrlPr>
              <w:rPr>
                <w:rFonts w:ascii="Cambria Math" w:hAnsi="Cambria Math" w:cs="Cambria Math"/>
                <w:bCs w:val="0"/>
                <w:i/>
              </w:rPr>
            </m:ctrlPr>
          </m:e>
          <m:sub>
            <m:r>
              <m:rPr>
                <m:nor/>
              </m:rPr>
              <w:rPr>
                <w:rFonts w:ascii="Cambria Math" w:hAnsi="Cambria Math" w:cs="Times New Roman"/>
                <w:bCs w:val="0"/>
              </w:rPr>
              <m:t>app</m:t>
            </m:r>
          </m:sub>
          <m:sup>
            <m:d>
              <m:dPr>
                <m:ctrlPr>
                  <w:rPr>
                    <w:rFonts w:ascii="Cambria Math" w:hAnsi="Cambria Math" w:cs="Times New Roman"/>
                    <w:bCs w:val="0"/>
                    <w:i/>
                  </w:rPr>
                </m:ctrlPr>
              </m:dPr>
              <m:e>
                <m:r>
                  <m:rPr>
                    <m:sty m:val="p"/>
                  </m:rPr>
                  <w:rPr>
                    <w:rFonts w:ascii="Cambria Math" w:hAnsi="Cambria Math" w:cs="Times New Roman"/>
                  </w:rPr>
                  <m:t>α</m:t>
                </m:r>
              </m:e>
            </m:d>
          </m:sup>
        </m:sSubSup>
      </m:oMath>
      <w:r w:rsidRPr="00444855">
        <w:rPr>
          <w:rFonts w:ascii="Times New Roman" w:hAnsi="Times New Roman" w:cs="Times New Roman"/>
          <w:bCs w:val="0"/>
        </w:rPr>
        <w:t xml:space="preserve"> bezeichnete anwendungsbezogene Aussage und einen universellen Aussageanspruch </w:t>
      </w:r>
      <m:oMath>
        <m:sSub>
          <m:sSubPr>
            <m:ctrlPr>
              <w:rPr>
                <w:rFonts w:ascii="Cambria Math" w:hAnsi="Cambria Math" w:cs="Times New Roman"/>
                <w:bCs w:val="0"/>
                <w:i/>
              </w:rPr>
            </m:ctrlPr>
          </m:sSubPr>
          <m:e>
            <m:r>
              <m:rPr>
                <m:scr m:val="script"/>
              </m:rPr>
              <w:rPr>
                <w:rFonts w:ascii="Cambria Math" w:hAnsi="Cambria Math" w:cs="Cambria Math"/>
              </w:rPr>
              <m:t>A</m:t>
            </m:r>
            <m:ctrlPr>
              <w:rPr>
                <w:rFonts w:ascii="Cambria Math" w:hAnsi="Cambria Math" w:cs="Cambria Math"/>
                <w:bCs w:val="0"/>
                <w:i/>
              </w:rPr>
            </m:ctrlPr>
          </m:e>
          <m:sub>
            <m:r>
              <m:rPr>
                <m:nor/>
              </m:rPr>
              <w:rPr>
                <w:rFonts w:ascii="Cambria Math" w:hAnsi="Cambria Math" w:cs="Times New Roman"/>
                <w:bCs w:val="0"/>
              </w:rPr>
              <m:t>U</m:t>
            </m:r>
          </m:sub>
        </m:sSub>
      </m:oMath>
      <w:r w:rsidRPr="00444855">
        <w:rPr>
          <w:rFonts w:ascii="Times New Roman" w:hAnsi="Times New Roman" w:cs="Times New Roman"/>
          <w:bCs w:val="0"/>
        </w:rPr>
        <w:t xml:space="preserve"> gilt deshalb:</w:t>
      </w:r>
    </w:p>
    <w:p w:rsidR="00444855" w:rsidRPr="00444855" w:rsidRDefault="00FD0EA2" w:rsidP="00444855">
      <w:pPr>
        <w:pStyle w:val="Formel"/>
      </w:pPr>
      <m:oMath>
        <m:sSubSup>
          <m:sSubSupPr>
            <m:ctrlPr/>
          </m:sSubSupPr>
          <m:e>
            <m:r>
              <m:rPr>
                <m:scr m:val="script"/>
              </m:rPr>
              <m:t>A</m:t>
            </m:r>
          </m:e>
          <m:sub>
            <m:r>
              <m:rPr>
                <m:nor/>
              </m:rPr>
              <m:t>app</m:t>
            </m:r>
          </m:sub>
          <m:sup>
            <m:d>
              <m:dPr>
                <m:ctrlPr/>
              </m:dPr>
              <m:e>
                <m:r>
                  <m:t>α</m:t>
                </m:r>
              </m:e>
            </m:d>
          </m:sup>
        </m:sSubSup>
        <m:r>
          <m:t>⇏</m:t>
        </m:r>
        <m:sSub>
          <m:sSubPr>
            <m:ctrlPr/>
          </m:sSubPr>
          <m:e>
            <m:r>
              <m:rPr>
                <m:scr m:val="script"/>
              </m:rPr>
              <m:t>A</m:t>
            </m:r>
          </m:e>
          <m:sub>
            <m:r>
              <m:rPr>
                <m:nor/>
              </m:rPr>
              <m:t>U</m:t>
            </m:r>
          </m:sub>
        </m:sSub>
      </m:oMath>
      <w:r w:rsidR="00444855" w:rsidRPr="00444855">
        <w:t xml:space="preserve"> </w:t>
      </w:r>
      <w:r w:rsidR="00444855" w:rsidRPr="00444855">
        <w:tab/>
        <w:t xml:space="preserve"> (3.3721)</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Diese Nichtimplikation setzt die Rang- und </w:t>
      </w:r>
      <w:proofErr w:type="spellStart"/>
      <w:r w:rsidRPr="00444855">
        <w:rPr>
          <w:rFonts w:ascii="Times New Roman" w:hAnsi="Times New Roman" w:cs="Times New Roman"/>
          <w:bCs w:val="0"/>
        </w:rPr>
        <w:t>Provenienzlogik</w:t>
      </w:r>
      <w:proofErr w:type="spellEnd"/>
      <w:r w:rsidRPr="00444855">
        <w:rPr>
          <w:rFonts w:ascii="Times New Roman" w:hAnsi="Times New Roman" w:cs="Times New Roman"/>
          <w:bCs w:val="0"/>
        </w:rPr>
        <w:t xml:space="preserve"> der vorhergehenden Kapitel fort. Eine Anwendungsinstanz erbt die Bedingungen, unter denen sie erzeugt wurde. Wenn ihre Konstruktion eine bestimmte Repräsentation, ein besonderes Dynamikprofil, eine anwendungsspezifische Brücke, einen Beobachtungskontext, ein Messmodell oder ein statistisches Prüfprofil verwendet, bleiben diese Voraussetzungen Bestandteil ihres Geltungsanspruchs. Eine erfolgreiche Anwendung entfernt sie nicht nachträglich aus der Abhängigkeitskette.</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Dasselbe gilt für einen negativen Befund. Scheitert eine konkrete Instanziierung an einem Zielsystem, ist zunächst nur diese vollständig spezifizierte Instanziierung betroffen. Aus ihrem Scheitern folgt nicht unmittelbar, dass jede andere zulässige FRZK-Rekonstruktion am selben Zielsystem scheitern müsste. Erst recht folgt daraus nicht ohne weitere Argumentation die Widerlegung des universellen Primärkerns. Eine spätere Anwendungsanalyse muss deshalb stets unterscheiden, ob ein Konflikt die ausgewählte Modell-Ziel-Zuordnung, eine zusätzliche Modellannahme, eine Beobachtungsbrücke, ein Messmodell, ein Dynamikprofil oder tatsächlich einen allgemeineren theoretischen Bestandteil betrifft.</w:t>
      </w:r>
    </w:p>
    <w:p w:rsidR="00444855" w:rsidRPr="00444855" w:rsidRDefault="00444855" w:rsidP="00444855">
      <w:pPr>
        <w:spacing w:before="100" w:beforeAutospacing="1" w:after="100" w:afterAutospacing="1"/>
        <w:outlineLvl w:val="2"/>
        <w:rPr>
          <w:rFonts w:ascii="Times New Roman" w:hAnsi="Times New Roman" w:cs="Times New Roman"/>
          <w:b/>
          <w:sz w:val="27"/>
          <w:szCs w:val="27"/>
        </w:rPr>
      </w:pPr>
      <w:r w:rsidRPr="00444855">
        <w:rPr>
          <w:rFonts w:ascii="Times New Roman" w:hAnsi="Times New Roman" w:cs="Times New Roman"/>
          <w:b/>
          <w:sz w:val="27"/>
          <w:szCs w:val="27"/>
        </w:rPr>
        <w:t>Modell-Ziel-Abweichung und Messunsicherheit</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Eine weitere für Kapitel 3.7 zentrale </w:t>
      </w:r>
      <w:proofErr w:type="spellStart"/>
      <w:r w:rsidRPr="00444855">
        <w:rPr>
          <w:rFonts w:ascii="Times New Roman" w:hAnsi="Times New Roman" w:cs="Times New Roman"/>
          <w:bCs w:val="0"/>
        </w:rPr>
        <w:t>Ebenentrennung</w:t>
      </w:r>
      <w:proofErr w:type="spellEnd"/>
      <w:r w:rsidRPr="00444855">
        <w:rPr>
          <w:rFonts w:ascii="Times New Roman" w:hAnsi="Times New Roman" w:cs="Times New Roman"/>
          <w:bCs w:val="0"/>
        </w:rPr>
        <w:t xml:space="preserve"> ergibt sich aus dem bereits in Kapitel 3.6 entwickelten Messunsicherheitsbegriff. Die Unsicherheit einer Messung beschreibt nicht automatisch, wie angemessen die verwendete theoretische Struktur das Zielsystem repräsentiert. Beide Fragen können zwar in einer konkreten Anwendung gleichzeitig relevant sein, sie liegen aber auf unterschiedlichen Ebenen.</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Ich verwende deshalb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MT</m:t>
            </m:r>
          </m:sub>
          <m:sup>
            <m:d>
              <m:dPr>
                <m:ctrlPr>
                  <w:rPr>
                    <w:rFonts w:ascii="Cambria Math" w:hAnsi="Cambria Math" w:cs="Times New Roman"/>
                    <w:bCs w:val="0"/>
                    <w:i/>
                  </w:rPr>
                </m:ctrlPr>
              </m:dPr>
              <m:e>
                <m:r>
                  <m:rPr>
                    <m:sty m:val="p"/>
                  </m:rPr>
                  <w:rPr>
                    <w:rFonts w:ascii="Cambria Math" w:hAnsi="Cambria Math" w:cs="Times New Roman"/>
                  </w:rPr>
                  <m:t>α</m:t>
                </m:r>
              </m:e>
            </m:d>
          </m:sup>
        </m:sSubSup>
      </m:oMath>
      <w:r w:rsidRPr="00444855">
        <w:rPr>
          <w:rFonts w:ascii="Times New Roman" w:hAnsi="Times New Roman" w:cs="Times New Roman"/>
          <w:bCs w:val="0"/>
        </w:rPr>
        <w:t xml:space="preserve"> vorläufig als Arbeitssymbol für eine Abweichung beziehungsweise einen nicht erfassten Rest zwischen der gewählten Modellstruktur und dem Zielsystem. Dieser anwendungsbezogene Modell-Ziel-Rest ist nicht mit dem bereits etablierten Messunsicherheitsprofil </w:t>
      </w:r>
      <m:oMath>
        <m:sSubSup>
          <m:sSubSupPr>
            <m:ctrlPr>
              <w:rPr>
                <w:rFonts w:ascii="Cambria Math" w:hAnsi="Cambria Math" w:cs="Times New Roman"/>
                <w:bCs w:val="0"/>
                <w:i/>
              </w:rPr>
            </m:ctrlPr>
          </m:sSubSupPr>
          <m:e>
            <m:r>
              <m:rPr>
                <m:scr m:val="fraktur"/>
              </m:rPr>
              <w:rPr>
                <w:rFonts w:ascii="Cambria Math" w:hAnsi="Cambria Math" w:cs="Cambria Math"/>
              </w:rPr>
              <m:t>U</m:t>
            </m:r>
            <m:ctrlPr>
              <w:rPr>
                <w:rFonts w:ascii="Cambria Math" w:hAnsi="Cambria Math" w:cs="Cambria Math"/>
                <w:bCs w:val="0"/>
                <w:i/>
              </w:rPr>
            </m:ctrlPr>
          </m:e>
          <m:sub>
            <m:r>
              <m:rPr>
                <m:nor/>
              </m:rPr>
              <w:rPr>
                <w:rFonts w:ascii="Cambria Math" w:hAnsi="Cambria Math" w:cs="Times New Roman"/>
                <w:bCs w:val="0"/>
              </w:rPr>
              <m:t>meas</m:t>
            </m:r>
          </m:sub>
          <m:sup>
            <m:d>
              <m:dPr>
                <m:ctrlPr>
                  <w:rPr>
                    <w:rFonts w:ascii="Cambria Math" w:hAnsi="Cambria Math" w:cs="Times New Roman"/>
                    <w:bCs w:val="0"/>
                    <w:i/>
                  </w:rPr>
                </m:ctrlPr>
              </m:dPr>
              <m:e>
                <m:r>
                  <m:rPr>
                    <m:sty m:val="p"/>
                  </m:rPr>
                  <w:rPr>
                    <w:rFonts w:ascii="Cambria Math" w:hAnsi="Cambria Math" w:cs="Times New Roman"/>
                  </w:rPr>
                  <m:t>μ</m:t>
                </m:r>
                <m:r>
                  <w:rPr>
                    <w:rFonts w:ascii="Cambria Math" w:hAnsi="Cambria Math" w:cs="Times New Roman"/>
                  </w:rPr>
                  <m:t>,</m:t>
                </m:r>
                <m:r>
                  <m:rPr>
                    <m:sty m:val="p"/>
                  </m:rPr>
                  <w:rPr>
                    <w:rFonts w:ascii="Cambria Math" w:hAnsi="Cambria Math" w:cs="Times New Roman"/>
                  </w:rPr>
                  <m:t>υ</m:t>
                </m:r>
              </m:e>
            </m:d>
          </m:sup>
        </m:sSubSup>
      </m:oMath>
      <w:r w:rsidRPr="00444855">
        <w:rPr>
          <w:rFonts w:ascii="Times New Roman" w:hAnsi="Times New Roman" w:cs="Times New Roman"/>
          <w:bCs w:val="0"/>
        </w:rPr>
        <w:t xml:space="preserve"> gleichzusetzen:</w:t>
      </w:r>
    </w:p>
    <w:p w:rsidR="00444855" w:rsidRPr="00444855" w:rsidRDefault="00FD0EA2" w:rsidP="00444855">
      <w:pPr>
        <w:pStyle w:val="Formel"/>
      </w:pPr>
      <m:oMath>
        <m:sSubSup>
          <m:sSubSupPr>
            <m:ctrlPr/>
          </m:sSubSupPr>
          <m:e>
            <m:r>
              <m:t>Δ</m:t>
            </m:r>
          </m:e>
          <m:sub>
            <m:r>
              <m:rPr>
                <m:nor/>
              </m:rPr>
              <m:t>MT</m:t>
            </m:r>
          </m:sub>
          <m:sup>
            <m:d>
              <m:dPr>
                <m:ctrlPr/>
              </m:dPr>
              <m:e>
                <m:r>
                  <m:t>α</m:t>
                </m:r>
              </m:e>
            </m:d>
          </m:sup>
        </m:sSubSup>
        <m:r>
          <m:t>≢</m:t>
        </m:r>
        <m:sSubSup>
          <m:sSubSupPr>
            <m:ctrlPr/>
          </m:sSubSupPr>
          <m:e>
            <m:r>
              <m:rPr>
                <m:scr m:val="fraktur"/>
              </m:rPr>
              <m:t>U</m:t>
            </m:r>
          </m:e>
          <m:sub>
            <m:r>
              <m:rPr>
                <m:nor/>
              </m:rPr>
              <m:t>meas</m:t>
            </m:r>
          </m:sub>
          <m:sup>
            <m:d>
              <m:dPr>
                <m:ctrlPr/>
              </m:dPr>
              <m:e>
                <m:r>
                  <m:t>μ,υ</m:t>
                </m:r>
              </m:e>
            </m:d>
          </m:sup>
        </m:sSubSup>
      </m:oMath>
      <w:r w:rsidR="00444855" w:rsidRPr="00444855">
        <w:t xml:space="preserve"> </w:t>
      </w:r>
      <w:r w:rsidR="00444855" w:rsidRPr="00444855">
        <w:tab/>
        <w:t xml:space="preserve"> (3.3722)</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Gleichung (3.3722) verhindert eine für spätere Anwendungen besonders folgenreiche Verwechslung. Eine sehr präzise Messung kann eine ungeeignete Modell-Ziel-Zuordnung mit hoher Genauigkeit vermessen, ohne diese Zuordnung dadurch angemessener zu machen. Umgekehrt kann eine theoretisch sehr geeignete Modellstruktur unter ungünstigen Messbedingungen nur unsicher beobachtbar sein. Die Reduktion von Messunsicherheit löst deshalb nicht automatisch ein Problem der </w:t>
      </w:r>
      <w:proofErr w:type="spellStart"/>
      <w:r w:rsidRPr="00444855">
        <w:rPr>
          <w:rFonts w:ascii="Times New Roman" w:hAnsi="Times New Roman" w:cs="Times New Roman"/>
          <w:bCs w:val="0"/>
        </w:rPr>
        <w:t>Modelladäquanz</w:t>
      </w:r>
      <w:proofErr w:type="spellEnd"/>
      <w:r w:rsidRPr="00444855">
        <w:rPr>
          <w:rFonts w:ascii="Times New Roman" w:hAnsi="Times New Roman" w:cs="Times New Roman"/>
          <w:bCs w:val="0"/>
        </w:rPr>
        <w:t>, und eine verbesserte Modell-Ziel-Zuordnung beseitigt nicht automatisch metrologische Unsicherheit.</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Diese Trennung wird im weiteren Kapitel noch eine zusätzliche Bedeutung erhalten. Bei einer empirischen Abweichung muss später erkennbar bleiben, ob sie aus dem Zielsystem selbst, aus der gewählten Instanziierung, aus einer unzureichenden Modell-Ziel-Brücke, aus einer Beobachtungsbegrenzung, aus Messunsicherheit oder aus einer statistischen Auswertung hervorgeht. Ohne diese Trennung würde ein beobachteter Rest lediglich als unspezifizierter „Fehler“ erscheinen. Gerade dadurch könnten jedoch theoretisch völlig verschiedene Ursachen unzulässig zusammengezogen werden.</w:t>
      </w:r>
    </w:p>
    <w:p w:rsidR="00444855" w:rsidRPr="00444855" w:rsidRDefault="00444855" w:rsidP="00444855">
      <w:pPr>
        <w:spacing w:before="100" w:beforeAutospacing="1" w:after="100" w:afterAutospacing="1"/>
        <w:outlineLvl w:val="2"/>
        <w:rPr>
          <w:rFonts w:ascii="Times New Roman" w:hAnsi="Times New Roman" w:cs="Times New Roman"/>
          <w:b/>
          <w:sz w:val="27"/>
          <w:szCs w:val="27"/>
        </w:rPr>
      </w:pPr>
      <w:r w:rsidRPr="00444855">
        <w:rPr>
          <w:rFonts w:ascii="Times New Roman" w:hAnsi="Times New Roman" w:cs="Times New Roman"/>
          <w:b/>
          <w:sz w:val="27"/>
          <w:szCs w:val="27"/>
        </w:rPr>
        <w:lastRenderedPageBreak/>
        <w:t>Übertragung zwischen Anwendungskontexten</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Eine erfolgreiche Instanziierung in einem Kontext beantwortet ebenfalls noch nicht die Frage, ob dieselbe Instanziierung auf einen anderen Kontext übertragen werden darf. Anwendungskontexte können sich in den relevanten Zielobjekten, Relationen, Randbedingungen, Skalen, Beobachtungsmöglichkeiten oder zulässigen Modellannahmen unterscheiden. Selbst wenn zwei Kontexte oberflächlich ähnlich erscheinen, muss daher geprüft werden, welche für die ursprüngliche Instanziierung wesentlichen Bedingungen tatsächlich erhalten bleiben.</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Für zwei Anwendungskontexte </w:t>
      </w:r>
      <m:oMath>
        <m:r>
          <m:rPr>
            <m:sty m:val="p"/>
          </m:rPr>
          <w:rPr>
            <w:rFonts w:ascii="Cambria Math" w:hAnsi="Cambria Math" w:cs="Times New Roman"/>
          </w:rPr>
          <m:t>α</m:t>
        </m:r>
      </m:oMath>
      <w:r w:rsidRPr="00444855">
        <w:rPr>
          <w:rFonts w:ascii="Times New Roman" w:hAnsi="Times New Roman" w:cs="Times New Roman"/>
          <w:bCs w:val="0"/>
        </w:rPr>
        <w:t xml:space="preserve"> und </w:t>
      </w:r>
      <m:oMath>
        <m:r>
          <m:rPr>
            <m:sty m:val="p"/>
          </m:rPr>
          <w:rPr>
            <w:rFonts w:ascii="Cambria Math" w:hAnsi="Cambria Math" w:cs="Times New Roman"/>
          </w:rPr>
          <m:t>β</m:t>
        </m:r>
      </m:oMath>
      <w:r w:rsidRPr="00444855">
        <w:rPr>
          <w:rFonts w:ascii="Times New Roman" w:hAnsi="Times New Roman" w:cs="Times New Roman"/>
          <w:bCs w:val="0"/>
        </w:rPr>
        <w:t xml:space="preserve"> folgt deshalb nicht:</w:t>
      </w:r>
    </w:p>
    <w:p w:rsidR="00444855" w:rsidRPr="00444855" w:rsidRDefault="00FD0EA2" w:rsidP="00444855">
      <w:pPr>
        <w:pStyle w:val="Formel"/>
      </w:pPr>
      <m:oMath>
        <m:sSubSup>
          <m:sSubSupPr>
            <m:ctrlPr/>
          </m:sSubSupPr>
          <m:e>
            <m:r>
              <m:rPr>
                <m:scr m:val="script"/>
              </m:rPr>
              <m:t>R</m:t>
            </m:r>
          </m:e>
          <m:sub>
            <m:r>
              <m:rPr>
                <m:nor/>
              </m:rPr>
              <m:t>app</m:t>
            </m:r>
          </m:sub>
          <m:sup>
            <m:d>
              <m:dPr>
                <m:ctrlPr/>
              </m:dPr>
              <m:e>
                <m:r>
                  <m:t>α</m:t>
                </m:r>
              </m:e>
            </m:d>
          </m:sup>
        </m:sSubSup>
        <m:r>
          <m:t>⇏</m:t>
        </m:r>
        <m:sSubSup>
          <m:sSubSupPr>
            <m:ctrlPr/>
          </m:sSubSupPr>
          <m:e>
            <m:r>
              <m:rPr>
                <m:scr m:val="script"/>
              </m:rPr>
              <m:t>R</m:t>
            </m:r>
          </m:e>
          <m:sub>
            <m:r>
              <m:rPr>
                <m:nor/>
              </m:rPr>
              <m:t>app</m:t>
            </m:r>
          </m:sub>
          <m:sup>
            <m:d>
              <m:dPr>
                <m:ctrlPr/>
              </m:dPr>
              <m:e>
                <m:r>
                  <m:t>β</m:t>
                </m:r>
              </m:e>
            </m:d>
          </m:sup>
        </m:sSubSup>
      </m:oMath>
      <w:r w:rsidR="00444855" w:rsidRPr="00444855">
        <w:t xml:space="preserve"> </w:t>
      </w:r>
      <w:r w:rsidR="00444855" w:rsidRPr="00444855">
        <w:tab/>
        <w:t xml:space="preserve"> (3.3723)</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Die Nichtimplikation aus Gleichung (3.3723) ist noch keine Definition von Übertragbarkeit. Sie setzt lediglich die Ausgangssperre für eine spätere Untersuchung von Robustheit und Transfer. Soll eine anwendungsbezogene Aussage von einem Kontext auf einen anderen übertragen werden, muss ich angeben, welche strukturtragenden Bedingungen zwischen beiden Kontexten erhalten bleiben und welche Änderungen zulässig sind. Genau diese Prüfung verhindert, dass eine einmal erfolgreiche Anwendung stillschweigend als universelle Bestätigung eines bestimmten FRZK-Modells behandelt wird.</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Dies betrifft auch unterschiedliche Skalen oder Organisationsebenen innerhalb desselben fachlichen Gegenstandsbereichs. Dass eine Instanziierung auf einer bestimmten Ebene funktioniert, bedeutet nicht ohne weitere Prüfung, dass dieselben Variablen, Relationen oder Kopplungsstrukturen auf einer höheren oder niedrigeren Ebene denselben theoretischen Status besitzen. Die in Kapitel 3.5 entwickelte Architektur höherer Organisationen bleibt auch hier wirksam: Ein </w:t>
      </w:r>
      <w:proofErr w:type="spellStart"/>
      <w:r w:rsidRPr="00444855">
        <w:rPr>
          <w:rFonts w:ascii="Times New Roman" w:hAnsi="Times New Roman" w:cs="Times New Roman"/>
          <w:bCs w:val="0"/>
        </w:rPr>
        <w:t>Ebenenwechsel</w:t>
      </w:r>
      <w:proofErr w:type="spellEnd"/>
      <w:r w:rsidRPr="00444855">
        <w:rPr>
          <w:rFonts w:ascii="Times New Roman" w:hAnsi="Times New Roman" w:cs="Times New Roman"/>
          <w:bCs w:val="0"/>
        </w:rPr>
        <w:t xml:space="preserve"> ist ein zusätzlicher theoretischer Schritt und darf nicht allein durch die sprachliche Gleichheit verwendeter Begriffe verdeckt werden.</w:t>
      </w:r>
    </w:p>
    <w:p w:rsidR="00444855" w:rsidRPr="00444855" w:rsidRDefault="00444855" w:rsidP="00444855">
      <w:pPr>
        <w:spacing w:before="100" w:beforeAutospacing="1" w:after="100" w:afterAutospacing="1"/>
        <w:outlineLvl w:val="2"/>
        <w:rPr>
          <w:rFonts w:ascii="Times New Roman" w:hAnsi="Times New Roman" w:cs="Times New Roman"/>
          <w:b/>
          <w:sz w:val="27"/>
          <w:szCs w:val="27"/>
        </w:rPr>
      </w:pPr>
      <w:r w:rsidRPr="00444855">
        <w:rPr>
          <w:rFonts w:ascii="Times New Roman" w:hAnsi="Times New Roman" w:cs="Times New Roman"/>
          <w:b/>
          <w:sz w:val="27"/>
          <w:szCs w:val="27"/>
        </w:rPr>
        <w:t>Kernschutz am Beginn von Kapitel 3.7</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Aus allen bisherigen Festlegungen folgt für mich, dass Kapitel 3.7 keine zweite Axiomatik und auch keine nachträgliche Universalisierungsstufe des FRZK werden darf. Seine Aufgabe besteht darin, den bereits entwickelten theoretischen, kompositorischen und beobachtungsseitigen Bestand kontrolliert auf die Schwelle konkreter Anwendungen vorzubereiten. Die dafür benötigten Strukturen sind kontext-, modell- oder brückenabhängig. Gerade deshalb müssen sie sichtbar bleiben.</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Der universelle Primärkern verändert sich durch den Beginn der Anwendungsinstanziierung nicht:</w:t>
      </w:r>
    </w:p>
    <w:p w:rsidR="00444855" w:rsidRPr="00444855" w:rsidRDefault="00444855" w:rsidP="00444855">
      <w:pPr>
        <w:spacing w:after="0"/>
        <w:rPr>
          <w:rFonts w:ascii="Times New Roman" w:hAnsi="Times New Roman" w:cs="Times New Roman"/>
          <w:bCs w:val="0"/>
        </w:rPr>
      </w:pPr>
      <w:r w:rsidRPr="00444855">
        <w:rPr>
          <w:rFonts w:ascii="Times New Roman" w:hAnsi="Times New Roman" w:cs="Times New Roman"/>
          <w:bCs w:val="0"/>
        </w:rPr>
        <w:t>AU3.7.0={PA3.3.</w:t>
      </w:r>
      <w:proofErr w:type="gramStart"/>
      <w:r w:rsidRPr="00444855">
        <w:rPr>
          <w:rFonts w:ascii="Times New Roman" w:hAnsi="Times New Roman" w:cs="Times New Roman"/>
          <w:bCs w:val="0"/>
        </w:rPr>
        <w:t>1}(</w:t>
      </w:r>
      <w:proofErr w:type="gramEnd"/>
      <w:r w:rsidRPr="00444855">
        <w:rPr>
          <w:rFonts w:ascii="Times New Roman" w:hAnsi="Times New Roman" w:cs="Times New Roman"/>
          <w:bCs w:val="0"/>
        </w:rPr>
        <w:t>3.3724)</w:t>
      </w:r>
      <w:r>
        <w:rPr>
          <w:rFonts w:ascii="Cambria Math" w:hAnsi="Cambria Math" w:cs="Cambria Math"/>
          <w:bCs w:val="0"/>
        </w:rPr>
        <w:t>𝒜</w:t>
      </w:r>
      <w:r w:rsidRPr="00444855">
        <w:rPr>
          <w:rFonts w:ascii="Times New Roman" w:hAnsi="Times New Roman" w:cs="Times New Roman"/>
          <w:bCs w:val="0"/>
        </w:rPr>
        <w:t>_{\</w:t>
      </w:r>
      <w:proofErr w:type="spellStart"/>
      <w:r w:rsidRPr="00444855">
        <w:rPr>
          <w:rFonts w:ascii="Times New Roman" w:hAnsi="Times New Roman" w:cs="Times New Roman"/>
          <w:bCs w:val="0"/>
        </w:rPr>
        <w:t>mathrm</w:t>
      </w:r>
      <w:proofErr w:type="spellEnd"/>
      <w:r w:rsidRPr="00444855">
        <w:rPr>
          <w:rFonts w:ascii="Times New Roman" w:hAnsi="Times New Roman" w:cs="Times New Roman"/>
          <w:bCs w:val="0"/>
        </w:rPr>
        <w:t xml:space="preserve"> U}^{3.7.0}=</w:t>
      </w:r>
      <w:r>
        <w:rPr>
          <w:rFonts w:ascii="Times New Roman" w:hAnsi="Times New Roman" w:cs="Times New Roman"/>
          <w:bCs w:val="0"/>
        </w:rPr>
        <w:t>{</w:t>
      </w:r>
      <w:r w:rsidRPr="00444855">
        <w:rPr>
          <w:rFonts w:ascii="Times New Roman" w:hAnsi="Times New Roman" w:cs="Times New Roman"/>
          <w:bCs w:val="0"/>
        </w:rPr>
        <w:t>\</w:t>
      </w:r>
      <w:proofErr w:type="spellStart"/>
      <w:r w:rsidRPr="00444855">
        <w:rPr>
          <w:rFonts w:ascii="Times New Roman" w:hAnsi="Times New Roman" w:cs="Times New Roman"/>
          <w:bCs w:val="0"/>
        </w:rPr>
        <w:t>mathrm</w:t>
      </w:r>
      <w:proofErr w:type="spellEnd"/>
      <w:r w:rsidRPr="00444855">
        <w:rPr>
          <w:rFonts w:ascii="Times New Roman" w:hAnsi="Times New Roman" w:cs="Times New Roman"/>
          <w:bCs w:val="0"/>
        </w:rPr>
        <w:t>{PA}_{3.3.1}</w:t>
      </w:r>
      <w:r>
        <w:rPr>
          <w:rFonts w:ascii="Times New Roman" w:hAnsi="Times New Roman" w:cs="Times New Roman"/>
          <w:bCs w:val="0"/>
        </w:rPr>
        <w:t>}</w:t>
      </w:r>
      <w:r w:rsidRPr="00444855">
        <w:rPr>
          <w:rFonts w:ascii="Times New Roman" w:hAnsi="Times New Roman" w:cs="Times New Roman"/>
          <w:bCs w:val="0"/>
        </w:rPr>
        <w:t xml:space="preserve"> </w:t>
      </w:r>
      <w:r>
        <w:rPr>
          <w:rFonts w:ascii="Times New Roman" w:hAnsi="Times New Roman" w:cs="Times New Roman"/>
          <w:bCs w:val="0"/>
        </w:rPr>
        <w:t>\</w:t>
      </w:r>
      <w:proofErr w:type="spellStart"/>
      <w:r>
        <w:rPr>
          <w:rFonts w:ascii="Times New Roman" w:hAnsi="Times New Roman" w:cs="Times New Roman"/>
          <w:bCs w:val="0"/>
        </w:rPr>
        <w:t>text</w:t>
      </w:r>
      <w:proofErr w:type="spellEnd"/>
      <w:r w:rsidRPr="00444855">
        <w:rPr>
          <w:rFonts w:ascii="Times New Roman" w:hAnsi="Times New Roman" w:cs="Times New Roman"/>
          <w:bCs w:val="0"/>
        </w:rPr>
        <w:t>{3.3724}</w:t>
      </w:r>
    </w:p>
    <w:p w:rsid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Word-</w:t>
      </w:r>
      <w:proofErr w:type="spellStart"/>
      <w:r w:rsidRPr="00444855">
        <w:rPr>
          <w:rFonts w:ascii="Times New Roman" w:hAnsi="Times New Roman" w:cs="Times New Roman"/>
          <w:bCs w:val="0"/>
        </w:rPr>
        <w:t>LaTeX</w:t>
      </w:r>
      <w:proofErr w:type="spellEnd"/>
      <w:r w:rsidRPr="00444855">
        <w:rPr>
          <w:rFonts w:ascii="Times New Roman" w:hAnsi="Times New Roman" w:cs="Times New Roman"/>
          <w:bCs w:val="0"/>
        </w:rPr>
        <w:t xml:space="preserve">: </w:t>
      </w:r>
    </w:p>
    <w:p w:rsidR="001C1E93" w:rsidRPr="001C1E93" w:rsidRDefault="00FD0EA2" w:rsidP="00FD0EA2">
      <w:pPr>
        <w:pStyle w:val="Formel"/>
      </w:pPr>
      <m:oMath>
        <m:sSubSup>
          <m:sSubSupPr>
            <m:ctrlPr/>
          </m:sSubSupPr>
          <m:e>
            <m:r>
              <m:rPr>
                <m:scr m:val="script"/>
              </m:rPr>
              <m:t>A</m:t>
            </m:r>
          </m:e>
          <m:sub>
            <m:r>
              <m:rPr>
                <m:nor/>
              </m:rPr>
              <m:t>U</m:t>
            </m:r>
          </m:sub>
          <m:sup>
            <m:r>
              <m:t>3.7.0</m:t>
            </m:r>
          </m:sup>
        </m:sSubSup>
        <m:r>
          <m:t>=</m:t>
        </m:r>
        <m:r>
          <m:rPr>
            <m:nor/>
          </m:rPr>
          <m:t>P</m:t>
        </m:r>
        <m:sSub>
          <m:sSubPr>
            <m:ctrlPr/>
          </m:sSubPr>
          <m:e>
            <m:r>
              <m:rPr>
                <m:nor/>
              </m:rPr>
              <m:t>A</m:t>
            </m:r>
          </m:e>
          <m:sub>
            <m:r>
              <m:rPr>
                <m:nor/>
              </m:rPr>
              <m:t>3.3.1</m:t>
            </m:r>
          </m:sub>
        </m:sSub>
      </m:oMath>
      <w:r>
        <w:t xml:space="preserve"> </w:t>
      </w:r>
      <w:r>
        <w:tab/>
        <w:t>(3.3724)</w:t>
      </w:r>
    </w:p>
    <w:p w:rsidR="00444855" w:rsidRPr="00444855" w:rsidRDefault="00444855" w:rsidP="00444855">
      <w:pPr>
        <w:spacing w:before="100" w:beforeAutospacing="1" w:after="100" w:afterAutospacing="1"/>
        <w:rPr>
          <w:rFonts w:ascii="Times New Roman" w:hAnsi="Times New Roman" w:cs="Times New Roman"/>
          <w:bCs w:val="0"/>
        </w:rPr>
      </w:pPr>
      <w:bookmarkStart w:id="0" w:name="_GoBack"/>
      <w:bookmarkEnd w:id="0"/>
      <w:r w:rsidRPr="00444855">
        <w:rPr>
          <w:rFonts w:ascii="Times New Roman" w:hAnsi="Times New Roman" w:cs="Times New Roman"/>
          <w:bCs w:val="0"/>
        </w:rPr>
        <w:lastRenderedPageBreak/>
        <w:t>Gleichung (3.3724) führt kein neues Axiom ein. Sie dokumentiert den aus Kapitel 3.6 übernommenen und durch das Übergabe-Gate bestätigten Zustand. Anwendungskontext, Instanziierung, Modell-Ziel-Zuordnung, anwendungsbezogener Geltungsbereich, mögliche Modell-Ziel-Abweichung und spätere Transferbedingungen besitzen keinen Primärstatus. Sollte eine konkrete Anwendung ohne eine zusätzliche Annahme nicht formulierbar sein, wird diese Annahme zunächst als Bestandteil der jeweiligen Anwendung beziehungsweise ihres Modells behandelt. Sie darf nicht allein aufgrund ihres dortigen Nutzens zum universellen Bestandteil des FRZK werden.</w:t>
      </w:r>
    </w:p>
    <w:p w:rsidR="00444855" w:rsidRPr="00444855" w:rsidRDefault="00444855" w:rsidP="00444855">
      <w:pPr>
        <w:spacing w:before="100" w:beforeAutospacing="1" w:after="100" w:afterAutospacing="1"/>
        <w:outlineLvl w:val="2"/>
        <w:rPr>
          <w:rFonts w:ascii="Times New Roman" w:hAnsi="Times New Roman" w:cs="Times New Roman"/>
          <w:b/>
          <w:sz w:val="27"/>
          <w:szCs w:val="27"/>
        </w:rPr>
      </w:pPr>
      <w:r w:rsidRPr="00444855">
        <w:rPr>
          <w:rFonts w:ascii="Times New Roman" w:hAnsi="Times New Roman" w:cs="Times New Roman"/>
          <w:b/>
          <w:sz w:val="27"/>
          <w:szCs w:val="27"/>
        </w:rPr>
        <w:t>Abgrenzung gegenüber Kapitel 6</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Mit dieser Festlegung muss ich die Grenze zu Kapitel 6 erneut präzisieren. Kapitel 3.7 öffnet zwar ausdrücklich die </w:t>
      </w:r>
      <w:proofErr w:type="spellStart"/>
      <w:r w:rsidRPr="00444855">
        <w:rPr>
          <w:rFonts w:ascii="Times New Roman" w:hAnsi="Times New Roman" w:cs="Times New Roman"/>
          <w:bCs w:val="0"/>
        </w:rPr>
        <w:t>Anwendungsinstanziierungsarchitektur</w:t>
      </w:r>
      <w:proofErr w:type="spellEnd"/>
      <w:r w:rsidRPr="00444855">
        <w:rPr>
          <w:rFonts w:ascii="Times New Roman" w:hAnsi="Times New Roman" w:cs="Times New Roman"/>
          <w:bCs w:val="0"/>
        </w:rPr>
        <w:t>, es führt jedoch weiterhin keine konkrete fachwissenschaftliche Anwendung durch. Ich wähle hier kein bestimmtes physikalisches, technisches, biologisches, soziales oder anderes reales System aus und erkläre es zu einer FRZK-Instanz. Ebenso ordne ich keine konkreten Sensoren, Datensätze, Messreihen, Versuchsanordnungen oder empirisch gewonnenen Variablen bestimmten FRZK-Strukturen zu. Solche Entscheidungen würden die allgemeine Theoriearchitektur verlassen und müssen an einem tatsächlich bestimmten Gegenstand begründet werden.</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Kapitel 3.7 darf dagegen abstrakt untersuchen, aus welchen Bestandteilen eine wissenschaftlich kontrollierte Anwendung bestehen muss. Ich kann einen Anwendungskontext typisieren, die Bedingungen einer Instanziierung bestimmen, Modell-Ziel-Zuordnungen formalisieren, anwendungsbezogene Geltungsbereiche und Abweichungsprofile untersuchen sowie Robustheit und Transfer zwischen abstrakten Kontexten analysieren. Ebenso kann ich festlegen, wie die bereits vorhandene Beobachtungsarchitektur aus Kapitel 3.6 mit einer solchen Anwendung verbunden wird und welche </w:t>
      </w:r>
      <w:proofErr w:type="spellStart"/>
      <w:r w:rsidRPr="00444855">
        <w:rPr>
          <w:rFonts w:ascii="Times New Roman" w:hAnsi="Times New Roman" w:cs="Times New Roman"/>
          <w:bCs w:val="0"/>
        </w:rPr>
        <w:t>Provenienzinformationen</w:t>
      </w:r>
      <w:proofErr w:type="spellEnd"/>
      <w:r w:rsidRPr="00444855">
        <w:rPr>
          <w:rFonts w:ascii="Times New Roman" w:hAnsi="Times New Roman" w:cs="Times New Roman"/>
          <w:bCs w:val="0"/>
        </w:rPr>
        <w:t xml:space="preserve"> eine vollständige Anwendungsinstanz mitführen muss. Solange dabei kein bestimmtes reales Zielsystem als tatsächliche FRZK-Realisierung behauptet wird, bleibt die Untersuchung auf der allgemeinen methodisch-formalen Ebene.</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Damit gehört auch keine allgemeine Sammlung von Python-Skripten, Simulationen oder anwendungsbezogenen </w:t>
      </w:r>
      <w:proofErr w:type="spellStart"/>
      <w:r w:rsidRPr="00444855">
        <w:rPr>
          <w:rFonts w:ascii="Times New Roman" w:hAnsi="Times New Roman" w:cs="Times New Roman"/>
          <w:bCs w:val="0"/>
        </w:rPr>
        <w:t>Operatorenkaskaden</w:t>
      </w:r>
      <w:proofErr w:type="spellEnd"/>
      <w:r w:rsidRPr="00444855">
        <w:rPr>
          <w:rFonts w:ascii="Times New Roman" w:hAnsi="Times New Roman" w:cs="Times New Roman"/>
          <w:bCs w:val="0"/>
        </w:rPr>
        <w:t xml:space="preserve"> in dieses Kapitel. Ein numerisches Verfahren kann später Bestandteil einer konkreten Modellinstanz sein. Es ist dadurch jedoch keine universelle FRZK-Struktur. Dasselbe gilt für Visualisierungen, konkrete Parameterwerte und domänenspezifische Algorithmen. Ihre wissenschaftliche Bedeutung entsteht erst aus dem jeweiligen Anwendungskontext und muss deshalb dort ausgewiesen werden, wo die konkrete Anwendung tatsächlich durchgeführt wird.</w:t>
      </w:r>
    </w:p>
    <w:p w:rsidR="00444855" w:rsidRPr="00444855" w:rsidRDefault="00444855" w:rsidP="00444855">
      <w:pPr>
        <w:spacing w:before="100" w:beforeAutospacing="1" w:after="100" w:afterAutospacing="1"/>
        <w:outlineLvl w:val="2"/>
        <w:rPr>
          <w:rFonts w:ascii="Times New Roman" w:hAnsi="Times New Roman" w:cs="Times New Roman"/>
          <w:b/>
          <w:sz w:val="27"/>
          <w:szCs w:val="27"/>
        </w:rPr>
      </w:pPr>
      <w:r w:rsidRPr="00444855">
        <w:rPr>
          <w:rFonts w:ascii="Times New Roman" w:hAnsi="Times New Roman" w:cs="Times New Roman"/>
          <w:b/>
          <w:sz w:val="27"/>
          <w:szCs w:val="27"/>
        </w:rPr>
        <w:t>Methodologische Konsequenz</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Die leitende Frage meines bisherigen Theorieaufbaus bleibt damit auch an der Anwendungsschwelle unverändert: Was ist bereits gegeben, und was füge ich im nächsten Schritt hinzu? Für Kapitel 3.7 bedeutet dies, dass ich jede spätere Anwendung als kontrollierte Spezialisierung eines bereits dokumentierten Bestands behandle. Ich darf weder aus der formalen Struktur selbst auf ihre reale Bedeutung schließen noch aus einer erfolgreichen empirischen Prüfung eine stärkere theoretische Geltung ableiten, als durch die tatsächlich verwendete </w:t>
      </w:r>
      <w:proofErr w:type="spellStart"/>
      <w:r w:rsidRPr="00444855">
        <w:rPr>
          <w:rFonts w:ascii="Times New Roman" w:hAnsi="Times New Roman" w:cs="Times New Roman"/>
          <w:bCs w:val="0"/>
        </w:rPr>
        <w:t>Instanziierungskette</w:t>
      </w:r>
      <w:proofErr w:type="spellEnd"/>
      <w:r w:rsidRPr="00444855">
        <w:rPr>
          <w:rFonts w:ascii="Times New Roman" w:hAnsi="Times New Roman" w:cs="Times New Roman"/>
          <w:bCs w:val="0"/>
        </w:rPr>
        <w:t xml:space="preserve"> getragen wird.</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 xml:space="preserve">Gerade deshalb verstehe ich Anwendung nicht als den letzten, gewissermaßen automatischen Schritt nach einer abgeschlossenen Theorie. Eine wissenschaftlich belastbare Anwendung </w:t>
      </w:r>
      <w:r w:rsidRPr="00444855">
        <w:rPr>
          <w:rFonts w:ascii="Times New Roman" w:hAnsi="Times New Roman" w:cs="Times New Roman"/>
          <w:bCs w:val="0"/>
        </w:rPr>
        <w:lastRenderedPageBreak/>
        <w:t xml:space="preserve">besitzt eine eigene Architektur. Sie muss kenntlich machen, welches Zielsystem betrachtet wird, unter welchem Interesse und welchen Randbedingungen es betrachtet wird, welcher FRZK-Bestand darauf bezogen wird, welche zusätzlichen Zuordnungen dafür benötigt werden, welche beobachtungs- und messseitigen Strukturen verwendet werden und wo die resultierende Aussage endet. Die Anwendung wird dadurch nicht vom allgemeinen FRZK getrennt. Im Gegenteil: Erst die vollständige Sichtbarkeit dieser zusätzlichen Entscheidungen </w:t>
      </w:r>
      <w:proofErr w:type="gramStart"/>
      <w:r w:rsidRPr="00444855">
        <w:rPr>
          <w:rFonts w:ascii="Times New Roman" w:hAnsi="Times New Roman" w:cs="Times New Roman"/>
          <w:bCs w:val="0"/>
        </w:rPr>
        <w:t>erlaubt es</w:t>
      </w:r>
      <w:proofErr w:type="gramEnd"/>
      <w:r w:rsidRPr="00444855">
        <w:rPr>
          <w:rFonts w:ascii="Times New Roman" w:hAnsi="Times New Roman" w:cs="Times New Roman"/>
          <w:bCs w:val="0"/>
        </w:rPr>
        <w:t>, den allgemeinen theoretischen Bestand und die anwendungsspezifischen Ergänzungen sauber auseinanderzuhalten.</w:t>
      </w:r>
    </w:p>
    <w:p w:rsidR="00444855" w:rsidRPr="00444855" w:rsidRDefault="00444855" w:rsidP="00444855">
      <w:pPr>
        <w:spacing w:before="100" w:beforeAutospacing="1" w:after="100" w:afterAutospacing="1"/>
        <w:rPr>
          <w:rFonts w:ascii="Times New Roman" w:hAnsi="Times New Roman" w:cs="Times New Roman"/>
          <w:bCs w:val="0"/>
        </w:rPr>
      </w:pPr>
      <w:r w:rsidRPr="00444855">
        <w:rPr>
          <w:rFonts w:ascii="Times New Roman" w:hAnsi="Times New Roman" w:cs="Times New Roman"/>
          <w:bCs w:val="0"/>
        </w:rPr>
        <w:t>Der nächste Schritt kann deshalb noch nicht darin bestehen, eine konkrete Modell-Ziel-Brücke zu formulieren. Zuerst muss ich bestimmen, was innerhalb dieser Architektur überhaupt als Anwendungskontext beziehungsweise Zielkontext gelten soll und welche Angaben erforderlich sind, damit eine spätere Instanziierung eindeutig auf einen solchen Kontext bezogen werden kann. Vor dieser formalen Einführung ist erneut zu prüfen, welche der benötigten Bestandteile bereits durch die Rekonstruktions-, Kompositions- und Beobachtungsarchitektur der Kapitel 3.4 bis 3.6 bereitgestellt werden und welche Bestandteile tatsächlich neu hinzutreten. Genau damit beginnt Abschnitt 3.7.1.</w:t>
      </w:r>
    </w:p>
    <w:p w:rsidR="006A5F51" w:rsidRPr="00444855" w:rsidRDefault="006A5F51" w:rsidP="00444855">
      <w:pPr>
        <w:rPr>
          <w:rStyle w:val="SQLTabellen"/>
          <w:rFonts w:ascii="Calibri" w:hAnsi="Calibri"/>
          <w:b w:val="0"/>
          <w:sz w:val="24"/>
        </w:rPr>
      </w:pPr>
    </w:p>
    <w:sectPr w:rsidR="006A5F51" w:rsidRPr="00444855">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F51"/>
    <w:rsid w:val="00003048"/>
    <w:rsid w:val="000467F2"/>
    <w:rsid w:val="0006156C"/>
    <w:rsid w:val="00082214"/>
    <w:rsid w:val="000B0C44"/>
    <w:rsid w:val="000C2FC6"/>
    <w:rsid w:val="000D70EA"/>
    <w:rsid w:val="00103784"/>
    <w:rsid w:val="00106528"/>
    <w:rsid w:val="00153E4B"/>
    <w:rsid w:val="001830F2"/>
    <w:rsid w:val="0019229D"/>
    <w:rsid w:val="001C1E93"/>
    <w:rsid w:val="002B03D4"/>
    <w:rsid w:val="002D20FA"/>
    <w:rsid w:val="002D4202"/>
    <w:rsid w:val="00324306"/>
    <w:rsid w:val="00341905"/>
    <w:rsid w:val="00433ECB"/>
    <w:rsid w:val="00436FC4"/>
    <w:rsid w:val="0044266C"/>
    <w:rsid w:val="00444855"/>
    <w:rsid w:val="00446557"/>
    <w:rsid w:val="00461C7A"/>
    <w:rsid w:val="00483AB8"/>
    <w:rsid w:val="00500020"/>
    <w:rsid w:val="005454E6"/>
    <w:rsid w:val="00560B17"/>
    <w:rsid w:val="005B5EFD"/>
    <w:rsid w:val="005E4CED"/>
    <w:rsid w:val="006016DC"/>
    <w:rsid w:val="00687548"/>
    <w:rsid w:val="006A5F51"/>
    <w:rsid w:val="006B3395"/>
    <w:rsid w:val="00706409"/>
    <w:rsid w:val="007115B7"/>
    <w:rsid w:val="00795695"/>
    <w:rsid w:val="007A3369"/>
    <w:rsid w:val="007B7DE7"/>
    <w:rsid w:val="007E333F"/>
    <w:rsid w:val="007E47AB"/>
    <w:rsid w:val="00835ADB"/>
    <w:rsid w:val="008871CF"/>
    <w:rsid w:val="008B0C43"/>
    <w:rsid w:val="008C4935"/>
    <w:rsid w:val="008E0764"/>
    <w:rsid w:val="009032D7"/>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E1062"/>
    <w:rsid w:val="00EE2879"/>
    <w:rsid w:val="00F33E28"/>
    <w:rsid w:val="00F37977"/>
    <w:rsid w:val="00F40666"/>
    <w:rsid w:val="00F46CF6"/>
    <w:rsid w:val="00F63881"/>
    <w:rsid w:val="00F74A0F"/>
    <w:rsid w:val="00FA747D"/>
    <w:rsid w:val="00FB197F"/>
    <w:rsid w:val="00FD0E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BCE51"/>
  <w15:chartTrackingRefBased/>
  <w15:docId w15:val="{1C520351-BDBA-4889-B7ED-966CBF1B1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customStyle="1" w:styleId="katex">
    <w:name w:val="katex"/>
    <w:basedOn w:val="Absatz-Standardschriftart"/>
    <w:rsid w:val="00444855"/>
  </w:style>
  <w:style w:type="character" w:styleId="HTMLCode">
    <w:name w:val="HTML Code"/>
    <w:basedOn w:val="Absatz-Standardschriftart"/>
    <w:uiPriority w:val="99"/>
    <w:semiHidden/>
    <w:unhideWhenUsed/>
    <w:rsid w:val="00444855"/>
    <w:rPr>
      <w:rFonts w:ascii="Courier New" w:eastAsia="Times New Roman" w:hAnsi="Courier New" w:cs="Courier New"/>
      <w:sz w:val="20"/>
      <w:szCs w:val="20"/>
    </w:rPr>
  </w:style>
  <w:style w:type="character" w:styleId="Hyperlink">
    <w:name w:val="Hyperlink"/>
    <w:basedOn w:val="Absatz-Standardschriftart"/>
    <w:uiPriority w:val="99"/>
    <w:semiHidden/>
    <w:unhideWhenUsed/>
    <w:rsid w:val="004448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3717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8</Pages>
  <Words>3164</Words>
  <Characters>19937</Characters>
  <Application>Microsoft Office Word</Application>
  <DocSecurity>0</DocSecurity>
  <Lines>166</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2026-08-29T11:59:00Z</dcterms:created>
  <dcterms:modified xsi:type="dcterms:W3CDTF">2026-09-02T11:25:00Z</dcterms:modified>
</cp:coreProperties>
</file>