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503D" w14:textId="2772E252" w:rsidR="005A5453" w:rsidRPr="005A5453" w:rsidRDefault="005A5453" w:rsidP="005A5453">
      <w:pPr>
        <w:rPr>
          <w:b/>
          <w:bCs/>
        </w:rPr>
      </w:pPr>
      <w:r w:rsidRPr="005A5453">
        <w:rPr>
          <w:b/>
          <w:bCs/>
        </w:rPr>
        <w:t xml:space="preserve">Anlage </w:t>
      </w:r>
      <w:r>
        <w:rPr>
          <w:b/>
          <w:bCs/>
        </w:rPr>
        <w:t>3.D</w:t>
      </w:r>
      <w:r w:rsidRPr="005A5453">
        <w:rPr>
          <w:b/>
          <w:bCs/>
        </w:rPr>
        <w:t xml:space="preserve"> – Integrale Funktionalität des FRZK</w:t>
      </w:r>
    </w:p>
    <w:p w14:paraId="0EE5DEF3" w14:textId="4C0B7B9F" w:rsidR="005A5453" w:rsidRPr="005A5453" w:rsidRDefault="005A5453" w:rsidP="005A5453">
      <w:pPr>
        <w:rPr>
          <w:b/>
          <w:bCs/>
        </w:rPr>
      </w:pPr>
      <w:r w:rsidRPr="005A5453">
        <w:rPr>
          <w:b/>
          <w:bCs/>
        </w:rPr>
        <w:t>3.</w:t>
      </w:r>
      <w:r w:rsidR="001D5BB7">
        <w:rPr>
          <w:b/>
          <w:bCs/>
        </w:rPr>
        <w:t>D</w:t>
      </w:r>
      <w:r w:rsidRPr="005A5453">
        <w:rPr>
          <w:b/>
          <w:bCs/>
        </w:rPr>
        <w:t>.1 Zyklische Verschränkung der Elemente</w:t>
      </w:r>
    </w:p>
    <w:p w14:paraId="23A6B8E4" w14:textId="77777777" w:rsidR="005A5453" w:rsidRPr="005A5453" w:rsidRDefault="005A5453" w:rsidP="005A5453">
      <w:r w:rsidRPr="005A5453">
        <w:t>Die integrale Funktionalität des FRZK zeigt sich darin, dass kein Element isoliert bleibt. Formal lässt sich dies durch eine Abbildungsfolge</w:t>
      </w:r>
    </w:p>
    <w:p w14:paraId="4E0FC789" w14:textId="77777777" w:rsidR="005A5453" w:rsidRPr="005A5453" w:rsidRDefault="005A5453" w:rsidP="005A5453">
      <w:r w:rsidRPr="005A5453">
        <w:t>f:{</w:t>
      </w:r>
      <w:r w:rsidRPr="005A5453">
        <w:rPr>
          <w:rFonts w:ascii="Cambria Math" w:hAnsi="Cambria Math" w:cs="Cambria Math"/>
        </w:rPr>
        <w:t>∅</w:t>
      </w:r>
      <w:r w:rsidRPr="005A5453">
        <w:t>,I,R,h(x,y,z),O,B}</w:t>
      </w:r>
      <w:r w:rsidRPr="005A5453">
        <w:rPr>
          <w:rFonts w:cs="Calibri"/>
        </w:rPr>
        <w:t>→</w:t>
      </w:r>
      <w:r w:rsidRPr="005A5453">
        <w:t>{</w:t>
      </w:r>
      <w:r w:rsidRPr="005A5453">
        <w:rPr>
          <w:rFonts w:ascii="Cambria Math" w:hAnsi="Cambria Math" w:cs="Cambria Math"/>
        </w:rPr>
        <w:t>∅</w:t>
      </w:r>
      <w:r w:rsidRPr="005A5453">
        <w:t>,I,R,h(x,y,z),O,B}f: \{\emptyset, I, R, h(x,y,z), \mathcal{O}, B\} \to \{\emptyset, I, R, h(x,y,z), \mathcal{O}, B\}f:{</w:t>
      </w:r>
      <w:r w:rsidRPr="005A5453">
        <w:rPr>
          <w:rFonts w:ascii="Cambria Math" w:hAnsi="Cambria Math" w:cs="Cambria Math"/>
        </w:rPr>
        <w:t>∅</w:t>
      </w:r>
      <w:r w:rsidRPr="005A5453">
        <w:t>,I,R,h(x,y,z),O,B}→{</w:t>
      </w:r>
      <w:r w:rsidRPr="005A5453">
        <w:rPr>
          <w:rFonts w:ascii="Cambria Math" w:hAnsi="Cambria Math" w:cs="Cambria Math"/>
        </w:rPr>
        <w:t>∅</w:t>
      </w:r>
      <w:r w:rsidRPr="005A5453">
        <w:t xml:space="preserve">,I,R,h(x,y,z),O,B} </w:t>
      </w:r>
    </w:p>
    <w:p w14:paraId="4E66C243" w14:textId="77777777" w:rsidR="005A5453" w:rsidRPr="005A5453" w:rsidRDefault="005A5453" w:rsidP="005A5453">
      <w:r w:rsidRPr="005A5453">
        <w:t xml:space="preserve">beschreiben, wobei </w:t>
      </w:r>
      <w:r w:rsidRPr="005A5453">
        <w:rPr>
          <w:rFonts w:ascii="Cambria Math" w:hAnsi="Cambria Math" w:cs="Cambria Math"/>
        </w:rPr>
        <w:t>∅</w:t>
      </w:r>
      <w:r w:rsidRPr="005A5453">
        <w:t xml:space="preserve"> den Nullpunkt, I den Initialpunkt, R die Raumfunktion, h(x,y,z) die Brane-Funktion, </w:t>
      </w:r>
      <w:r w:rsidRPr="005A5453">
        <w:rPr>
          <w:rFonts w:ascii="Cambria Math" w:hAnsi="Cambria Math" w:cs="Cambria Math"/>
        </w:rPr>
        <w:t>𝒪</w:t>
      </w:r>
      <w:r w:rsidRPr="005A5453">
        <w:t xml:space="preserve"> die Operatoren und B den Beobachter repräsentiert. Jeder Funktionswert ist zugleich Definitionsbereich für den nächsten Schritt. Diese Struktur ähnelt einer endomorphen Schleife: Das System bleibt in sich geschlossen, erweitert aber stetig seine Differenzierungsgrade.</w:t>
      </w:r>
    </w:p>
    <w:p w14:paraId="573768F8" w14:textId="606CA9C8" w:rsidR="005A5453" w:rsidRPr="005A5453" w:rsidRDefault="005A5453" w:rsidP="005A5453">
      <w:pPr>
        <w:rPr>
          <w:b/>
          <w:bCs/>
        </w:rPr>
      </w:pPr>
      <w:r w:rsidRPr="005A5453">
        <w:rPr>
          <w:b/>
          <w:bCs/>
        </w:rPr>
        <w:t>3.</w:t>
      </w:r>
      <w:r w:rsidR="001D5BB7">
        <w:rPr>
          <w:b/>
          <w:bCs/>
        </w:rPr>
        <w:t>D</w:t>
      </w:r>
      <w:r w:rsidRPr="005A5453">
        <w:rPr>
          <w:b/>
          <w:bCs/>
        </w:rPr>
        <w:t>.2 Integrale Funktion als Schleifenarchitektur</w:t>
      </w:r>
    </w:p>
    <w:p w14:paraId="03C2C9C4" w14:textId="77777777" w:rsidR="005A5453" w:rsidRPr="005A5453" w:rsidRDefault="005A5453" w:rsidP="005A5453">
      <w:r w:rsidRPr="005A5453">
        <w:t>Die Integralfunktionalität kann als Schleife modelliert werden:</w:t>
      </w:r>
    </w:p>
    <w:p w14:paraId="62C3053F" w14:textId="77777777" w:rsidR="005A5453" w:rsidRPr="005A5453" w:rsidRDefault="005A5453" w:rsidP="005A5453">
      <w:r w:rsidRPr="005A5453">
        <w:t>Fn+1=Fn</w:t>
      </w:r>
      <w:r w:rsidRPr="005A5453">
        <w:rPr>
          <w:rFonts w:ascii="Cambria Math" w:hAnsi="Cambria Math" w:cs="Cambria Math"/>
        </w:rPr>
        <w:t>∘</w:t>
      </w:r>
      <w:r w:rsidRPr="005A5453">
        <w:t>g(Fn)F_{n+1} = F_n \circ g(F_n)Fn+1​=Fn​</w:t>
      </w:r>
      <w:r w:rsidRPr="005A5453">
        <w:rPr>
          <w:rFonts w:ascii="Cambria Math" w:hAnsi="Cambria Math" w:cs="Cambria Math"/>
        </w:rPr>
        <w:t>∘</w:t>
      </w:r>
      <w:r w:rsidRPr="005A5453">
        <w:t xml:space="preserve">g(Fn​) </w:t>
      </w:r>
    </w:p>
    <w:p w14:paraId="6EAD1FB2" w14:textId="77777777" w:rsidR="005A5453" w:rsidRPr="005A5453" w:rsidRDefault="005A5453" w:rsidP="005A5453">
      <w:r w:rsidRPr="005A5453">
        <w:t>mit g als Operator, der jeweils neue Struktur aus der vorhergehenden ableitet. Didaktisch zeigt sich darin: Lernende durchlaufen dieselben Funktionsschritte wie das Modell selbst. Jeder neue Lerninhalt (F_{n+1}) ist Funktion der bereits etablierten Struktur (F_n).</w:t>
      </w:r>
    </w:p>
    <w:p w14:paraId="79C9FD8A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30313">
    <w:abstractNumId w:val="0"/>
  </w:num>
  <w:num w:numId="2" w16cid:durableId="1142843263">
    <w:abstractNumId w:val="1"/>
  </w:num>
  <w:num w:numId="3" w16cid:durableId="138622035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53"/>
    <w:rsid w:val="000467F2"/>
    <w:rsid w:val="00082214"/>
    <w:rsid w:val="00106528"/>
    <w:rsid w:val="001830F2"/>
    <w:rsid w:val="0019229D"/>
    <w:rsid w:val="001D5BB7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A5453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0FE4B"/>
  <w15:chartTrackingRefBased/>
  <w15:docId w15:val="{22E3B330-A837-48CF-B273-5D8124D5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</Pages>
  <Words>168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2025-09-23T08:48:00Z</dcterms:created>
  <dcterms:modified xsi:type="dcterms:W3CDTF">2025-09-23T08:52:00Z</dcterms:modified>
</cp:coreProperties>
</file>