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B3D5A" w14:textId="4FA2546A" w:rsidR="00713B5D" w:rsidRDefault="00713B5D" w:rsidP="009F4893">
      <w:pPr>
        <w:pStyle w:val="berschrift2"/>
      </w:pPr>
      <w:r>
        <w:t xml:space="preserve">Anlage 3.X - </w:t>
      </w:r>
      <w:r w:rsidRPr="00713B5D">
        <w:t>Kurz-Mathematik</w:t>
      </w:r>
      <w:r>
        <w:t xml:space="preserve"> -</w:t>
      </w:r>
      <w:r w:rsidRPr="00713B5D">
        <w:t xml:space="preserve"> Herleitung &amp; Intuition</w:t>
      </w:r>
      <w:r>
        <w:t xml:space="preserve"> </w:t>
      </w:r>
      <w:r w:rsidRPr="00713B5D">
        <w:t>Euler–Lagrange</w:t>
      </w:r>
    </w:p>
    <w:p w14:paraId="471E2F53" w14:textId="3EAF32C3" w:rsidR="00713B5D" w:rsidRPr="00713B5D" w:rsidRDefault="00713B5D" w:rsidP="00713B5D">
      <w:pPr>
        <w:rPr>
          <w:b/>
          <w:bCs/>
        </w:rPr>
      </w:pPr>
      <w:r w:rsidRPr="00713B5D">
        <w:rPr>
          <w:b/>
          <w:bCs/>
        </w:rPr>
        <w:t>2 — Kurz-Mathematik: Herleitung &amp; Intuition (für Autor: kompakte Begründung)</w:t>
      </w:r>
    </w:p>
    <w:p w14:paraId="6C0A4ADB" w14:textId="77777777" w:rsidR="00713B5D" w:rsidRPr="00713B5D" w:rsidRDefault="00713B5D" w:rsidP="00713B5D">
      <w:r w:rsidRPr="00713B5D">
        <w:t>(Kann als kurze Fußnote oder als „Mathematischer Kommentar“ angefügt werden.)</w:t>
      </w:r>
    </w:p>
    <w:p w14:paraId="61E6AD3E" w14:textId="77777777" w:rsidR="00713B5D" w:rsidRPr="00713B5D" w:rsidRDefault="00713B5D" w:rsidP="00713B5D">
      <w:r w:rsidRPr="00713B5D">
        <w:rPr>
          <w:b/>
          <w:bCs/>
        </w:rPr>
        <w:t>Variation und Euler–Lagrange (Kurzform):</w:t>
      </w:r>
    </w:p>
    <w:p w14:paraId="6990FCC3" w14:textId="77777777" w:rsidR="00713B5D" w:rsidRPr="00713B5D" w:rsidRDefault="00713B5D" w:rsidP="00713B5D">
      <w:pPr>
        <w:numPr>
          <w:ilvl w:val="0"/>
          <w:numId w:val="4"/>
        </w:numPr>
      </w:pPr>
      <w:r w:rsidRPr="00713B5D">
        <w:t>Wir definieren die Wirkung S[h]=∫(12(</w:t>
      </w:r>
      <w:r w:rsidRPr="00713B5D">
        <w:rPr>
          <w:rFonts w:ascii="Cambria Math" w:hAnsi="Cambria Math" w:cs="Cambria Math"/>
        </w:rPr>
        <w:t>∇</w:t>
      </w:r>
      <w:r w:rsidRPr="00713B5D">
        <w:t>h)2+V(h))</w:t>
      </w:r>
      <w:r w:rsidRPr="00713B5D">
        <w:rPr>
          <w:rFonts w:cs="Calibri"/>
        </w:rPr>
        <w:t> </w:t>
      </w:r>
      <w:r w:rsidRPr="00713B5D">
        <w:t>d3x.S[h]=\displaystyle\int \Big(\tfrac12(\nabla h)^2 + V(h)\Big)\,d^3x.S[h]=∫(21​(</w:t>
      </w:r>
      <w:r w:rsidRPr="00713B5D">
        <w:rPr>
          <w:rFonts w:ascii="Cambria Math" w:hAnsi="Cambria Math" w:cs="Cambria Math"/>
        </w:rPr>
        <w:t>∇</w:t>
      </w:r>
      <w:r w:rsidRPr="00713B5D">
        <w:t>h)2+V(h))d3x.</w:t>
      </w:r>
    </w:p>
    <w:p w14:paraId="7A3DAB7D" w14:textId="77777777" w:rsidR="00713B5D" w:rsidRPr="00713B5D" w:rsidRDefault="00713B5D" w:rsidP="00713B5D">
      <w:pPr>
        <w:numPr>
          <w:ilvl w:val="0"/>
          <w:numId w:val="4"/>
        </w:numPr>
      </w:pPr>
      <w:r w:rsidRPr="00713B5D">
        <w:t>Kleine Variation h</w:t>
      </w:r>
      <w:r w:rsidRPr="00713B5D">
        <w:rPr>
          <w:rFonts w:ascii="Cambria Math" w:hAnsi="Cambria Math" w:cs="Cambria Math"/>
        </w:rPr>
        <w:t>↦</w:t>
      </w:r>
      <w:r w:rsidRPr="00713B5D">
        <w:t>h+</w:t>
      </w:r>
      <w:r w:rsidRPr="00713B5D">
        <w:rPr>
          <w:rFonts w:cs="Calibri"/>
        </w:rPr>
        <w:t>δ</w:t>
      </w:r>
      <w:r w:rsidRPr="00713B5D">
        <w:t>hh\mapsto h+\delta hh</w:t>
      </w:r>
      <w:r w:rsidRPr="00713B5D">
        <w:rPr>
          <w:rFonts w:ascii="Cambria Math" w:hAnsi="Cambria Math" w:cs="Cambria Math"/>
        </w:rPr>
        <w:t>↦</w:t>
      </w:r>
      <w:r w:rsidRPr="00713B5D">
        <w:t>h+δh verändert SSS zu first order:</w:t>
      </w:r>
    </w:p>
    <w:p w14:paraId="2AE8D4C5" w14:textId="77777777" w:rsidR="00713B5D" w:rsidRPr="00713B5D" w:rsidRDefault="00713B5D" w:rsidP="00713B5D">
      <w:r w:rsidRPr="00713B5D">
        <w:t xml:space="preserve">δS=∫(−Δh+V′(h)) δh  d3x  +  Randtermine.\delta S = \int \big( -\Delta h + V'(h)\big)\,\delta h \; d^3x \; + \; \text{Randtermine}.δS=∫(−Δh+V′(h))δhd3x+Randtermine. </w:t>
      </w:r>
    </w:p>
    <w:p w14:paraId="413754DF" w14:textId="77777777" w:rsidR="00713B5D" w:rsidRPr="00713B5D" w:rsidRDefault="00713B5D" w:rsidP="00713B5D">
      <w:pPr>
        <w:numPr>
          <w:ilvl w:val="0"/>
          <w:numId w:val="4"/>
        </w:numPr>
      </w:pPr>
      <w:r w:rsidRPr="00713B5D">
        <w:t>Für freie Ränder (oder passende Randbedingungen) muss δS=0\delta S=0δS=0 für alle δh\delta hδh gelten, also folgt die Euler–Lagrange-Gleichung</w:t>
      </w:r>
    </w:p>
    <w:p w14:paraId="02BFB78C" w14:textId="77777777" w:rsidR="00713B5D" w:rsidRPr="00713B5D" w:rsidRDefault="00713B5D" w:rsidP="00713B5D">
      <w:r w:rsidRPr="00713B5D">
        <w:t>−Δh+V′(h)=0</w:t>
      </w:r>
      <w:r w:rsidRPr="00713B5D">
        <w:rPr>
          <w:rFonts w:ascii="Cambria Math" w:hAnsi="Cambria Math" w:cs="Cambria Math"/>
        </w:rPr>
        <w:t>⟺</w:t>
      </w:r>
      <w:r w:rsidRPr="00713B5D">
        <w:rPr>
          <w:rFonts w:cs="Calibri"/>
        </w:rPr>
        <w:t>Δ</w:t>
      </w:r>
      <w:r w:rsidRPr="00713B5D">
        <w:t>h=V</w:t>
      </w:r>
      <w:r w:rsidRPr="00713B5D">
        <w:rPr>
          <w:rFonts w:cs="Calibri"/>
        </w:rPr>
        <w:t>′</w:t>
      </w:r>
      <w:r w:rsidRPr="00713B5D">
        <w:t>(h).-\Delta h + V'(h)=0 \quad\Longleftrightarrow\quad \Delta h = V'(h).−Δh+V′(h)=0</w:t>
      </w:r>
      <w:r w:rsidRPr="00713B5D">
        <w:rPr>
          <w:rFonts w:ascii="Cambria Math" w:hAnsi="Cambria Math" w:cs="Cambria Math"/>
        </w:rPr>
        <w:t>⟺</w:t>
      </w:r>
      <w:r w:rsidRPr="00713B5D">
        <w:t xml:space="preserve">Δh=V′(h). </w:t>
      </w:r>
    </w:p>
    <w:p w14:paraId="0FF122BF" w14:textId="77777777" w:rsidR="00713B5D" w:rsidRPr="00713B5D" w:rsidRDefault="00713B5D" w:rsidP="00713B5D">
      <w:r w:rsidRPr="00713B5D">
        <w:t>(Das ist Gleichung (24) in deinem Text — die Minuszeichen hängen von der Konvention der Variation ab; hier ist die oben gezeigte Form äquivalent zu (24).)</w:t>
      </w:r>
    </w:p>
    <w:p w14:paraId="30CEA54C" w14:textId="77777777" w:rsidR="00713B5D" w:rsidRPr="00713B5D" w:rsidRDefault="00713B5D" w:rsidP="00713B5D">
      <w:r w:rsidRPr="00713B5D">
        <w:rPr>
          <w:b/>
          <w:bCs/>
        </w:rPr>
        <w:t>Intuition:</w:t>
      </w:r>
    </w:p>
    <w:p w14:paraId="02A83007" w14:textId="77777777" w:rsidR="00713B5D" w:rsidRPr="00713B5D" w:rsidRDefault="00713B5D" w:rsidP="00713B5D">
      <w:pPr>
        <w:numPr>
          <w:ilvl w:val="0"/>
          <w:numId w:val="5"/>
        </w:numPr>
      </w:pPr>
      <w:r w:rsidRPr="00713B5D">
        <w:t>Δh\Delta hΔh (Laplacian) ist ein Glättungsoperator: wenn an einem Punkt hhh größer ist als Umgebung, trägt Δh\Delta hΔh negativ zur Veränderung bei — das Feld „fließt“ dahin, Ungleichmäßigkeiten zu reduzieren.</w:t>
      </w:r>
    </w:p>
    <w:p w14:paraId="094720BD" w14:textId="77777777" w:rsidR="00713B5D" w:rsidRPr="00713B5D" w:rsidRDefault="00713B5D" w:rsidP="00713B5D">
      <w:pPr>
        <w:numPr>
          <w:ilvl w:val="0"/>
          <w:numId w:val="5"/>
        </w:numPr>
      </w:pPr>
      <w:r w:rsidRPr="00713B5D">
        <w:t>V′(h)V'(h)V′(h) ist die lokale Kraft aus dem Potential: sie zieht das Feld in die Wertebereiche, die das Potential bevorzugt. Das Gleichgewicht Δh=V′(h)\Delta h = V'(h)Δh=V′(h) ist somit das lokale Kompromissverhalten zwischen Glättung und lokaler Präferenz.</w:t>
      </w:r>
    </w:p>
    <w:p w14:paraId="08BF9BE0" w14:textId="77777777" w:rsidR="00713B5D" w:rsidRPr="00713B5D" w:rsidRDefault="00713B5D" w:rsidP="00713B5D">
      <w:r w:rsidRPr="00713B5D">
        <w:pict w14:anchorId="0868B92D">
          <v:rect id="_x0000_i1037" style="width:0;height:1.5pt" o:hralign="center" o:hrstd="t" o:hr="t" fillcolor="#a0a0a0" stroked="f"/>
        </w:pict>
      </w:r>
    </w:p>
    <w:p w14:paraId="39CBA719" w14:textId="77777777" w:rsidR="00713B5D" w:rsidRPr="00713B5D" w:rsidRDefault="00713B5D" w:rsidP="00713B5D">
      <w:pPr>
        <w:rPr>
          <w:b/>
          <w:bCs/>
        </w:rPr>
      </w:pPr>
      <w:r w:rsidRPr="00713B5D">
        <w:rPr>
          <w:b/>
          <w:bCs/>
        </w:rPr>
        <w:t>3 — Einfaches Beispiel (das die Lösungen erklärt)</w:t>
      </w:r>
    </w:p>
    <w:p w14:paraId="54D646A5" w14:textId="77777777" w:rsidR="00713B5D" w:rsidRPr="00713B5D" w:rsidRDefault="00713B5D" w:rsidP="00713B5D">
      <w:r w:rsidRPr="00713B5D">
        <w:t>Nimm das Potential aus (23):</w:t>
      </w:r>
    </w:p>
    <w:p w14:paraId="3B6115B6" w14:textId="77777777" w:rsidR="00713B5D" w:rsidRPr="00713B5D" w:rsidRDefault="00713B5D" w:rsidP="00713B5D">
      <w:r w:rsidRPr="00713B5D">
        <w:t>V(h)=λ4(h2−h02)2</w:t>
      </w:r>
      <w:r w:rsidRPr="00713B5D">
        <w:rPr>
          <w:rFonts w:ascii="Cambria Math" w:hAnsi="Cambria Math" w:cs="Cambria Math"/>
        </w:rPr>
        <w:t>⇒</w:t>
      </w:r>
      <w:r w:rsidRPr="00713B5D">
        <w:t>V</w:t>
      </w:r>
      <w:r w:rsidRPr="00713B5D">
        <w:rPr>
          <w:rFonts w:cs="Calibri"/>
        </w:rPr>
        <w:t>′</w:t>
      </w:r>
      <w:r w:rsidRPr="00713B5D">
        <w:t>(h)=</w:t>
      </w:r>
      <w:r w:rsidRPr="00713B5D">
        <w:rPr>
          <w:rFonts w:cs="Calibri"/>
        </w:rPr>
        <w:t>λ</w:t>
      </w:r>
      <w:r w:rsidRPr="00713B5D">
        <w:t>(h2</w:t>
      </w:r>
      <w:r w:rsidRPr="00713B5D">
        <w:rPr>
          <w:rFonts w:cs="Calibri"/>
        </w:rPr>
        <w:t>−</w:t>
      </w:r>
      <w:r w:rsidRPr="00713B5D">
        <w:t>h02)</w:t>
      </w:r>
      <w:r w:rsidRPr="00713B5D">
        <w:rPr>
          <w:rFonts w:cs="Calibri"/>
        </w:rPr>
        <w:t> </w:t>
      </w:r>
      <w:r w:rsidRPr="00713B5D">
        <w:t>h.V(h)=\tfrac{\lambda}{4}(h^2-h_0^2)^2 \quad\Rightarrow\quad V'(h)=\lambda(h^2-h_0^2)\,h.V(h)=4λ​(h2−h02​)2</w:t>
      </w:r>
      <w:r w:rsidRPr="00713B5D">
        <w:rPr>
          <w:rFonts w:ascii="Cambria Math" w:hAnsi="Cambria Math" w:cs="Cambria Math"/>
        </w:rPr>
        <w:t>⇒</w:t>
      </w:r>
      <w:r w:rsidRPr="00713B5D">
        <w:t xml:space="preserve">V′(h)=λ(h2−h02​)h. </w:t>
      </w:r>
    </w:p>
    <w:p w14:paraId="168AC4EE" w14:textId="77777777" w:rsidR="00713B5D" w:rsidRPr="00713B5D" w:rsidRDefault="00713B5D" w:rsidP="00713B5D">
      <w:pPr>
        <w:numPr>
          <w:ilvl w:val="0"/>
          <w:numId w:val="6"/>
        </w:numPr>
      </w:pPr>
      <w:r w:rsidRPr="00713B5D">
        <w:t>Stationäre, homogene Lösungen (ohne räumliche Variation, Δh=0\Delta h=0Δh=0) erfüllen V′(h)=0V'(h)=0V′(h)=0, also h=0h=0h=0 oder h=±h0h=\pm h_0h=±h0​.</w:t>
      </w:r>
      <w:r w:rsidRPr="00713B5D">
        <w:br/>
      </w:r>
      <w:r w:rsidRPr="00713B5D">
        <w:rPr>
          <w:i/>
          <w:iCs/>
        </w:rPr>
        <w:t>Interpretation:</w:t>
      </w:r>
      <w:r w:rsidRPr="00713B5D">
        <w:t xml:space="preserve"> h=0h=0h=0 ist eine mögliche (oft instabile) Konfiguration, h=±h0h=\pm h_0h=±h0​ sind bevorzugte / stabile Werte (Phasen mit gebrochener Symmetrie).</w:t>
      </w:r>
    </w:p>
    <w:p w14:paraId="64B1A1D2" w14:textId="77777777" w:rsidR="00713B5D" w:rsidRPr="00713B5D" w:rsidRDefault="00713B5D" w:rsidP="00713B5D">
      <w:pPr>
        <w:numPr>
          <w:ilvl w:val="0"/>
          <w:numId w:val="6"/>
        </w:numPr>
      </w:pPr>
      <w:r w:rsidRPr="00713B5D">
        <w:t>Mit räumlicher Variation entstehen Übergangsflächen (Domain-Walls) zwischen Bereichen mit h≈h0h\approx h_0h≈h0​ und h≈−h0h\approx -h_0h≈−h0​ — genau das, was man als emergente Brane/Fläche lesen kann.</w:t>
      </w:r>
    </w:p>
    <w:p w14:paraId="0D99DA72" w14:textId="77777777" w:rsidR="00713B5D" w:rsidRPr="00713B5D" w:rsidRDefault="00713B5D" w:rsidP="00713B5D">
      <w:r w:rsidRPr="00713B5D">
        <w:rPr>
          <w:b/>
          <w:bCs/>
        </w:rPr>
        <w:t>Didaktische Deutung:</w:t>
      </w:r>
    </w:p>
    <w:p w14:paraId="625E0321" w14:textId="77777777" w:rsidR="00713B5D" w:rsidRPr="00713B5D" w:rsidRDefault="00713B5D" w:rsidP="00713B5D">
      <w:pPr>
        <w:numPr>
          <w:ilvl w:val="0"/>
          <w:numId w:val="7"/>
        </w:numPr>
      </w:pPr>
      <w:r w:rsidRPr="00713B5D">
        <w:t>h=0h=0h=0: flaches, unaufgeladenes Lernfeld (keine Verdichtung).</w:t>
      </w:r>
    </w:p>
    <w:p w14:paraId="4BAB0046" w14:textId="77777777" w:rsidR="00713B5D" w:rsidRPr="00713B5D" w:rsidRDefault="00713B5D" w:rsidP="00713B5D">
      <w:pPr>
        <w:numPr>
          <w:ilvl w:val="0"/>
          <w:numId w:val="7"/>
        </w:numPr>
      </w:pPr>
      <w:r w:rsidRPr="00713B5D">
        <w:lastRenderedPageBreak/>
        <w:t>h=±h0h=\pm h_0h=±h0​: ausgeprägt konsolidierte Hubs (klarer „Bedeutungs-Peak“).</w:t>
      </w:r>
    </w:p>
    <w:p w14:paraId="7A365DDC" w14:textId="77777777" w:rsidR="00713B5D" w:rsidRPr="00713B5D" w:rsidRDefault="00713B5D" w:rsidP="00713B5D">
      <w:pPr>
        <w:numPr>
          <w:ilvl w:val="0"/>
          <w:numId w:val="7"/>
        </w:numPr>
      </w:pPr>
      <w:r w:rsidRPr="00713B5D">
        <w:t>Die Transitionen zwischen Bereichen modellieren Lernphasen, in denen Konzepte umgestellt werden (Instabilität → Neuordnung).</w:t>
      </w:r>
    </w:p>
    <w:p w14:paraId="12BBB85C" w14:textId="77777777" w:rsidR="00713B5D" w:rsidRPr="00713B5D" w:rsidRDefault="00713B5D" w:rsidP="00713B5D">
      <w:r w:rsidRPr="00713B5D">
        <w:pict w14:anchorId="3494AF84">
          <v:rect id="_x0000_i1038" style="width:0;height:1.5pt" o:hralign="center" o:hrstd="t" o:hr="t" fillcolor="#a0a0a0" stroked="f"/>
        </w:pict>
      </w:r>
    </w:p>
    <w:p w14:paraId="469C6994" w14:textId="77777777" w:rsidR="00713B5D" w:rsidRPr="00713B5D" w:rsidRDefault="00713B5D" w:rsidP="00713B5D">
      <w:pPr>
        <w:rPr>
          <w:b/>
          <w:bCs/>
        </w:rPr>
      </w:pPr>
      <w:r w:rsidRPr="00713B5D">
        <w:rPr>
          <w:b/>
          <w:bCs/>
        </w:rPr>
        <w:t>4 — Zwei konkrete Unterrichtsimpulse, um Formeln erlebbar zu machen</w:t>
      </w:r>
    </w:p>
    <w:p w14:paraId="798B2988" w14:textId="77777777" w:rsidR="00713B5D" w:rsidRPr="00713B5D" w:rsidRDefault="00713B5D" w:rsidP="00713B5D">
      <w:r w:rsidRPr="00713B5D">
        <w:t>(je 2–3 Sätze, direkt übernimmbar in Kapitel 3.5.9 oder 6)</w:t>
      </w:r>
    </w:p>
    <w:p w14:paraId="6AC52D48" w14:textId="77777777" w:rsidR="00713B5D" w:rsidRPr="00713B5D" w:rsidRDefault="00713B5D" w:rsidP="00713B5D">
      <w:r w:rsidRPr="00713B5D">
        <w:rPr>
          <w:b/>
          <w:bCs/>
        </w:rPr>
        <w:t>A) Visualisierungsexperiment (einfach, interaktiv)</w:t>
      </w:r>
    </w:p>
    <w:p w14:paraId="29670C22" w14:textId="77777777" w:rsidR="00713B5D" w:rsidRPr="00713B5D" w:rsidRDefault="00713B5D" w:rsidP="00713B5D">
      <w:pPr>
        <w:numPr>
          <w:ilvl w:val="0"/>
          <w:numId w:val="8"/>
        </w:numPr>
      </w:pPr>
      <w:r w:rsidRPr="00713B5D">
        <w:t>Baue eine 2D-Simulationsfläche (z. B. Python/GeoGebra) mit Start-Konfiguration zufälliger Punkte. Implementiere L=12(</w:t>
      </w:r>
      <w:r w:rsidRPr="00713B5D">
        <w:rPr>
          <w:rFonts w:ascii="Cambria Math" w:hAnsi="Cambria Math" w:cs="Cambria Math"/>
        </w:rPr>
        <w:t>∇</w:t>
      </w:r>
      <w:r w:rsidRPr="00713B5D">
        <w:t>h)2+V(h)L=\tfrac12(\nabla h)^2 + V(h)L=21​(</w:t>
      </w:r>
      <w:r w:rsidRPr="00713B5D">
        <w:rPr>
          <w:rFonts w:ascii="Cambria Math" w:hAnsi="Cambria Math" w:cs="Cambria Math"/>
        </w:rPr>
        <w:t>∇</w:t>
      </w:r>
      <w:r w:rsidRPr="00713B5D">
        <w:t>h)2+V(h) und iteriere eine Gradient-Descent-Schrittfolge zur Minimierung von SSS.</w:t>
      </w:r>
    </w:p>
    <w:p w14:paraId="71493A42" w14:textId="77777777" w:rsidR="00713B5D" w:rsidRPr="00713B5D" w:rsidRDefault="00713B5D" w:rsidP="00713B5D">
      <w:pPr>
        <w:numPr>
          <w:ilvl w:val="0"/>
          <w:numId w:val="8"/>
        </w:numPr>
      </w:pPr>
      <w:r w:rsidRPr="00713B5D">
        <w:t>Zeige Lernenden live, wie das Feld „glättet“ und gleichzeitig in Hubs (Minima von VVV) kondensiert. So sehen sie die Balance von Glättung vs. lokaler Präferenz.</w:t>
      </w:r>
    </w:p>
    <w:p w14:paraId="214CE1E0" w14:textId="77777777" w:rsidR="00713B5D" w:rsidRPr="00713B5D" w:rsidRDefault="00713B5D" w:rsidP="00713B5D">
      <w:r w:rsidRPr="00713B5D">
        <w:rPr>
          <w:b/>
          <w:bCs/>
        </w:rPr>
        <w:t>B) Analogie-Aufgabe (kein Code nötig)</w:t>
      </w:r>
    </w:p>
    <w:p w14:paraId="1D82176F" w14:textId="77777777" w:rsidR="00713B5D" w:rsidRPr="00713B5D" w:rsidRDefault="00713B5D" w:rsidP="00713B5D">
      <w:pPr>
        <w:numPr>
          <w:ilvl w:val="0"/>
          <w:numId w:val="9"/>
        </w:numPr>
      </w:pPr>
      <w:r w:rsidRPr="00713B5D">
        <w:t>Gib Lernenden eine Kugelbahn-Analogie: die Oberfläche V(h)V(h)V(h) sei ein Gelände, eine Kugel (der Feldwert) rollt dahin, wo das Gelände niedriger ist; gleichzeitig wirkt eine „Gummimembran“ (Gradient-Term) die starke Höhenunterschiede glättet.</w:t>
      </w:r>
    </w:p>
    <w:p w14:paraId="22C9B4A0" w14:textId="77777777" w:rsidR="00713B5D" w:rsidRPr="00713B5D" w:rsidRDefault="00713B5D" w:rsidP="00713B5D">
      <w:pPr>
        <w:numPr>
          <w:ilvl w:val="0"/>
          <w:numId w:val="9"/>
        </w:numPr>
      </w:pPr>
      <w:r w:rsidRPr="00713B5D">
        <w:t>Lasse Szenarien diskutieren: Wann bleibt die Kugel in der Mitte (h=0), wann fällt sie in seitliche Täler (h=±h0)? → Diskussion über stabile vs. instabile Lösungen, Übertrag auf Lern-Hubs.</w:t>
      </w:r>
    </w:p>
    <w:p w14:paraId="2F23138D" w14:textId="77777777" w:rsidR="00713B5D" w:rsidRPr="00713B5D" w:rsidRDefault="00713B5D" w:rsidP="00713B5D">
      <w:r w:rsidRPr="00713B5D">
        <w:t>Beide Aktivitäten nehmen die Abstraktion weg und machen die Gleichung (24) anschaulich und körperlich erfahrbar — genau das, was in Kapitel 6 bereits als methodische Verbindung vorgesehen ist.</w:t>
      </w:r>
    </w:p>
    <w:p w14:paraId="724D15BE" w14:textId="5398AD97" w:rsidR="00106528" w:rsidRDefault="009F4893" w:rsidP="00082214">
      <w:pPr>
        <w:rPr>
          <w:rStyle w:val="IntensiveHervorhebung"/>
          <w:i w:val="0"/>
          <w:iCs w:val="0"/>
          <w:noProof/>
          <w:color w:val="auto"/>
        </w:rPr>
      </w:pPr>
      <w:r w:rsidRPr="00713B5D">
        <w:rPr>
          <w:rStyle w:val="IntensiveHervorhebung"/>
          <w:i w:val="0"/>
          <w:iCs w:val="0"/>
          <w:noProof/>
          <w:color w:val="auto"/>
        </w:rPr>
        <w:drawing>
          <wp:inline distT="0" distB="0" distL="0" distR="0" wp14:anchorId="717CECA3" wp14:editId="1B7ADDB8">
            <wp:extent cx="5755640" cy="8018145"/>
            <wp:effectExtent l="0" t="0" r="0" b="0"/>
            <wp:docPr id="1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801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680EA" w14:textId="1A57F4AB" w:rsidR="00713B5D" w:rsidRPr="00082214" w:rsidRDefault="009F4893" w:rsidP="00082214">
      <w:pPr>
        <w:rPr>
          <w:rStyle w:val="IntensiveHervorhebung"/>
          <w:i w:val="0"/>
          <w:iCs w:val="0"/>
          <w:color w:val="auto"/>
        </w:rPr>
      </w:pPr>
      <w:r w:rsidRPr="00713B5D">
        <w:rPr>
          <w:rStyle w:val="IntensiveHervorhebung"/>
          <w:i w:val="0"/>
          <w:iCs w:val="0"/>
          <w:noProof/>
          <w:color w:val="auto"/>
        </w:rPr>
        <w:drawing>
          <wp:inline distT="0" distB="0" distL="0" distR="0" wp14:anchorId="2CCF4311" wp14:editId="7F0FC07A">
            <wp:extent cx="5755640" cy="5871210"/>
            <wp:effectExtent l="0" t="0" r="0" b="0"/>
            <wp:docPr id="2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587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3B5D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E41B9"/>
    <w:multiLevelType w:val="multilevel"/>
    <w:tmpl w:val="532A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105395"/>
    <w:multiLevelType w:val="multilevel"/>
    <w:tmpl w:val="6E48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21D4E"/>
    <w:multiLevelType w:val="multilevel"/>
    <w:tmpl w:val="D5E4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861504"/>
    <w:multiLevelType w:val="multilevel"/>
    <w:tmpl w:val="EF8C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A2EAF"/>
    <w:multiLevelType w:val="multilevel"/>
    <w:tmpl w:val="6FE2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F40A8F"/>
    <w:multiLevelType w:val="multilevel"/>
    <w:tmpl w:val="7476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92298">
    <w:abstractNumId w:val="0"/>
  </w:num>
  <w:num w:numId="2" w16cid:durableId="1798838918">
    <w:abstractNumId w:val="1"/>
  </w:num>
  <w:num w:numId="3" w16cid:durableId="1171725828">
    <w:abstractNumId w:val="3"/>
  </w:num>
  <w:num w:numId="4" w16cid:durableId="1341666188">
    <w:abstractNumId w:val="5"/>
  </w:num>
  <w:num w:numId="5" w16cid:durableId="772551625">
    <w:abstractNumId w:val="4"/>
  </w:num>
  <w:num w:numId="6" w16cid:durableId="1885097575">
    <w:abstractNumId w:val="7"/>
  </w:num>
  <w:num w:numId="7" w16cid:durableId="546719921">
    <w:abstractNumId w:val="8"/>
  </w:num>
  <w:num w:numId="8" w16cid:durableId="952397431">
    <w:abstractNumId w:val="6"/>
  </w:num>
  <w:num w:numId="9" w16cid:durableId="1462920818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5D"/>
    <w:rsid w:val="000467F2"/>
    <w:rsid w:val="00082214"/>
    <w:rsid w:val="00106528"/>
    <w:rsid w:val="001830F2"/>
    <w:rsid w:val="0019229D"/>
    <w:rsid w:val="002B03D4"/>
    <w:rsid w:val="002D4202"/>
    <w:rsid w:val="00324306"/>
    <w:rsid w:val="00433ECB"/>
    <w:rsid w:val="00436FC4"/>
    <w:rsid w:val="00446557"/>
    <w:rsid w:val="00500020"/>
    <w:rsid w:val="005454E6"/>
    <w:rsid w:val="00560B17"/>
    <w:rsid w:val="005B5EFD"/>
    <w:rsid w:val="005E4CED"/>
    <w:rsid w:val="006016DC"/>
    <w:rsid w:val="00713B5D"/>
    <w:rsid w:val="007A3369"/>
    <w:rsid w:val="007B7DE7"/>
    <w:rsid w:val="007E333F"/>
    <w:rsid w:val="008871CF"/>
    <w:rsid w:val="008B0C43"/>
    <w:rsid w:val="008C4935"/>
    <w:rsid w:val="009032D7"/>
    <w:rsid w:val="00997246"/>
    <w:rsid w:val="009F4893"/>
    <w:rsid w:val="00A307C9"/>
    <w:rsid w:val="00AA4222"/>
    <w:rsid w:val="00AF6392"/>
    <w:rsid w:val="00B04313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3EFE1"/>
  <w15:chartTrackingRefBased/>
  <w15:docId w15:val="{29672896-392E-401C-A3E5-2655BE08E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4</Pages>
  <Words>526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2025-09-28T05:23:00Z</dcterms:created>
  <dcterms:modified xsi:type="dcterms:W3CDTF">2025-09-30T06:21:00Z</dcterms:modified>
</cp:coreProperties>
</file>