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15E39C04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07973CE7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63C3CD32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4CCFFE9B" w:rsidR="00EF6488" w:rsidRPr="00B67943" w:rsidRDefault="00EF6488" w:rsidP="00EF6488">
      <w:pPr>
        <w:pStyle w:val="berschrift1"/>
      </w:pPr>
      <w:r>
        <w:t xml:space="preserve"> (3.1.1.1)</w:t>
      </w:r>
    </w:p>
    <w:p w14:paraId="16148F76" w14:textId="523834B6" w:rsidR="00EF6488" w:rsidRDefault="00EF6488" w:rsidP="00F7495B">
      <w:pPr>
        <w:jc w:val="center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∃x ∀y ¬(y∈x)</m:t>
          </m:r>
        </m:oMath>
      </m:oMathPara>
    </w:p>
    <w:p w14:paraId="21FD23A0" w14:textId="77777777" w:rsidR="00EF6488" w:rsidRDefault="00EF6488" w:rsidP="00082214">
      <w:pPr>
        <w:rPr>
          <w:rFonts w:ascii="Times New Roman" w:hAnsi="Times New Roman"/>
        </w:rPr>
      </w:pPr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2C9E9AE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Die Formel</w:t>
      </w:r>
    </w:p>
    <w:p w14:paraId="6716671D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proofErr w:type="gramStart"/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proofErr w:type="gramEnd"/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 </w:t>
      </w:r>
    </w:p>
    <w:p w14:paraId="617EB87F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bedeutet: </w:t>
      </w:r>
      <w:r w:rsidRPr="008C249D">
        <w:rPr>
          <w:rFonts w:ascii="Times New Roman" w:hAnsi="Times New Roman"/>
          <w:i/>
          <w:iCs/>
        </w:rPr>
        <w:t>Es existiert eine Menge x, sodass kein y Element von x ist.</w:t>
      </w:r>
      <w:r w:rsidRPr="008C249D">
        <w:rPr>
          <w:rFonts w:ascii="Times New Roman" w:hAnsi="Times New Roman"/>
        </w:rPr>
        <w:br/>
        <w:t xml:space="preserve">Diese logische Formulierung beschreibt </w:t>
      </w:r>
      <w:r w:rsidRPr="008C249D">
        <w:rPr>
          <w:rFonts w:ascii="Times New Roman" w:hAnsi="Times New Roman"/>
          <w:b/>
          <w:bCs/>
        </w:rPr>
        <w:t>die Existenz der leeren Menge (</w:t>
      </w:r>
      <w:r w:rsidRPr="008C249D">
        <w:rPr>
          <w:rFonts w:ascii="Cambria Math" w:hAnsi="Cambria Math" w:cs="Cambria Math"/>
          <w:b/>
          <w:bCs/>
        </w:rPr>
        <w:t>∅</w:t>
      </w:r>
      <w:r w:rsidRPr="008C249D">
        <w:rPr>
          <w:rFonts w:ascii="Times New Roman" w:hAnsi="Times New Roman"/>
          <w:b/>
          <w:bCs/>
        </w:rPr>
        <w:t>)</w:t>
      </w:r>
      <w:r w:rsidRPr="008C249D">
        <w:rPr>
          <w:rFonts w:ascii="Times New Roman" w:hAnsi="Times New Roman"/>
        </w:rPr>
        <w:t>. Sie ist der formale Ausdruck des epistemischen Nullpunkts, von dem das FRZK ausgeht (vgl. Kap. 3.1.1 „Die leere Menge in der Mathematik“ und 3.1.2 „Philosophische Implikationen des Nichts“ ).</w:t>
      </w:r>
      <w:r w:rsidRPr="008C249D">
        <w:rPr>
          <w:rFonts w:ascii="Times New Roman" w:hAnsi="Times New Roman"/>
        </w:rPr>
        <w:br/>
        <w:t xml:space="preserve">Didaktisch gesehen steht die Notation für einen Anfangszustand ohne Inhalt, aber mit </w:t>
      </w:r>
      <w:r w:rsidRPr="008C249D">
        <w:rPr>
          <w:rFonts w:ascii="Times New Roman" w:hAnsi="Times New Roman"/>
          <w:b/>
          <w:bCs/>
        </w:rPr>
        <w:t>definierter Form</w:t>
      </w:r>
      <w:r w:rsidRPr="008C249D">
        <w:rPr>
          <w:rFonts w:ascii="Times New Roman" w:hAnsi="Times New Roman"/>
        </w:rPr>
        <w:t xml:space="preserve"> – also ein Ausgangspunkt, von dem sich alle weiteren Bedeutungen ableiten lassen.</w:t>
      </w:r>
    </w:p>
    <w:p w14:paraId="2C9031A8" w14:textId="77777777" w:rsidR="00EF6488" w:rsidRDefault="00EF6488" w:rsidP="00082214">
      <w:pPr>
        <w:rPr>
          <w:rFonts w:ascii="Times New Roman" w:hAnsi="Times New Roman"/>
        </w:rPr>
      </w:pP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Das Symbol „¬(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)“ beschreibt </w:t>
      </w:r>
      <w:r w:rsidRPr="008C249D">
        <w:rPr>
          <w:rFonts w:ascii="Times New Roman" w:hAnsi="Times New Roman"/>
          <w:b/>
          <w:bCs/>
        </w:rPr>
        <w:t>die Negation der Zugehörigkeit</w:t>
      </w:r>
      <w:r w:rsidRPr="008C249D">
        <w:rPr>
          <w:rFonts w:ascii="Times New Roman" w:hAnsi="Times New Roman"/>
        </w:rPr>
        <w:t>: kein y liegt in x.</w:t>
      </w:r>
      <w:r w:rsidRPr="008C249D">
        <w:rPr>
          <w:rFonts w:ascii="Times New Roman" w:hAnsi="Times New Roman"/>
        </w:rPr>
        <w:br/>
        <w:t xml:space="preserve">Damit entsteht </w:t>
      </w:r>
      <w:r w:rsidRPr="008C249D">
        <w:rPr>
          <w:rFonts w:ascii="Times New Roman" w:hAnsi="Times New Roman"/>
          <w:b/>
          <w:bCs/>
        </w:rPr>
        <w:t>eine Grenze</w:t>
      </w:r>
      <w:r w:rsidRPr="008C249D">
        <w:rPr>
          <w:rFonts w:ascii="Times New Roman" w:hAnsi="Times New Roman"/>
        </w:rPr>
        <w:t>, die den Raum der möglichen Elemente eröffnet.</w:t>
      </w:r>
      <w:r w:rsidRPr="008C249D">
        <w:rPr>
          <w:rFonts w:ascii="Times New Roman" w:hAnsi="Times New Roman"/>
        </w:rPr>
        <w:br/>
        <w:t>In der Logik des FRZK bedeutet dies:</w:t>
      </w:r>
    </w:p>
    <w:p w14:paraId="29773E92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Bedeutung entsteht nicht aus vorhandenen Dingen, sondern aus der </w:t>
      </w:r>
      <w:r w:rsidRPr="008C249D">
        <w:rPr>
          <w:rFonts w:ascii="Times New Roman" w:hAnsi="Times New Roman"/>
          <w:b/>
          <w:bCs/>
        </w:rPr>
        <w:t>Abgrenzung</w:t>
      </w:r>
      <w:r w:rsidRPr="008C249D">
        <w:rPr>
          <w:rFonts w:ascii="Times New Roman" w:hAnsi="Times New Roman"/>
        </w:rPr>
        <w:t xml:space="preserve"> (Differenz) zwischen etwas und nichts.</w:t>
      </w:r>
    </w:p>
    <w:p w14:paraId="5EA8344A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 xml:space="preserve">x“ steht für die </w:t>
      </w:r>
      <w:r w:rsidRPr="008C249D">
        <w:rPr>
          <w:rFonts w:ascii="Times New Roman" w:hAnsi="Times New Roman"/>
          <w:b/>
          <w:bCs/>
        </w:rPr>
        <w:t>erste Setzung eines Funktionsraumes</w:t>
      </w:r>
      <w:r w:rsidRPr="008C249D">
        <w:rPr>
          <w:rFonts w:ascii="Times New Roman" w:hAnsi="Times New Roman"/>
        </w:rPr>
        <w:t>, in dem Operationen möglich werden.</w:t>
      </w:r>
      <w:r w:rsidRPr="008C249D">
        <w:rPr>
          <w:rFonts w:ascii="Times New Roman" w:hAnsi="Times New Roman"/>
        </w:rPr>
        <w:br/>
        <w:t xml:space="preserve">Somit ist die Formel eine mathematische Verdichtung des </w:t>
      </w:r>
      <w:r w:rsidRPr="008C249D">
        <w:rPr>
          <w:rFonts w:ascii="Times New Roman" w:hAnsi="Times New Roman"/>
          <w:b/>
          <w:bCs/>
        </w:rPr>
        <w:t>Übergangs vom Unbestimmten zum Bestimmten</w:t>
      </w:r>
      <w:r w:rsidRPr="008C249D">
        <w:rPr>
          <w:rFonts w:ascii="Times New Roman" w:hAnsi="Times New Roman"/>
        </w:rPr>
        <w:t>, also der Funktionsbeginn des Systems.</w:t>
      </w:r>
    </w:p>
    <w:p w14:paraId="7919DB76" w14:textId="77777777" w:rsidR="00EF6488" w:rsidRDefault="00EF6488" w:rsidP="00082214">
      <w:pPr>
        <w:rPr>
          <w:rFonts w:ascii="Times New Roman" w:hAnsi="Times New Roman"/>
        </w:rPr>
      </w:pP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0005304" w14:textId="4BC358A7" w:rsidR="00EF6488" w:rsidRDefault="008C249D" w:rsidP="00082214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In didaktischer Umsetzung (Kap. 6.2.1 und 6.3.1 ):</w:t>
      </w:r>
      <w:r w:rsidRPr="008C249D">
        <w:rPr>
          <w:rFonts w:ascii="Times New Roman" w:hAnsi="Times New Roman"/>
        </w:rPr>
        <w:br/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.</w:t>
      </w:r>
      <w:r w:rsidRPr="008C249D">
        <w:rPr>
          <w:rFonts w:ascii="Times New Roman" w:hAnsi="Times New Roman"/>
        </w:rPr>
        <w:br/>
        <w:t xml:space="preserve">Sobald sie eine </w:t>
      </w:r>
      <w:r w:rsidRPr="008C249D">
        <w:rPr>
          <w:rFonts w:ascii="Times New Roman" w:hAnsi="Times New Roman"/>
          <w:b/>
          <w:bCs/>
        </w:rPr>
        <w:t>erste Frage</w:t>
      </w:r>
      <w:r w:rsidRPr="008C249D">
        <w:rPr>
          <w:rFonts w:ascii="Times New Roman" w:hAnsi="Times New Roman"/>
        </w:rPr>
        <w:t xml:space="preserve"> formulieren („Was bedeutet das?“ oder „Wie kann ich das lösen?“), setzen sie ein x – eine Menge, in der Bedeutung entstehen kann.</w:t>
      </w:r>
      <w:r w:rsidRPr="008C249D">
        <w:rPr>
          <w:rFonts w:ascii="Times New Roman" w:hAnsi="Times New Roman"/>
        </w:rPr>
        <w:br/>
        <w:t>Jede weitere Erkenntnis ist dann ein neues y, das eventuell Mitglied dieses x wird, wenn es als „verstanden“ gilt.</w:t>
      </w:r>
      <w:r w:rsidRPr="008C249D">
        <w:rPr>
          <w:rFonts w:ascii="Times New Roman" w:hAnsi="Times New Roman"/>
        </w:rPr>
        <w:br/>
      </w:r>
      <w:r w:rsidRPr="008C249D">
        <w:rPr>
          <w:rFonts w:ascii="Times New Roman" w:hAnsi="Times New Roman"/>
        </w:rPr>
        <w:lastRenderedPageBreak/>
        <w:t>→ So bildet die Formel den Prozess ab, wie Lernen von Leere über Differenz zu Struktur führt.</w: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0F81DE8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Die Formel beschreibt </w:t>
      </w:r>
      <w:r w:rsidRPr="008C249D">
        <w:rPr>
          <w:rFonts w:ascii="Times New Roman" w:hAnsi="Times New Roman"/>
          <w:b/>
          <w:bCs/>
        </w:rPr>
        <w:t>den epistemischen Ursprung aller Strukturen im FRZK</w:t>
      </w:r>
      <w:r w:rsidRPr="008C249D">
        <w:rPr>
          <w:rFonts w:ascii="Times New Roman" w:hAnsi="Times New Roman"/>
        </w:rPr>
        <w:t>:</w:t>
      </w:r>
    </w:p>
    <w:p w14:paraId="69A01C8E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Mathematisch:</w:t>
      </w:r>
      <w:r w:rsidRPr="008C249D">
        <w:rPr>
          <w:rFonts w:ascii="Times New Roman" w:hAnsi="Times New Roman"/>
        </w:rPr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) als definierter Nullpunkt.</w:t>
      </w:r>
    </w:p>
    <w:p w14:paraId="3E74542B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Philosophisch:</w:t>
      </w:r>
      <w:r w:rsidRPr="008C249D">
        <w:rPr>
          <w:rFonts w:ascii="Times New Roman" w:hAnsi="Times New Roman"/>
        </w:rPr>
        <w:t xml:space="preserve"> Das Nichts als Bedingung von Differenz (Heidegger 1927; Deleuze 1968).</w:t>
      </w:r>
    </w:p>
    <w:p w14:paraId="0FCDD4A2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Didaktisch:</w:t>
      </w:r>
      <w:r w:rsidRPr="008C249D">
        <w:rPr>
          <w:rFonts w:ascii="Times New Roman" w:hAnsi="Times New Roman"/>
        </w:rPr>
        <w:t xml:space="preserve"> Beginn des Lernens als offener Möglichkeitsraum ohne festgelegten Inhalt.</w:t>
      </w:r>
    </w:p>
    <w:p w14:paraId="66630A9D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Funktional:</w:t>
      </w:r>
      <w:r w:rsidRPr="008C249D">
        <w:rPr>
          <w:rFonts w:ascii="Times New Roman" w:hAnsi="Times New Roman"/>
        </w:rPr>
        <w:t xml:space="preserve"> Erster Operatorzugriff – die Aktivierung eines Systems, das Bedeutung erst erzeugt.</w:t>
      </w:r>
    </w:p>
    <w:p w14:paraId="37CB91E9" w14:textId="77777777" w:rsidR="00EF6488" w:rsidRDefault="00EF6488" w:rsidP="00082214">
      <w:pPr>
        <w:rPr>
          <w:rFonts w:ascii="Times New Roman" w:hAnsi="Times New Roman"/>
        </w:rPr>
      </w:pPr>
    </w:p>
    <w:p w14:paraId="5AE38EAC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655C36BF" w14:textId="15B9CE3A" w:rsidR="00E759D7" w:rsidRPr="00EC0D06" w:rsidRDefault="00E759D7" w:rsidP="00E759D7">
      <w:pPr>
        <w:pStyle w:val="berschrift1"/>
      </w:pPr>
      <w:r w:rsidRPr="00EC0D06">
        <w:t xml:space="preserve"> (3.1.1.2)</w:t>
      </w:r>
    </w:p>
    <w:p w14:paraId="01B60F31" w14:textId="344FD46A" w:rsidR="00E759D7" w:rsidRPr="00EC0D06" w:rsidRDefault="00E759D7" w:rsidP="00E759D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13A148B0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8B15D2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Notation</w:t>
      </w:r>
    </w:p>
    <w:p w14:paraId="174E755C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</w:t>
      </w:r>
      <w:proofErr w:type="gramStart"/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proofErr w:type="gramEnd"/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37F9110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definiert die </w:t>
      </w:r>
      <w:r w:rsidRPr="00F7495B">
        <w:rPr>
          <w:rFonts w:ascii="Times New Roman" w:hAnsi="Times New Roman"/>
          <w:b/>
          <w:bCs/>
        </w:rPr>
        <w:t>leere Menge</w:t>
      </w:r>
      <w:r w:rsidRPr="00F7495B">
        <w:rPr>
          <w:rFonts w:ascii="Times New Roman" w:hAnsi="Times New Roman"/>
        </w:rPr>
        <w:t xml:space="preserve"> als jene Menge, die kein Element enthält, weil die Bedingung </w:t>
      </w:r>
      <w:r w:rsidRPr="00F7495B">
        <w:rPr>
          <w:rFonts w:ascii="Times New Roman" w:hAnsi="Times New Roman"/>
          <w:i/>
          <w:iCs/>
        </w:rPr>
        <w:t>x ≠ x</w:t>
      </w:r>
      <w:r w:rsidRPr="00F7495B">
        <w:rPr>
          <w:rFonts w:ascii="Times New Roman" w:hAnsi="Times New Roman"/>
        </w:rPr>
        <w:t xml:space="preserve"> logisch </w:t>
      </w:r>
      <w:r w:rsidRPr="00F7495B">
        <w:rPr>
          <w:rFonts w:ascii="Times New Roman" w:hAnsi="Times New Roman"/>
          <w:b/>
          <w:bCs/>
        </w:rPr>
        <w:t>niemals erfüllt</w:t>
      </w:r>
      <w:r w:rsidRPr="00F7495B">
        <w:rPr>
          <w:rFonts w:ascii="Times New Roman" w:hAnsi="Times New Roman"/>
        </w:rPr>
        <w:t xml:space="preserve"> werden kann.</w:t>
      </w:r>
      <w:r w:rsidRPr="00F7495B">
        <w:rPr>
          <w:rFonts w:ascii="Times New Roman" w:hAnsi="Times New Roman"/>
        </w:rPr>
        <w:br/>
        <w:t xml:space="preserve">Formal handelt es sich um eine </w:t>
      </w:r>
      <w:r w:rsidRPr="00F7495B">
        <w:rPr>
          <w:rFonts w:ascii="Times New Roman" w:hAnsi="Times New Roman"/>
          <w:b/>
          <w:bCs/>
        </w:rPr>
        <w:t>Mengendefinition durch Prädikation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>„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ist die Menge aller x, für die gilt: x ist nicht gleich x.“</w:t>
      </w:r>
      <w:r w:rsidRPr="00F7495B">
        <w:rPr>
          <w:rFonts w:ascii="Times New Roman" w:hAnsi="Times New Roman"/>
        </w:rPr>
        <w:br/>
        <w:t xml:space="preserve">Da diese Bedingung in sich widersprüchlich ist, existiert </w:t>
      </w:r>
      <w:r w:rsidRPr="00F7495B">
        <w:rPr>
          <w:rFonts w:ascii="Times New Roman" w:hAnsi="Times New Roman"/>
          <w:b/>
          <w:bCs/>
        </w:rPr>
        <w:t>kein solches x</w:t>
      </w:r>
      <w:r w:rsidRPr="00F7495B">
        <w:rPr>
          <w:rFonts w:ascii="Times New Roman" w:hAnsi="Times New Roman"/>
        </w:rPr>
        <w:t xml:space="preserve"> – und somit ist die Menge </w:t>
      </w:r>
      <w:r w:rsidRPr="00F7495B">
        <w:rPr>
          <w:rFonts w:ascii="Times New Roman" w:hAnsi="Times New Roman"/>
          <w:b/>
          <w:bCs/>
        </w:rPr>
        <w:t>leer</w:t>
      </w:r>
      <w:r w:rsidRPr="00F7495B">
        <w:rPr>
          <w:rFonts w:ascii="Times New Roman" w:hAnsi="Times New Roman"/>
        </w:rPr>
        <w:t xml:space="preserve">, aber </w:t>
      </w:r>
      <w:r w:rsidRPr="00F7495B">
        <w:rPr>
          <w:rFonts w:ascii="Times New Roman" w:hAnsi="Times New Roman"/>
          <w:b/>
          <w:bCs/>
        </w:rPr>
        <w:t>formal existent</w:t>
      </w:r>
      <w:r w:rsidRPr="00F7495B">
        <w:rPr>
          <w:rFonts w:ascii="Times New Roman" w:hAnsi="Times New Roman"/>
        </w:rPr>
        <w:t>.</w:t>
      </w:r>
    </w:p>
    <w:p w14:paraId="690E313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Im Kontext des FRZK beschreibt diese Notation </w:t>
      </w:r>
      <w:r w:rsidRPr="00F7495B">
        <w:rPr>
          <w:rFonts w:ascii="Times New Roman" w:hAnsi="Times New Roman"/>
          <w:b/>
          <w:bCs/>
        </w:rPr>
        <w:t>den Nullpunkt epistemischer Struktur</w:t>
      </w:r>
      <w:r w:rsidRPr="00F7495B">
        <w:rPr>
          <w:rFonts w:ascii="Times New Roman" w:hAnsi="Times New Roman"/>
        </w:rPr>
        <w:t>: Es gibt einen Raum (Form), aber keinen Inhalt.</w:t>
      </w:r>
      <w:r w:rsidRPr="00F7495B">
        <w:rPr>
          <w:rFonts w:ascii="Times New Roman" w:hAnsi="Times New Roman"/>
        </w:rPr>
        <w:br/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zur </w:t>
      </w:r>
      <w:r w:rsidRPr="00F7495B">
        <w:rPr>
          <w:rFonts w:ascii="Times New Roman" w:hAnsi="Times New Roman"/>
          <w:b/>
          <w:bCs/>
        </w:rPr>
        <w:t>ersten formalen Festlegung von Ordnung</w:t>
      </w:r>
      <w:r w:rsidRPr="00F7495B">
        <w:rPr>
          <w:rFonts w:ascii="Times New Roman" w:hAnsi="Times New Roman"/>
        </w:rPr>
        <w:t>, noch bevor Bedeutung, Zeit oder Handlung existieren (vgl. Kap. 3.1.1–3.1.2).</w:t>
      </w:r>
      <w:r w:rsidRPr="00F7495B">
        <w:rPr>
          <w:rFonts w:ascii="Times New Roman" w:hAnsi="Times New Roman"/>
        </w:rPr>
        <w:br/>
        <w:t xml:space="preserve">Sie steht für die Möglichkeit, </w:t>
      </w:r>
      <w:r w:rsidRPr="00F7495B">
        <w:rPr>
          <w:rFonts w:ascii="Times New Roman" w:hAnsi="Times New Roman"/>
          <w:b/>
          <w:bCs/>
        </w:rPr>
        <w:t>Differenz</w:t>
      </w:r>
      <w:r w:rsidRPr="00F7495B">
        <w:rPr>
          <w:rFonts w:ascii="Times New Roman" w:hAnsi="Times New Roman"/>
        </w:rPr>
        <w:t xml:space="preserve"> überhaupt mathematisch zu denken.</w: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E909FDD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Das Prädikat „x ≠ x“ ist die logische </w:t>
      </w:r>
      <w:r w:rsidRPr="00F7495B">
        <w:rPr>
          <w:rFonts w:ascii="Times New Roman" w:hAnsi="Times New Roman"/>
          <w:b/>
          <w:bCs/>
        </w:rPr>
        <w:t>Negation der Identität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 xml:space="preserve">Es beschreibt einen Zustand, in dem </w:t>
      </w:r>
      <w:r w:rsidRPr="00F7495B">
        <w:rPr>
          <w:rFonts w:ascii="Times New Roman" w:hAnsi="Times New Roman"/>
          <w:b/>
          <w:bCs/>
        </w:rPr>
        <w:t>nichts identisch mit sich selbst sein kann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>Im FRZK wird diese Negation funktional interpretiert:</w:t>
      </w:r>
    </w:p>
    <w:p w14:paraId="3D51E070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Sie bezeichnet </w:t>
      </w:r>
      <w:r w:rsidRPr="00F7495B">
        <w:rPr>
          <w:rFonts w:ascii="Times New Roman" w:hAnsi="Times New Roman"/>
          <w:b/>
          <w:bCs/>
        </w:rPr>
        <w:t>den epistemischen Übergang von Unbestimmtheit zu Möglichkeit</w:t>
      </w:r>
      <w:r w:rsidRPr="00F7495B">
        <w:rPr>
          <w:rFonts w:ascii="Times New Roman" w:hAnsi="Times New Roman"/>
        </w:rPr>
        <w:t>.</w:t>
      </w:r>
    </w:p>
    <w:p w14:paraId="091C0BF9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Das „Nicht-Gleiche“ eröffnet den Raum, in dem Differenz erst auftreten kann.</w:t>
      </w:r>
    </w:p>
    <w:p w14:paraId="1403F66C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In der </w:t>
      </w:r>
      <w:proofErr w:type="spellStart"/>
      <w:r w:rsidRPr="00F7495B">
        <w:rPr>
          <w:rFonts w:ascii="Times New Roman" w:hAnsi="Times New Roman"/>
        </w:rPr>
        <w:t>Operatorenlogik</w:t>
      </w:r>
      <w:proofErr w:type="spellEnd"/>
      <w:r w:rsidRPr="00F7495B">
        <w:rPr>
          <w:rFonts w:ascii="Times New Roman" w:hAnsi="Times New Roman"/>
        </w:rPr>
        <w:t xml:space="preserve"> bedeutet sie: Es gibt noch </w:t>
      </w:r>
      <w:r w:rsidRPr="00F7495B">
        <w:rPr>
          <w:rFonts w:ascii="Times New Roman" w:hAnsi="Times New Roman"/>
          <w:b/>
          <w:bCs/>
        </w:rPr>
        <w:t>keine stabilisierte Relation</w:t>
      </w:r>
      <w:r w:rsidRPr="00F7495B">
        <w:rPr>
          <w:rFonts w:ascii="Times New Roman" w:hAnsi="Times New Roman"/>
        </w:rPr>
        <w:t xml:space="preserve">, keine Zuordnung – nur </w:t>
      </w:r>
      <w:r w:rsidRPr="00F7495B">
        <w:rPr>
          <w:rFonts w:ascii="Times New Roman" w:hAnsi="Times New Roman"/>
          <w:b/>
          <w:bCs/>
        </w:rPr>
        <w:t>Potenzial für Zuweisung</w:t>
      </w:r>
      <w:r w:rsidRPr="00F7495B">
        <w:rPr>
          <w:rFonts w:ascii="Times New Roman" w:hAnsi="Times New Roman"/>
        </w:rPr>
        <w:t>.</w:t>
      </w:r>
    </w:p>
    <w:p w14:paraId="77115217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Damit wird die Ungleichung nicht als Defekt verstanden, sondern als </w:t>
      </w:r>
      <w:r w:rsidRPr="00F7495B">
        <w:rPr>
          <w:rFonts w:ascii="Times New Roman" w:hAnsi="Times New Roman"/>
          <w:b/>
          <w:bCs/>
        </w:rPr>
        <w:t>produktive Negation</w:t>
      </w:r>
      <w:r w:rsidRPr="00F7495B">
        <w:rPr>
          <w:rFonts w:ascii="Times New Roman" w:hAnsi="Times New Roman"/>
        </w:rPr>
        <w:t xml:space="preserve"> – der Zustand, in dem das System seine eigene Struktur erst zu generieren beginnt (vgl. Kap. 3.1.2 „Philosophische Implikationen des Nichts“ und 3.1.3 „Das Nichts in der Physik“).</w:t>
      </w:r>
    </w:p>
    <w:p w14:paraId="6E8739C8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11CF7DF7" w14:textId="77777777" w:rsidR="00F7495B" w:rsidRDefault="00F7495B" w:rsidP="00F7495B">
      <w:pPr>
        <w:pStyle w:val="StandardWeb"/>
      </w:pPr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  <w:r>
        <w:br/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>
        <w:br/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60202693" w14:textId="77777777" w:rsidR="00F7495B" w:rsidRDefault="00F7495B" w:rsidP="00F7495B">
      <w:pPr>
        <w:pStyle w:val="StandardWeb"/>
      </w:pPr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>
        <w:br/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>
        <w:br/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  <w:r>
        <w:br/>
        <w:t>Aus dem Zustand der Unbestimmtheit entsteht eine erste Orientierung: die Setzung eines Bezugs.</w:t>
      </w:r>
    </w:p>
    <w:p w14:paraId="3DC62DA5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1930E7B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Formel</w:t>
      </w:r>
    </w:p>
    <w:p w14:paraId="043749C8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</w:t>
      </w:r>
      <w:proofErr w:type="gramStart"/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proofErr w:type="gramEnd"/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58162465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ist im FRZK mehr als ein mathematisches Axiom – sie ist </w:t>
      </w:r>
      <w:r w:rsidRPr="00F7495B">
        <w:rPr>
          <w:rFonts w:ascii="Times New Roman" w:hAnsi="Times New Roman"/>
          <w:b/>
          <w:bCs/>
        </w:rPr>
        <w:t>die funktionale Urform epistemischer Generierung</w:t>
      </w:r>
      <w:r w:rsidRPr="00F7495B">
        <w:rPr>
          <w:rFonts w:ascii="Times New Roman" w:hAnsi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F7495B" w:rsidRPr="00F7495B" w14:paraId="4B577ECB" w14:textId="77777777" w:rsidTr="00F749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F0D02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922E927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814E0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2935BB2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3E6B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7C6443B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2CBCA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2EB0B2FD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571B6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33855B7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Anfang des Lernens als offener Möglichkeitsraum: die formale „Leere“, aus der Bedeutung hervorgeht.</w:t>
            </w:r>
          </w:p>
        </w:tc>
      </w:tr>
    </w:tbl>
    <w:p w14:paraId="4F8F9EA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nicht das Ende, sondern </w:t>
      </w:r>
      <w:r w:rsidRPr="00F7495B">
        <w:rPr>
          <w:rFonts w:ascii="Times New Roman" w:hAnsi="Times New Roman"/>
          <w:b/>
          <w:bCs/>
        </w:rPr>
        <w:t>den Beginn von Sinnproduktion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 xml:space="preserve">Es ist der </w:t>
      </w:r>
      <w:r w:rsidRPr="00F7495B">
        <w:rPr>
          <w:rFonts w:ascii="Times New Roman" w:hAnsi="Times New Roman"/>
          <w:b/>
          <w:bCs/>
        </w:rPr>
        <w:t>Ort der strukturellen Potenzialität</w:t>
      </w:r>
      <w:r w:rsidRPr="00F7495B">
        <w:rPr>
          <w:rFonts w:ascii="Times New Roman" w:hAnsi="Times New Roman"/>
        </w:rPr>
        <w:t>, in dem das FRZK seine Grundlogik entfaltet – von der Leere über die funktionale Zuweisung hin zur emergenten Raum-Zeit-Kohärenz.</w: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0D834047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sectPr w:rsidR="00F7495B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0"/>
  </w:num>
  <w:num w:numId="2" w16cid:durableId="1027562760">
    <w:abstractNumId w:val="2"/>
  </w:num>
  <w:num w:numId="3" w16cid:durableId="1086416997">
    <w:abstractNumId w:val="4"/>
  </w:num>
  <w:num w:numId="4" w16cid:durableId="824273812">
    <w:abstractNumId w:val="1"/>
  </w:num>
  <w:num w:numId="5" w16cid:durableId="132370374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3"/>
  </w:num>
  <w:num w:numId="7" w16cid:durableId="696779676">
    <w:abstractNumId w:val="6"/>
  </w:num>
  <w:num w:numId="8" w16cid:durableId="1011028191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6528"/>
    <w:rsid w:val="0013761E"/>
    <w:rsid w:val="001830F2"/>
    <w:rsid w:val="0019229D"/>
    <w:rsid w:val="002B03D4"/>
    <w:rsid w:val="002D4202"/>
    <w:rsid w:val="00324306"/>
    <w:rsid w:val="00433ECB"/>
    <w:rsid w:val="00436FC4"/>
    <w:rsid w:val="00446557"/>
    <w:rsid w:val="00500020"/>
    <w:rsid w:val="005454E6"/>
    <w:rsid w:val="00560B17"/>
    <w:rsid w:val="005B5EFD"/>
    <w:rsid w:val="005E4CED"/>
    <w:rsid w:val="006016DC"/>
    <w:rsid w:val="007A3369"/>
    <w:rsid w:val="007B7DE7"/>
    <w:rsid w:val="007E333F"/>
    <w:rsid w:val="00831524"/>
    <w:rsid w:val="008871CF"/>
    <w:rsid w:val="008B0C43"/>
    <w:rsid w:val="008C249D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C2343F"/>
    <w:rsid w:val="00CD1B3A"/>
    <w:rsid w:val="00CD2089"/>
    <w:rsid w:val="00D33BDA"/>
    <w:rsid w:val="00D35FA4"/>
    <w:rsid w:val="00D44FE7"/>
    <w:rsid w:val="00D542C6"/>
    <w:rsid w:val="00D67542"/>
    <w:rsid w:val="00D80CC8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35FA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35FA4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4</Pages>
  <Words>748</Words>
  <Characters>4717</Characters>
  <Application>Microsoft Office Word</Application>
  <DocSecurity>0</DocSecurity>
  <Lines>39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14</vt:i4>
      </vt:variant>
    </vt:vector>
  </HeadingPairs>
  <TitlesOfParts>
    <vt:vector size="15" baseType="lpstr">
      <vt:lpstr/>
      <vt:lpstr>(3.1.1.1)</vt:lpstr>
      <vt:lpstr>    Bed</vt:lpstr>
      <vt:lpstr>    Int</vt:lpstr>
      <vt:lpstr>    Beis</vt:lpstr>
      <vt:lpstr>    Zus</vt:lpstr>
      <vt:lpstr>        1. Bedeutung der Notation</vt:lpstr>
      <vt:lpstr>        2. Interpretation der Ungleichung</vt:lpstr>
      <vt:lpstr>        3. Beispiel für die Bedeutung</vt:lpstr>
      <vt:lpstr>        4. Zusammenfassung</vt:lpstr>
      <vt:lpstr>(3.1.1.2)</vt:lpstr>
      <vt:lpstr>    Bed</vt:lpstr>
      <vt:lpstr>    Int</vt:lpstr>
      <vt:lpstr>    Bei</vt:lpstr>
      <vt:lpstr>    Zus</vt:lpstr>
    </vt:vector>
  </TitlesOfParts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</cp:revision>
  <dcterms:created xsi:type="dcterms:W3CDTF">2025-11-07T16:12:00Z</dcterms:created>
  <dcterms:modified xsi:type="dcterms:W3CDTF">2025-11-08T01:57:00Z</dcterms:modified>
</cp:coreProperties>
</file>