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D4A459" w14:textId="77777777" w:rsidR="00E10465" w:rsidRPr="00E10465" w:rsidRDefault="00E10465" w:rsidP="00E10465">
      <w:pPr>
        <w:rPr>
          <w:b/>
        </w:rPr>
      </w:pPr>
      <w:r w:rsidRPr="00E10465">
        <w:rPr>
          <w:b/>
        </w:rPr>
        <w:t>6.x.4 Polarität</w:t>
      </w:r>
    </w:p>
    <w:p w14:paraId="55B1A9CC" w14:textId="77777777" w:rsidR="00E10465" w:rsidRPr="00E10465" w:rsidRDefault="00E10465" w:rsidP="00E10465">
      <w:pPr>
        <w:rPr>
          <w:b/>
        </w:rPr>
      </w:pPr>
      <w:r w:rsidRPr="00E10465">
        <w:rPr>
          <w:b/>
        </w:rPr>
        <w:t>6.x.4.1 Funktionale Bedeutung der Polarität im FRZK</w:t>
      </w:r>
    </w:p>
    <w:p w14:paraId="1BCBCB2F" w14:textId="77777777" w:rsidR="00E10465" w:rsidRPr="00E10465" w:rsidRDefault="00E10465" w:rsidP="00E10465">
      <w:r w:rsidRPr="00E10465">
        <w:t>Die Polarität beschreibt im Funktionalen Raum-Zeit-Kohärenzsystem (FRZK) die Richtung eines semantischen Zustandsraums. Während die semantische Dichte den Grad der Bedeutungsverdichtung charakterisiert und Dominanzstrukturen die jeweils prägende Dimension eines Zustands bestimmen, beantwortet die Polarität die Frage, ob sich ein Lernprozess insgesamt in Richtung funktionaler Stabilisierung oder funktionaler Destabilisierung entwickelt. Damit ergänzt sie die bisherige Zustandsbeschreibung um eine Bewertungsrichtung innerhalb des sieben-dimensionalen Zustandsraums und ermöglicht die Unterscheidung zwischen positiven, negativen und neutralen semantischen Zuständen [1–4].</w:t>
      </w:r>
    </w:p>
    <w:p w14:paraId="743E8CE8" w14:textId="77777777" w:rsidR="00E10465" w:rsidRPr="00E10465" w:rsidRDefault="00E10465" w:rsidP="00E10465">
      <w:r w:rsidRPr="00E10465">
        <w:t>Im mathematischen Modell des FRZK ergibt sich die Polarität unmittelbar aus dem Zustandsvektor</w:t>
      </w:r>
    </w:p>
    <w:p w14:paraId="1EB0A163" w14:textId="77777777" w:rsidR="00E10465" w:rsidRPr="00E10465" w:rsidRDefault="00E10465" w:rsidP="00E10465">
      <w:r w:rsidRPr="00E10465">
        <w:t>[</w:t>
      </w:r>
      <w:r w:rsidRPr="00E10465">
        <w:br/>
        <w:t>T(t)=\</w:t>
      </w:r>
      <w:proofErr w:type="spellStart"/>
      <w:r w:rsidRPr="00E10465">
        <w:t>left</w:t>
      </w:r>
      <w:proofErr w:type="spellEnd"/>
      <w:r w:rsidRPr="00E10465">
        <w:t>(</w:t>
      </w:r>
      <w:proofErr w:type="spellStart"/>
      <w:proofErr w:type="gramStart"/>
      <w:r w:rsidRPr="00E10465">
        <w:t>K,S</w:t>
      </w:r>
      <w:proofErr w:type="gramEnd"/>
      <w:r w:rsidRPr="00E10465">
        <w:t>,A,M,Me,P,R</w:t>
      </w:r>
      <w:proofErr w:type="spellEnd"/>
      <w:r w:rsidRPr="00E10465">
        <w:t>\</w:t>
      </w:r>
      <w:proofErr w:type="spellStart"/>
      <w:r w:rsidRPr="00E10465">
        <w:t>right</w:t>
      </w:r>
      <w:proofErr w:type="spellEnd"/>
      <w:r w:rsidRPr="00E10465">
        <w:t>),</w:t>
      </w:r>
      <w:r w:rsidRPr="00E10465">
        <w:br/>
        <w:t>]</w:t>
      </w:r>
    </w:p>
    <w:p w14:paraId="792C053D" w14:textId="77777777" w:rsidR="00E10465" w:rsidRPr="00E10465" w:rsidRDefault="00E10465" w:rsidP="00E10465">
      <w:r w:rsidRPr="00E10465">
        <w:t>dessen Komponenten die Dimensionen Kognition, Sozialität, Affektivität, Motivation, Methodik, Performanz und Regulation repräsentieren. Der Polaritätsindex fasst diese Komponenten zu einer globalen Richtungsgröße zusammen und erlaubt dadurch eine funktionale Interpretation des gesamten Lernzustands. Positive Werte kennzeichnen Zustände, in denen konstruktive semantische Beziehungen dominieren, während negative Werte auf funktionale Desintegration oder belastende Lernzustände hindeuten. Werte in der Nähe des Nullpunktes markieren Übergangs- oder Gleichgewichtszustände, in denen keine eindeutige funktionale Richtung vorliegt. Dieses Vorgehen entspricht unmittelbar der im FRZK entwickelten Auffassung, dass Bedeutung nicht einzelnen Merkmalen zukommt, sondern aus der Gesamtkohärenz funktionaler Relationen emergiert [1][3][5].</w:t>
      </w:r>
    </w:p>
    <w:p w14:paraId="28D1F0CB" w14:textId="77777777" w:rsidR="00E10465" w:rsidRPr="00E10465" w:rsidRDefault="00E10465" w:rsidP="00E10465">
      <w:r w:rsidRPr="00E10465">
        <w:t>Für die didaktische Interpretation besitzt die Polarität eine besondere Bedeutung. Sie beschreibt nicht die Leistungsfähigkeit einzelner Lernender, sondern den funktionalen Charakter des jeweiligen Lernraums. Ein positiver Polaritätswert ist daher nicht mit einer "guten Note" gleichzusetzen, sondern kennzeichnet einen Zustand, in dem sich kognitive, motivationale, affektive und regulatorische Prozesse gegenseitig stabilisieren. Umgekehrt weist eine negative Polarität auf Bereiche hin, in denen sich Störungen oder Inkohärenzen zwischen den Dimensionen verstärken können. Dadurch eignet sich die Polarität insbesondere zur Identifikation funktionaler Risikobereiche innerhalb längerfristiger Lernprozesse [2][4][6].</w:t>
      </w:r>
    </w:p>
    <w:p w14:paraId="190F6A80" w14:textId="77777777" w:rsidR="00E10465" w:rsidRPr="00E10465" w:rsidRDefault="00E10465" w:rsidP="00E10465">
      <w:r w:rsidRPr="00E10465">
        <w:pict w14:anchorId="23C755CB">
          <v:rect id="_x0000_i1049" style="width:0;height:1.5pt" o:hralign="center" o:hrstd="t" o:hr="t" fillcolor="#a0a0a0" stroked="f"/>
        </w:pict>
      </w:r>
    </w:p>
    <w:p w14:paraId="7F75604D" w14:textId="77777777" w:rsidR="00E10465" w:rsidRPr="00E10465" w:rsidRDefault="00E10465" w:rsidP="00E10465">
      <w:pPr>
        <w:rPr>
          <w:b/>
        </w:rPr>
      </w:pPr>
      <w:r w:rsidRPr="00E10465">
        <w:rPr>
          <w:b/>
        </w:rPr>
        <w:t>6.x.4.2 Ergebnisse der empirischen Auswertung</w:t>
      </w:r>
    </w:p>
    <w:p w14:paraId="54FC65D4" w14:textId="77777777" w:rsidR="00E10465" w:rsidRPr="00E10465" w:rsidRDefault="00E10465" w:rsidP="00E10465">
      <w:r w:rsidRPr="00E10465">
        <w:t>Die Auswertung der Teilnehmerdaten zeigt ein ausgesprochen homogenes Bild. Über nahezu sämtliche Gruppen hinweg dominieren positive Polaritätszustände. Acht der neun untersuchten Gruppen weisen einen Anteil positiver Zustände von 100 % auf. Lediglich die Gruppen 4 und 6 enthalten vereinzelt negative Zustände; deren Anteil liegt mit etwa 2 % bzw. 3 % jedoch auf sehr niedrigem Niveau. Neutrale Zustände treten praktisch nicht auf.</w:t>
      </w:r>
    </w:p>
    <w:p w14:paraId="71DB5998" w14:textId="77777777" w:rsidR="00E10465" w:rsidRPr="00E10465" w:rsidRDefault="00E10465" w:rsidP="00E10465">
      <w:r w:rsidRPr="00E10465">
        <w:t xml:space="preserve">Auch die mittleren Polaritätsindizes liegen in allen Gruppen deutlich oberhalb des Neutralbereichs. Die Werte bewegen sich zwischen etwa 0,34 und 0,38 und sprechen damit für einen insgesamt stabil positiven funktionalen Bedeutungsraum. Die höchsten mittleren </w:t>
      </w:r>
      <w:r w:rsidRPr="00E10465">
        <w:lastRenderedPageBreak/>
        <w:t>Polaritätswerte zeigen die Gruppen 3, 5 und 2, während Gruppe 4 den niedrigsten Mittelwert aufweist. Insgesamt unterscheiden sich die Gruppen jedoch nur geringfügig voneinander, was auf eine hohe funktionale Konsistenz des Gesamtsystems schließen lässt.</w:t>
      </w:r>
    </w:p>
    <w:p w14:paraId="0709056C" w14:textId="77777777" w:rsidR="00E10465" w:rsidRPr="00E10465" w:rsidRDefault="00E10465" w:rsidP="00E10465">
      <w:r w:rsidRPr="00E10465">
        <w:t>Von besonderem Interesse ist die zeitliche Entwicklung der Polarität. Mehrere Gruppen (insbesondere 1, 2, 5, 7, 8 und 9) zeigen leicht positive Trendkoeffizienten, sodass sich ihre Polarität im Verlauf der Unterrichtseinheiten weiter verbessert. Demgegenüber weisen die Gruppen 4 und insbesondere Gruppe 6 leicht negative Trends auf. Die Veränderungen bleiben jedoch klein und führen nicht zu einem grundlegenden Wechsel der Polaritätsklasse. Die funktionale Grundstruktur der Lernprozesse bleibt somit auch in diesen Gruppen überwiegend positiv erhalten.</w:t>
      </w:r>
    </w:p>
    <w:p w14:paraId="0021B49D" w14:textId="77777777" w:rsidR="00E10465" w:rsidRPr="00E10465" w:rsidRDefault="00E10465" w:rsidP="00E10465">
      <w:r w:rsidRPr="00E10465">
        <w:pict w14:anchorId="31330BE9">
          <v:rect id="_x0000_i1050" style="width:0;height:1.5pt" o:hralign="center" o:hrstd="t" o:hr="t" fillcolor="#a0a0a0" stroked="f"/>
        </w:pict>
      </w:r>
    </w:p>
    <w:p w14:paraId="281A9D3D" w14:textId="77777777" w:rsidR="00E10465" w:rsidRPr="00E10465" w:rsidRDefault="00E10465" w:rsidP="00E10465">
      <w:pPr>
        <w:rPr>
          <w:b/>
        </w:rPr>
      </w:pPr>
      <w:r w:rsidRPr="00E10465">
        <w:rPr>
          <w:b/>
        </w:rPr>
        <w:t>6.x.4.3 Interpretation im Rahmen des FRZK</w:t>
      </w:r>
    </w:p>
    <w:p w14:paraId="200EFB77" w14:textId="77777777" w:rsidR="00E10465" w:rsidRPr="00E10465" w:rsidRDefault="00E10465" w:rsidP="00E10465">
      <w:r w:rsidRPr="00E10465">
        <w:t xml:space="preserve">Aus Sicht des FRZK bestätigt dieses Ergebnis eine zentrale Annahme des Modells. Lernprozesse verlaufen überwiegend innerhalb stabiler </w:t>
      </w:r>
      <w:proofErr w:type="spellStart"/>
      <w:r w:rsidRPr="00E10465">
        <w:t>Attraktorbereiche</w:t>
      </w:r>
      <w:proofErr w:type="spellEnd"/>
      <w:r w:rsidRPr="00E10465">
        <w:t>, in denen positive semantische Beziehungen selbstverstärkend wirken. Die hohe Homogenität der Polaritätsverteilungen deutet darauf hin, dass die funktionalen Kopplungen zwischen den sieben Dimensionen überwiegend kohärenzerhaltend arbeiten. Positive Zustände erscheinen damit nicht als zufällige Einzelereignisse, sondern als emergente Eigenschaft des Gesamtsystems.</w:t>
      </w:r>
    </w:p>
    <w:p w14:paraId="79D1BEF9" w14:textId="77777777" w:rsidR="00E10465" w:rsidRPr="00E10465" w:rsidRDefault="00E10465" w:rsidP="00E10465">
      <w:r w:rsidRPr="00E10465">
        <w:t>Gleichzeitig zeigen die wenigen negativen Polaritätsereignisse den eigentlichen diagnostischen Wert dieser Auswertung. Obwohl sie quantitativ kaum ins Gewicht fallen, markieren sie funktionale Bereiche erhöhter Instabilität. Im Sinne des FRZK stellen sie keine Fehler einzelner Lernender dar, sondern lokale Veränderungen der semantischen Landschaft. Gerade ihre geringe Häufigkeit erleichtert ihre Identifikation und macht sie für eine didaktische Intervention besonders wertvoll. Zusammen mit Drift, Transitionen und Dominanzwechseln können solche Polaritätsänderungen als Frühindikatoren beginnender Reorganisationsprozesse interpretiert werden.</w:t>
      </w:r>
    </w:p>
    <w:p w14:paraId="7E983FE1" w14:textId="77777777" w:rsidR="00E10465" w:rsidRPr="00E10465" w:rsidRDefault="00E10465" w:rsidP="00E10465">
      <w:r w:rsidRPr="00E10465">
        <w:t>Die Polarität ergänzt somit die übrigen Zustandsgrößen des FRZK in sinnvoller Weise. Während die semantische Dichte die Intensität eines Bedeutungsraumes beschreibt und Dominanzstrukturen die inhaltliche Schwerpunktbildung charakterisieren, liefert die Polarität die funktionale Richtung dieses Zustandes. Erst das Zusammenwirken aller drei Größen erlaubt eine umfassende Beschreibung individueller und kollektiver Lernräume.</w:t>
      </w:r>
    </w:p>
    <w:p w14:paraId="31D78A75" w14:textId="77777777" w:rsidR="00E10465" w:rsidRPr="00E10465" w:rsidRDefault="00E10465" w:rsidP="00E10465">
      <w:r w:rsidRPr="00E10465">
        <w:pict w14:anchorId="0E5CC835">
          <v:rect id="_x0000_i1051" style="width:0;height:1.5pt" o:hralign="center" o:hrstd="t" o:hr="t" fillcolor="#a0a0a0" stroked="f"/>
        </w:pict>
      </w:r>
    </w:p>
    <w:p w14:paraId="34E77DC0" w14:textId="77777777" w:rsidR="00E10465" w:rsidRPr="00E10465" w:rsidRDefault="00E10465" w:rsidP="00E10465">
      <w:pPr>
        <w:rPr>
          <w:b/>
        </w:rPr>
      </w:pPr>
      <w:r w:rsidRPr="00E10465">
        <w:rPr>
          <w:b/>
        </w:rPr>
        <w:t>6.x.4.4 Konsequenzen für Bildungsforschung und Didaktik</w:t>
      </w:r>
    </w:p>
    <w:p w14:paraId="2FD00106" w14:textId="77777777" w:rsidR="00E10465" w:rsidRPr="00E10465" w:rsidRDefault="00E10465" w:rsidP="00E10465">
      <w:r w:rsidRPr="00E10465">
        <w:t>Für die Bildungsforschung eröffnet die Polaritätsanalyse eine zusätzliche Perspektive auf Lernprozesse. Anstelle einer ausschließlichen Betrachtung von Leistungsindikatoren wird die funktionale Qualität des Lernraums selbst analysiert. Dadurch können Entwicklungen erkannt werden, bevor sie sich in klassischen Leistungsmaßen niederschlagen. Die Polarität besitzt somit das Potenzial, als Frühwarnindikator für funktionale Veränderungen innerhalb von Lerngruppen eingesetzt zu werden.</w:t>
      </w:r>
    </w:p>
    <w:p w14:paraId="59C40797" w14:textId="77777777" w:rsidR="00E10465" w:rsidRPr="00E10465" w:rsidRDefault="00E10465" w:rsidP="00E10465">
      <w:r w:rsidRPr="00E10465">
        <w:t xml:space="preserve">Didaktisch bedeutet dies, dass Lehrkräfte ihre Aufmerksamkeit nicht allein auf einzelne negative Bewertungen richten sollten. Entscheidend ist vielmehr die Entwicklung des gesamten Polaritätsverlaufs. Solange der funktionale Gesamtzustand positiv bleibt, können einzelne negative Ereignisse Ausdruck notwendiger Umstrukturierungsprozesse sein. Erst </w:t>
      </w:r>
      <w:r w:rsidRPr="00E10465">
        <w:lastRenderedPageBreak/>
        <w:t>wenn sich negative Polarität dauerhaft mit zunehmender Drift, Dominanzwechseln oder sinkender Kohärenz verbindet, entsteht aus Sicht des FRZK ein Hinweis auf einen sich stabilisierenden negativen Attraktor. Die Polarität stellt damit keine abschließende Bewertung dar, sondern einen zentralen Bestandteil der funktionalen Prozessdiagnostik des FRZK.</w:t>
      </w:r>
    </w:p>
    <w:p w14:paraId="5063FF7A" w14:textId="77777777" w:rsidR="00E10465" w:rsidRPr="00E10465" w:rsidRDefault="00E10465" w:rsidP="00E10465">
      <w:r w:rsidRPr="00E10465">
        <w:pict w14:anchorId="18795593">
          <v:rect id="_x0000_i1052" style="width:0;height:1.5pt" o:hralign="center" o:hrstd="t" o:hr="t" fillcolor="#a0a0a0" stroked="f"/>
        </w:pict>
      </w:r>
    </w:p>
    <w:p w14:paraId="274CBA12" w14:textId="77777777" w:rsidR="00E10465" w:rsidRPr="00E10465" w:rsidRDefault="00E10465" w:rsidP="00E10465">
      <w:pPr>
        <w:rPr>
          <w:b/>
        </w:rPr>
      </w:pPr>
      <w:r w:rsidRPr="00E10465">
        <w:rPr>
          <w:b/>
        </w:rPr>
        <w:t>Literaturverzeichnis</w:t>
      </w:r>
    </w:p>
    <w:p w14:paraId="458B1AB5" w14:textId="77777777" w:rsidR="00E10465" w:rsidRPr="00E10465" w:rsidRDefault="00E10465" w:rsidP="00E10465">
      <w:r w:rsidRPr="00E10465">
        <w:rPr>
          <w:b/>
        </w:rPr>
        <w:t>[1]</w:t>
      </w:r>
      <w:r w:rsidRPr="00E10465">
        <w:t xml:space="preserve"> Thiele, O.: </w:t>
      </w:r>
      <w:r w:rsidRPr="00E10465">
        <w:rPr>
          <w:i/>
          <w:iCs/>
        </w:rPr>
        <w:t>Kapitel 3 – Mathematische Beschreibung des Funktionalen Raum-Zeit-Kohärenzsystems (FRZK).</w:t>
      </w:r>
      <w:r w:rsidRPr="00E10465">
        <w:t xml:space="preserve"> Unveröffentlichtes Dissertationsmanuskript.</w:t>
      </w:r>
    </w:p>
    <w:p w14:paraId="048C6740" w14:textId="77777777" w:rsidR="00E10465" w:rsidRPr="00E10465" w:rsidRDefault="00E10465" w:rsidP="00E10465">
      <w:r w:rsidRPr="00E10465">
        <w:rPr>
          <w:b/>
        </w:rPr>
        <w:t>[2]</w:t>
      </w:r>
      <w:r w:rsidRPr="00E10465">
        <w:t xml:space="preserve"> Thiele, O.: </w:t>
      </w:r>
      <w:r w:rsidRPr="00E10465">
        <w:rPr>
          <w:i/>
          <w:iCs/>
        </w:rPr>
        <w:t>Kapitel 5 – Beweisansatz, Feldversuche und funktionale Validierung.</w:t>
      </w:r>
      <w:r w:rsidRPr="00E10465">
        <w:t xml:space="preserve"> Unveröffentlichtes Dissertationsmanuskript.</w:t>
      </w:r>
    </w:p>
    <w:p w14:paraId="1961BF65" w14:textId="77777777" w:rsidR="00E10465" w:rsidRPr="00E10465" w:rsidRDefault="00E10465" w:rsidP="00E10465">
      <w:r w:rsidRPr="00E10465">
        <w:rPr>
          <w:b/>
        </w:rPr>
        <w:t>[3]</w:t>
      </w:r>
      <w:r w:rsidRPr="00E10465">
        <w:t xml:space="preserve"> Thiele, O.: </w:t>
      </w:r>
      <w:r w:rsidRPr="00E10465">
        <w:rPr>
          <w:i/>
          <w:iCs/>
        </w:rPr>
        <w:t>Kapitel 6 – FZRK in der Praxis.</w:t>
      </w:r>
      <w:r w:rsidRPr="00E10465">
        <w:t xml:space="preserve"> Unveröffentlichtes Dissertationsmanuskript.</w:t>
      </w:r>
    </w:p>
    <w:p w14:paraId="55F8418F" w14:textId="77777777" w:rsidR="00E10465" w:rsidRPr="00E10465" w:rsidRDefault="00E10465" w:rsidP="00E10465">
      <w:r w:rsidRPr="00E10465">
        <w:rPr>
          <w:b/>
        </w:rPr>
        <w:t>[4]</w:t>
      </w:r>
      <w:r w:rsidRPr="00E10465">
        <w:t xml:space="preserve"> Maturana, H. R.; Varela, F. J. (1980): </w:t>
      </w:r>
      <w:r w:rsidRPr="00E10465">
        <w:rPr>
          <w:i/>
          <w:iCs/>
        </w:rPr>
        <w:t xml:space="preserve">Autopoiesis and </w:t>
      </w:r>
      <w:proofErr w:type="spellStart"/>
      <w:r w:rsidRPr="00E10465">
        <w:rPr>
          <w:i/>
          <w:iCs/>
        </w:rPr>
        <w:t>Cognition</w:t>
      </w:r>
      <w:proofErr w:type="spellEnd"/>
      <w:r w:rsidRPr="00E10465">
        <w:rPr>
          <w:i/>
          <w:iCs/>
        </w:rPr>
        <w:t xml:space="preserve">: The </w:t>
      </w:r>
      <w:proofErr w:type="spellStart"/>
      <w:r w:rsidRPr="00E10465">
        <w:rPr>
          <w:i/>
          <w:iCs/>
        </w:rPr>
        <w:t>Realization</w:t>
      </w:r>
      <w:proofErr w:type="spellEnd"/>
      <w:r w:rsidRPr="00E10465">
        <w:rPr>
          <w:i/>
          <w:iCs/>
        </w:rPr>
        <w:t xml:space="preserve"> </w:t>
      </w:r>
      <w:proofErr w:type="spellStart"/>
      <w:r w:rsidRPr="00E10465">
        <w:rPr>
          <w:i/>
          <w:iCs/>
        </w:rPr>
        <w:t>of</w:t>
      </w:r>
      <w:proofErr w:type="spellEnd"/>
      <w:r w:rsidRPr="00E10465">
        <w:rPr>
          <w:i/>
          <w:iCs/>
        </w:rPr>
        <w:t xml:space="preserve"> </w:t>
      </w:r>
      <w:proofErr w:type="spellStart"/>
      <w:r w:rsidRPr="00E10465">
        <w:rPr>
          <w:i/>
          <w:iCs/>
        </w:rPr>
        <w:t>the</w:t>
      </w:r>
      <w:proofErr w:type="spellEnd"/>
      <w:r w:rsidRPr="00E10465">
        <w:rPr>
          <w:i/>
          <w:iCs/>
        </w:rPr>
        <w:t xml:space="preserve"> Living.</w:t>
      </w:r>
      <w:r w:rsidRPr="00E10465">
        <w:t xml:space="preserve"> Dordrecht: Reidel.</w:t>
      </w:r>
    </w:p>
    <w:p w14:paraId="2FF7E9CF" w14:textId="77777777" w:rsidR="00E10465" w:rsidRPr="00E10465" w:rsidRDefault="00E10465" w:rsidP="00E10465">
      <w:r w:rsidRPr="00E10465">
        <w:rPr>
          <w:b/>
        </w:rPr>
        <w:t>[5]</w:t>
      </w:r>
      <w:r w:rsidRPr="00E10465">
        <w:t xml:space="preserve"> Haken, H. (1983): </w:t>
      </w:r>
      <w:proofErr w:type="spellStart"/>
      <w:r w:rsidRPr="00E10465">
        <w:rPr>
          <w:i/>
          <w:iCs/>
        </w:rPr>
        <w:t>Synergetics</w:t>
      </w:r>
      <w:proofErr w:type="spellEnd"/>
      <w:r w:rsidRPr="00E10465">
        <w:rPr>
          <w:i/>
          <w:iCs/>
        </w:rPr>
        <w:t xml:space="preserve"> – An </w:t>
      </w:r>
      <w:proofErr w:type="spellStart"/>
      <w:r w:rsidRPr="00E10465">
        <w:rPr>
          <w:i/>
          <w:iCs/>
        </w:rPr>
        <w:t>Introduction</w:t>
      </w:r>
      <w:proofErr w:type="spellEnd"/>
      <w:r w:rsidRPr="00E10465">
        <w:rPr>
          <w:i/>
          <w:iCs/>
        </w:rPr>
        <w:t>.</w:t>
      </w:r>
      <w:r w:rsidRPr="00E10465">
        <w:t xml:space="preserve"> 3rd </w:t>
      </w:r>
      <w:proofErr w:type="spellStart"/>
      <w:r w:rsidRPr="00E10465">
        <w:t>ed</w:t>
      </w:r>
      <w:proofErr w:type="spellEnd"/>
      <w:r w:rsidRPr="00E10465">
        <w:t>. Berlin: Springer.</w:t>
      </w:r>
    </w:p>
    <w:p w14:paraId="54D18264" w14:textId="77777777" w:rsidR="00E10465" w:rsidRPr="00E10465" w:rsidRDefault="00E10465" w:rsidP="00E10465">
      <w:r w:rsidRPr="00E10465">
        <w:rPr>
          <w:b/>
        </w:rPr>
        <w:t>[6]</w:t>
      </w:r>
      <w:r w:rsidRPr="00E10465">
        <w:t xml:space="preserve"> von </w:t>
      </w:r>
      <w:proofErr w:type="spellStart"/>
      <w:r w:rsidRPr="00E10465">
        <w:t>Glasersfeld</w:t>
      </w:r>
      <w:proofErr w:type="spellEnd"/>
      <w:r w:rsidRPr="00E10465">
        <w:t xml:space="preserve">, E. (1995): </w:t>
      </w:r>
      <w:proofErr w:type="spellStart"/>
      <w:r w:rsidRPr="00E10465">
        <w:rPr>
          <w:i/>
          <w:iCs/>
        </w:rPr>
        <w:t>Radical</w:t>
      </w:r>
      <w:proofErr w:type="spellEnd"/>
      <w:r w:rsidRPr="00E10465">
        <w:rPr>
          <w:i/>
          <w:iCs/>
        </w:rPr>
        <w:t xml:space="preserve"> </w:t>
      </w:r>
      <w:proofErr w:type="spellStart"/>
      <w:r w:rsidRPr="00E10465">
        <w:rPr>
          <w:i/>
          <w:iCs/>
        </w:rPr>
        <w:t>Constructivism</w:t>
      </w:r>
      <w:proofErr w:type="spellEnd"/>
      <w:r w:rsidRPr="00E10465">
        <w:rPr>
          <w:i/>
          <w:iCs/>
        </w:rPr>
        <w:t xml:space="preserve">: A Way </w:t>
      </w:r>
      <w:proofErr w:type="spellStart"/>
      <w:r w:rsidRPr="00E10465">
        <w:rPr>
          <w:i/>
          <w:iCs/>
        </w:rPr>
        <w:t>of</w:t>
      </w:r>
      <w:proofErr w:type="spellEnd"/>
      <w:r w:rsidRPr="00E10465">
        <w:rPr>
          <w:i/>
          <w:iCs/>
        </w:rPr>
        <w:t xml:space="preserve"> </w:t>
      </w:r>
      <w:proofErr w:type="spellStart"/>
      <w:r w:rsidRPr="00E10465">
        <w:rPr>
          <w:i/>
          <w:iCs/>
        </w:rPr>
        <w:t>Knowing</w:t>
      </w:r>
      <w:proofErr w:type="spellEnd"/>
      <w:r w:rsidRPr="00E10465">
        <w:rPr>
          <w:i/>
          <w:iCs/>
        </w:rPr>
        <w:t xml:space="preserve"> and Learning.</w:t>
      </w:r>
      <w:r w:rsidRPr="00E10465">
        <w:t xml:space="preserve"> London: </w:t>
      </w:r>
      <w:proofErr w:type="spellStart"/>
      <w:r w:rsidRPr="00E10465">
        <w:t>Falmer</w:t>
      </w:r>
      <w:proofErr w:type="spellEnd"/>
      <w:r w:rsidRPr="00E10465">
        <w:t xml:space="preserve"> Press.</w:t>
      </w:r>
    </w:p>
    <w:p w14:paraId="04840827" w14:textId="77777777" w:rsidR="00E10465" w:rsidRPr="00E10465" w:rsidRDefault="00E10465" w:rsidP="00E10465">
      <w:r w:rsidRPr="00E10465">
        <w:rPr>
          <w:b/>
        </w:rPr>
        <w:t>Bewertung der vorliegenden Daten:</w:t>
      </w:r>
      <w:r w:rsidRPr="00E10465">
        <w:t xml:space="preserve"> Die Polaritätsauswertung liefert ein außergewöhnlich konsistentes Ergebnis. Gerade weil nahezu alle Gruppen dauerhaft positive Polaritätszustände aufweisen, eignet sich dieser Abschnitt weniger zur Beschreibung großer Gruppenunterschiede als vielmehr zur empirischen Absicherung der Hypothese, dass sich in den untersuchten Lernumgebungen überwiegend stabile, funktional kohärente semantische Zustandsräume ausbilden. Die eigentliche wissenschaftliche Stärke dieses Abschnitts liegt deshalb in der Verbindung mit den folgenden Analysen zu Drift, Transitionen und Attraktoren, wo lokale Abweichungen wesentlich deutlicher sichtbar werden.</w:t>
      </w:r>
    </w:p>
    <w:p w14:paraId="689AA63F" w14:textId="77777777" w:rsidR="00106528" w:rsidRPr="007115B7" w:rsidRDefault="00106528" w:rsidP="007115B7">
      <w:pPr>
        <w:rPr>
          <w:rStyle w:val="SQLTabellen"/>
          <w:rFonts w:ascii="Calibri" w:hAnsi="Calibri"/>
          <w:b w:val="0"/>
          <w:sz w:val="24"/>
        </w:rPr>
      </w:pPr>
    </w:p>
    <w:sectPr w:rsidR="00106528" w:rsidRPr="007115B7">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A225BBD"/>
    <w:multiLevelType w:val="multilevel"/>
    <w:tmpl w:val="39F4BE56"/>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42221805">
    <w:abstractNumId w:val="0"/>
  </w:num>
  <w:num w:numId="2" w16cid:durableId="250164984">
    <w:abstractNumId w:val="1"/>
  </w:num>
  <w:num w:numId="3" w16cid:durableId="66727205">
    <w:abstractNumId w:val="2"/>
  </w:num>
  <w:num w:numId="4" w16cid:durableId="998769572">
    <w:abstractNumId w:val="3"/>
  </w:num>
  <w:num w:numId="5" w16cid:durableId="15216999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465"/>
    <w:rsid w:val="00003048"/>
    <w:rsid w:val="000467F2"/>
    <w:rsid w:val="0006156C"/>
    <w:rsid w:val="00082214"/>
    <w:rsid w:val="000B0C44"/>
    <w:rsid w:val="000C2FC6"/>
    <w:rsid w:val="000D70EA"/>
    <w:rsid w:val="00103784"/>
    <w:rsid w:val="00106528"/>
    <w:rsid w:val="00153E4B"/>
    <w:rsid w:val="001830F2"/>
    <w:rsid w:val="0019229D"/>
    <w:rsid w:val="002B03D4"/>
    <w:rsid w:val="002D20FA"/>
    <w:rsid w:val="002D4202"/>
    <w:rsid w:val="00324306"/>
    <w:rsid w:val="00341905"/>
    <w:rsid w:val="00433ECB"/>
    <w:rsid w:val="00436FC4"/>
    <w:rsid w:val="0044266C"/>
    <w:rsid w:val="00446557"/>
    <w:rsid w:val="00461C7A"/>
    <w:rsid w:val="00483AB8"/>
    <w:rsid w:val="00500020"/>
    <w:rsid w:val="005454E6"/>
    <w:rsid w:val="00560B17"/>
    <w:rsid w:val="005B5EFD"/>
    <w:rsid w:val="005E4CED"/>
    <w:rsid w:val="006016DC"/>
    <w:rsid w:val="00687548"/>
    <w:rsid w:val="006B3395"/>
    <w:rsid w:val="00706409"/>
    <w:rsid w:val="007115B7"/>
    <w:rsid w:val="00795695"/>
    <w:rsid w:val="007A3369"/>
    <w:rsid w:val="007B7DE7"/>
    <w:rsid w:val="007E333F"/>
    <w:rsid w:val="007E47AB"/>
    <w:rsid w:val="008871CF"/>
    <w:rsid w:val="008B0C43"/>
    <w:rsid w:val="008C4935"/>
    <w:rsid w:val="009032D7"/>
    <w:rsid w:val="00997246"/>
    <w:rsid w:val="009A595B"/>
    <w:rsid w:val="009D04D3"/>
    <w:rsid w:val="00A307C9"/>
    <w:rsid w:val="00AA4222"/>
    <w:rsid w:val="00AE408D"/>
    <w:rsid w:val="00AF6392"/>
    <w:rsid w:val="00B04313"/>
    <w:rsid w:val="00B53EE0"/>
    <w:rsid w:val="00B555C2"/>
    <w:rsid w:val="00B873C2"/>
    <w:rsid w:val="00BA5790"/>
    <w:rsid w:val="00BA664A"/>
    <w:rsid w:val="00BB30C9"/>
    <w:rsid w:val="00C2343F"/>
    <w:rsid w:val="00C51943"/>
    <w:rsid w:val="00C6537C"/>
    <w:rsid w:val="00CD2089"/>
    <w:rsid w:val="00CF1387"/>
    <w:rsid w:val="00D33BDA"/>
    <w:rsid w:val="00D44FE7"/>
    <w:rsid w:val="00D542C6"/>
    <w:rsid w:val="00D67542"/>
    <w:rsid w:val="00D80CC8"/>
    <w:rsid w:val="00E10465"/>
    <w:rsid w:val="00E6450A"/>
    <w:rsid w:val="00EA1CC2"/>
    <w:rsid w:val="00EC35D8"/>
    <w:rsid w:val="00EE1062"/>
    <w:rsid w:val="00EE2879"/>
    <w:rsid w:val="00F40666"/>
    <w:rsid w:val="00F46CF6"/>
    <w:rsid w:val="00F63881"/>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FABC0"/>
  <w15:chartTrackingRefBased/>
  <w15:docId w15:val="{2BE1F73D-5D44-49B7-9F82-587866731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115B7"/>
    <w:pPr>
      <w:spacing w:after="120"/>
    </w:pPr>
    <w:rPr>
      <w:rFonts w:eastAsia="Times New Roman" w:cs="Calibri"/>
      <w:bCs/>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unhideWhenUsed/>
    <w:qFormat/>
    <w:rsid w:val="00C6537C"/>
    <w:pPr>
      <w:keepNext/>
      <w:keepLines/>
      <w:spacing w:before="40" w:after="0"/>
      <w:outlineLvl w:val="3"/>
    </w:pPr>
    <w:rPr>
      <w:rFonts w:eastAsia="Calibri"/>
      <w:i/>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C6537C"/>
    <w:rPr>
      <w:rFonts w:cs="Calibri"/>
      <w:i/>
      <w:sz w:val="24"/>
      <w:szCs w:val="24"/>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4"/>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paragraph" w:customStyle="1" w:styleId="SQLTabellennamen">
    <w:name w:val="SQLTabellennamen"/>
    <w:link w:val="SQLTabellennamenZchn"/>
    <w:qFormat/>
    <w:rsid w:val="009D04D3"/>
    <w:rPr>
      <w:rFonts w:ascii="Courier New" w:eastAsia="Times New Roman" w:hAnsi="Courier New"/>
      <w:b/>
      <w:sz w:val="22"/>
      <w:szCs w:val="24"/>
    </w:rPr>
  </w:style>
  <w:style w:type="character" w:customStyle="1" w:styleId="SQLTabellennamenZchn">
    <w:name w:val="SQLTabellennamen Zchn"/>
    <w:link w:val="SQLTabellennamen"/>
    <w:rsid w:val="009D04D3"/>
    <w:rPr>
      <w:rFonts w:ascii="Courier New" w:eastAsia="Times New Roman" w:hAnsi="Courier New"/>
      <w:b/>
      <w:sz w:val="22"/>
      <w:szCs w:val="24"/>
    </w:rPr>
  </w:style>
  <w:style w:type="character" w:customStyle="1" w:styleId="SQLTabellen">
    <w:name w:val="SQLTabellen"/>
    <w:uiPriority w:val="1"/>
    <w:rsid w:val="006B3395"/>
    <w:rPr>
      <w:rFonts w:ascii="Courier New" w:hAnsi="Courier New"/>
      <w:b/>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001735229">
      <w:bodyDiv w:val="1"/>
      <w:marLeft w:val="0"/>
      <w:marRight w:val="0"/>
      <w:marTop w:val="0"/>
      <w:marBottom w:val="0"/>
      <w:divBdr>
        <w:top w:val="none" w:sz="0" w:space="0" w:color="auto"/>
        <w:left w:val="none" w:sz="0" w:space="0" w:color="auto"/>
        <w:bottom w:val="none" w:sz="0" w:space="0" w:color="auto"/>
        <w:right w:val="none" w:sz="0" w:space="0" w:color="auto"/>
      </w:divBdr>
    </w:div>
    <w:div w:id="1722438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m"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MeineDissertation.dotm</Template>
  <TotalTime>0</TotalTime>
  <Pages>3</Pages>
  <Words>1128</Words>
  <Characters>7107</Characters>
  <Application>Microsoft Office Word</Application>
  <DocSecurity>0</DocSecurity>
  <Lines>59</Lines>
  <Paragraphs>16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2026-07-03T08:53:00Z</dcterms:created>
  <dcterms:modified xsi:type="dcterms:W3CDTF">2026-07-03T08:54:00Z</dcterms:modified>
</cp:coreProperties>
</file>