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CCAE" w14:textId="2B3F6D81" w:rsidR="00884D63" w:rsidRPr="00884D63" w:rsidRDefault="00884D63" w:rsidP="00884D63">
      <w:pPr>
        <w:rPr>
          <w:b/>
          <w:bCs/>
        </w:rPr>
      </w:pPr>
      <w:r w:rsidRPr="00884D63">
        <w:rPr>
          <w:b/>
          <w:bCs/>
        </w:rPr>
        <w:t xml:space="preserve">Anlage </w:t>
      </w:r>
      <w:r>
        <w:rPr>
          <w:b/>
          <w:bCs/>
        </w:rPr>
        <w:t>3.F</w:t>
      </w:r>
      <w:r w:rsidRPr="00884D63">
        <w:rPr>
          <w:b/>
          <w:bCs/>
        </w:rPr>
        <w:t xml:space="preserve"> – Meta-Strukturen und theoretische Einbettung</w:t>
      </w:r>
    </w:p>
    <w:p w14:paraId="278815A4" w14:textId="55A6B227" w:rsidR="00884D63" w:rsidRPr="00884D63" w:rsidRDefault="00884D63" w:rsidP="00884D63">
      <w:pPr>
        <w:rPr>
          <w:b/>
          <w:bCs/>
        </w:rPr>
      </w:pPr>
      <w:r w:rsidRPr="00884D63">
        <w:rPr>
          <w:b/>
          <w:bCs/>
        </w:rPr>
        <w:t>3.</w:t>
      </w:r>
      <w:r w:rsidR="00140CB0">
        <w:rPr>
          <w:b/>
          <w:bCs/>
        </w:rPr>
        <w:t>F</w:t>
      </w:r>
      <w:r w:rsidRPr="00884D63">
        <w:rPr>
          <w:b/>
          <w:bCs/>
        </w:rPr>
        <w:t>.1 Meta-Ebene der Beobachtung</w:t>
      </w:r>
    </w:p>
    <w:p w14:paraId="2AB2F3AB" w14:textId="77777777" w:rsidR="00884D63" w:rsidRPr="00884D63" w:rsidRDefault="00884D63" w:rsidP="00884D63">
      <w:r w:rsidRPr="00884D63">
        <w:t>Das FRZK ist nicht nur in der Lage, Strukturen zu generieren, sondern auch die Bedingungen dieser Generierung zu reflektieren. Mathematisch lässt sich dies als Operator zweiter Ordnung fassen:</w:t>
      </w:r>
    </w:p>
    <w:p w14:paraId="2E3ABEB7" w14:textId="77777777" w:rsidR="00884D63" w:rsidRPr="00884D63" w:rsidRDefault="00884D63" w:rsidP="00884D63">
      <w:r w:rsidRPr="00884D63">
        <w:t>M</w:t>
      </w:r>
      <w:r w:rsidRPr="00884D63">
        <w:rPr>
          <w:rFonts w:ascii="Cambria Math" w:hAnsi="Cambria Math" w:cs="Cambria Math"/>
        </w:rPr>
        <w:t>∗</w:t>
      </w:r>
      <w:r w:rsidRPr="00884D63">
        <w:t>:F</w:t>
      </w:r>
      <w:r w:rsidRPr="00884D63">
        <w:rPr>
          <w:rFonts w:cs="Calibri"/>
        </w:rPr>
        <w:t>→</w:t>
      </w:r>
      <w:r w:rsidRPr="00884D63">
        <w:t>F,M</w:t>
      </w:r>
      <w:r w:rsidRPr="00884D63">
        <w:rPr>
          <w:rFonts w:ascii="Cambria Math" w:hAnsi="Cambria Math" w:cs="Cambria Math"/>
        </w:rPr>
        <w:t>∗</w:t>
      </w:r>
      <w:r w:rsidRPr="00884D63">
        <w:t>(f)=f</w:t>
      </w:r>
      <w:r w:rsidRPr="00884D63">
        <w:rPr>
          <w:rFonts w:ascii="Cambria Math" w:hAnsi="Cambria Math" w:cs="Cambria Math"/>
        </w:rPr>
        <w:t>∘</w:t>
      </w:r>
      <w:r w:rsidRPr="00884D63">
        <w:t>fM^*: \mathcal{F} \to \mathcal{F}, \quad M^*(f) = f \circ fM</w:t>
      </w:r>
      <w:r w:rsidRPr="00884D63">
        <w:rPr>
          <w:rFonts w:ascii="Cambria Math" w:hAnsi="Cambria Math" w:cs="Cambria Math"/>
        </w:rPr>
        <w:t>∗</w:t>
      </w:r>
      <w:r w:rsidRPr="00884D63">
        <w:t>:F→F,M</w:t>
      </w:r>
      <w:r w:rsidRPr="00884D63">
        <w:rPr>
          <w:rFonts w:ascii="Cambria Math" w:hAnsi="Cambria Math" w:cs="Cambria Math"/>
        </w:rPr>
        <w:t>∗</w:t>
      </w:r>
      <w:r w:rsidRPr="00884D63">
        <w:t>(f)=f</w:t>
      </w:r>
      <w:r w:rsidRPr="00884D63">
        <w:rPr>
          <w:rFonts w:ascii="Cambria Math" w:hAnsi="Cambria Math" w:cs="Cambria Math"/>
        </w:rPr>
        <w:t>∘</w:t>
      </w:r>
      <w:r w:rsidRPr="00884D63">
        <w:t xml:space="preserve">f </w:t>
      </w:r>
    </w:p>
    <w:p w14:paraId="1EB332EC" w14:textId="77777777" w:rsidR="00884D63" w:rsidRPr="00884D63" w:rsidRDefault="00884D63" w:rsidP="00884D63">
      <w:r w:rsidRPr="00884D63">
        <w:t>Hierbei wendet sich die Funktion auf sich selbst an. Dies entspricht der „Beobachtung zweiter Ordnung“ (Luhmann), formalisiert im Sinn einer Selbstabbildung.</w:t>
      </w:r>
    </w:p>
    <w:p w14:paraId="5BB5434D" w14:textId="554D98E2" w:rsidR="00884D63" w:rsidRPr="00884D63" w:rsidRDefault="00884D63" w:rsidP="00884D63">
      <w:pPr>
        <w:rPr>
          <w:b/>
          <w:bCs/>
        </w:rPr>
      </w:pPr>
      <w:r w:rsidRPr="00884D63">
        <w:rPr>
          <w:b/>
          <w:bCs/>
        </w:rPr>
        <w:t>3.</w:t>
      </w:r>
      <w:r w:rsidR="00140CB0">
        <w:rPr>
          <w:b/>
          <w:bCs/>
        </w:rPr>
        <w:t>F</w:t>
      </w:r>
      <w:r w:rsidRPr="00884D63">
        <w:rPr>
          <w:b/>
          <w:bCs/>
        </w:rPr>
        <w:t>.2 Theoretische Einbettung und Symbolsysteme</w:t>
      </w:r>
    </w:p>
    <w:p w14:paraId="53E3CA52" w14:textId="77777777" w:rsidR="00884D63" w:rsidRPr="00884D63" w:rsidRDefault="00884D63" w:rsidP="00884D63">
      <w:r w:rsidRPr="00884D63">
        <w:t xml:space="preserve">Meta-Strukturen öffnen das FRZK für die Analyse kultureller und erkenntnistheoretischer Kontexte. Sie lassen sich durch den Übergang von rein funktionalen Relationen zu </w:t>
      </w:r>
      <w:r w:rsidRPr="00884D63">
        <w:rPr>
          <w:b/>
          <w:bCs/>
        </w:rPr>
        <w:t>Symbolsystemen</w:t>
      </w:r>
      <w:r w:rsidRPr="00884D63">
        <w:t xml:space="preserve"> modellieren. Formal:</w:t>
      </w:r>
    </w:p>
    <w:p w14:paraId="64D59476" w14:textId="77777777" w:rsidR="00884D63" w:rsidRPr="00884D63" w:rsidRDefault="00884D63" w:rsidP="00884D63">
      <w:r w:rsidRPr="00884D63">
        <w:t xml:space="preserve">S:F→ΣS: \mathcal{F} \to \SigmaS:F→Σ </w:t>
      </w:r>
    </w:p>
    <w:p w14:paraId="70AD698D" w14:textId="77777777" w:rsidR="00884D63" w:rsidRPr="00884D63" w:rsidRDefault="00884D63" w:rsidP="00884D63">
      <w:r w:rsidRPr="00884D63">
        <w:t>mit Σ als Symbolraum. Jeder Operator des FRZK wird damit nicht nur funktional, sondern auch symbolisch wirksam. Für die Didaktik bedeutet dies: Lernprozesse sind nicht nur funktional nachvollziehbar, sondern zugleich eingebettet in kulturelle Codes, Sprachsysteme und symbolische Praktiken.</w:t>
      </w:r>
    </w:p>
    <w:p w14:paraId="2F9DFBA0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63"/>
    <w:rsid w:val="000467F2"/>
    <w:rsid w:val="00082214"/>
    <w:rsid w:val="00106528"/>
    <w:rsid w:val="00140CB0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4D63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8408B"/>
  <w15:chartTrackingRefBased/>
  <w15:docId w15:val="{566A3AFB-160E-4CC6-B41F-18F88086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152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2025-09-23T08:51:00Z</dcterms:created>
  <dcterms:modified xsi:type="dcterms:W3CDTF">2025-09-23T08:52:00Z</dcterms:modified>
</cp:coreProperties>
</file>