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91A356" w14:textId="77777777" w:rsidR="0038381F" w:rsidRDefault="0038381F" w:rsidP="0038381F">
      <w:pPr>
        <w:pStyle w:val="berschrift2"/>
        <w:rPr>
          <w:sz w:val="36"/>
          <w:szCs w:val="36"/>
        </w:rPr>
      </w:pPr>
      <w:r>
        <w:rPr>
          <w:rFonts w:ascii="Segoe UI Emoji" w:hAnsi="Segoe UI Emoji" w:cs="Segoe UI Emoji"/>
        </w:rPr>
        <w:t>📎</w:t>
      </w:r>
      <w:r>
        <w:t xml:space="preserve"> </w:t>
      </w:r>
      <w:r>
        <w:rPr>
          <w:rStyle w:val="Fett"/>
          <w:b/>
          <w:bCs w:val="0"/>
        </w:rPr>
        <w:t>Anlage 4.B – Symbol- und Funktionsverzeichnis (Kapitel 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2317"/>
        <w:gridCol w:w="2818"/>
        <w:gridCol w:w="2797"/>
      </w:tblGrid>
      <w:tr w:rsidR="0038381F" w14:paraId="37FF8577" w14:textId="77777777" w:rsidTr="003838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40098" w14:textId="77777777" w:rsidR="0038381F" w:rsidRDefault="0038381F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Symbol / Funktion</w:t>
            </w:r>
          </w:p>
        </w:tc>
        <w:tc>
          <w:tcPr>
            <w:tcW w:w="0" w:type="auto"/>
            <w:vAlign w:val="center"/>
            <w:hideMark/>
          </w:tcPr>
          <w:p w14:paraId="3C07A5B4" w14:textId="77777777" w:rsidR="0038381F" w:rsidRDefault="0038381F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Bezeichnung</w:t>
            </w:r>
          </w:p>
        </w:tc>
        <w:tc>
          <w:tcPr>
            <w:tcW w:w="0" w:type="auto"/>
            <w:vAlign w:val="center"/>
            <w:hideMark/>
          </w:tcPr>
          <w:p w14:paraId="0C6CC61B" w14:textId="77777777" w:rsidR="0038381F" w:rsidRDefault="0038381F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Beschreibung / Bedeutung</w:t>
            </w:r>
          </w:p>
        </w:tc>
        <w:tc>
          <w:tcPr>
            <w:tcW w:w="0" w:type="auto"/>
            <w:vAlign w:val="center"/>
            <w:hideMark/>
          </w:tcPr>
          <w:p w14:paraId="43F8B9DF" w14:textId="77777777" w:rsidR="0038381F" w:rsidRDefault="0038381F">
            <w:pPr>
              <w:jc w:val="center"/>
              <w:rPr>
                <w:b/>
                <w:bCs/>
              </w:rPr>
            </w:pPr>
            <w:r>
              <w:rPr>
                <w:rStyle w:val="Fett"/>
              </w:rPr>
              <w:t>Funktion im FRZK-Modell</w:t>
            </w:r>
          </w:p>
        </w:tc>
      </w:tr>
      <w:tr w:rsidR="0038381F" w14:paraId="54725E53" w14:textId="77777777" w:rsidTr="00383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FFDD2" w14:textId="77777777" w:rsidR="0038381F" w:rsidRDefault="0038381F">
            <w:r>
              <w:rPr>
                <w:rFonts w:ascii="Cambria Math" w:hAnsi="Cambria Math" w:cs="Cambria Math"/>
              </w:rPr>
              <w:t>∅</w:t>
            </w:r>
          </w:p>
        </w:tc>
        <w:tc>
          <w:tcPr>
            <w:tcW w:w="0" w:type="auto"/>
            <w:vAlign w:val="center"/>
            <w:hideMark/>
          </w:tcPr>
          <w:p w14:paraId="5AA94817" w14:textId="77777777" w:rsidR="0038381F" w:rsidRDefault="0038381F">
            <w:r>
              <w:t>Leere Menge</w:t>
            </w:r>
          </w:p>
        </w:tc>
        <w:tc>
          <w:tcPr>
            <w:tcW w:w="0" w:type="auto"/>
            <w:vAlign w:val="center"/>
            <w:hideMark/>
          </w:tcPr>
          <w:p w14:paraId="2B3F7C4A" w14:textId="77777777" w:rsidR="0038381F" w:rsidRDefault="0038381F">
            <w:r>
              <w:t>Zustand völliger struktureller Indifferenz, ohne Koordinaten, Relationen oder Semantik</w:t>
            </w:r>
          </w:p>
        </w:tc>
        <w:tc>
          <w:tcPr>
            <w:tcW w:w="0" w:type="auto"/>
            <w:vAlign w:val="center"/>
            <w:hideMark/>
          </w:tcPr>
          <w:p w14:paraId="3D8FE5DF" w14:textId="77777777" w:rsidR="0038381F" w:rsidRDefault="0038381F">
            <w:r>
              <w:t>Ausgangspunkt der Modellkonstruktion – absolute Unbestimmtheit vor erster Zuweisung</w:t>
            </w:r>
          </w:p>
        </w:tc>
      </w:tr>
      <w:tr w:rsidR="0038381F" w14:paraId="409D1734" w14:textId="77777777" w:rsidTr="00383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667A" w14:textId="77777777" w:rsidR="0038381F" w:rsidRDefault="0038381F">
            <w:r>
              <w:t>I</w:t>
            </w:r>
          </w:p>
        </w:tc>
        <w:tc>
          <w:tcPr>
            <w:tcW w:w="0" w:type="auto"/>
            <w:vAlign w:val="center"/>
            <w:hideMark/>
          </w:tcPr>
          <w:p w14:paraId="11FD255F" w14:textId="77777777" w:rsidR="0038381F" w:rsidRDefault="0038381F">
            <w:r>
              <w:t>Initialpunkt</w:t>
            </w:r>
          </w:p>
        </w:tc>
        <w:tc>
          <w:tcPr>
            <w:tcW w:w="0" w:type="auto"/>
            <w:vAlign w:val="center"/>
            <w:hideMark/>
          </w:tcPr>
          <w:p w14:paraId="378F7931" w14:textId="77777777" w:rsidR="0038381F" w:rsidRDefault="0038381F">
            <w:r>
              <w:t xml:space="preserve">Erste funktionale Unterscheidung aus </w:t>
            </w:r>
            <w:r>
              <w:rPr>
                <w:rFonts w:ascii="Cambria Math" w:hAnsi="Cambria Math" w:cs="Cambria Math"/>
              </w:rPr>
              <w:t>∅</w:t>
            </w:r>
            <w:r>
              <w:t xml:space="preserve"> (Differenzbildung)</w:t>
            </w:r>
          </w:p>
        </w:tc>
        <w:tc>
          <w:tcPr>
            <w:tcW w:w="0" w:type="auto"/>
            <w:vAlign w:val="center"/>
            <w:hideMark/>
          </w:tcPr>
          <w:p w14:paraId="162911D0" w14:textId="77777777" w:rsidR="0038381F" w:rsidRDefault="0038381F">
            <w:r>
              <w:t xml:space="preserve">Logischer Startpunkt des Modells – Beginn der </w:t>
            </w:r>
            <w:proofErr w:type="spellStart"/>
            <w:r>
              <w:t>Koordinatisierung</w:t>
            </w:r>
            <w:proofErr w:type="spellEnd"/>
          </w:p>
        </w:tc>
      </w:tr>
      <w:tr w:rsidR="0038381F" w14:paraId="5FE86352" w14:textId="77777777" w:rsidTr="00383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FFA08" w14:textId="77777777" w:rsidR="0038381F" w:rsidRDefault="0038381F">
            <w:r>
              <w:rPr>
                <w:rFonts w:ascii="Cambria Math" w:hAnsi="Cambria Math" w:cs="Cambria Math"/>
              </w:rPr>
              <w:t>𝓡</w:t>
            </w:r>
            <w:r>
              <w:t>(x)</w:t>
            </w:r>
          </w:p>
        </w:tc>
        <w:tc>
          <w:tcPr>
            <w:tcW w:w="0" w:type="auto"/>
            <w:vAlign w:val="center"/>
            <w:hideMark/>
          </w:tcPr>
          <w:p w14:paraId="5F78046F" w14:textId="77777777" w:rsidR="0038381F" w:rsidRDefault="0038381F">
            <w:r>
              <w:t>Raumfunktion</w:t>
            </w:r>
          </w:p>
        </w:tc>
        <w:tc>
          <w:tcPr>
            <w:tcW w:w="0" w:type="auto"/>
            <w:vAlign w:val="center"/>
            <w:hideMark/>
          </w:tcPr>
          <w:p w14:paraId="1A4EF603" w14:textId="77777777" w:rsidR="0038381F" w:rsidRDefault="0038381F">
            <w:r>
              <w:t>Funktionale Zuweisung von Koordinaten zu Objekten relativ zu I</w:t>
            </w:r>
          </w:p>
        </w:tc>
        <w:tc>
          <w:tcPr>
            <w:tcW w:w="0" w:type="auto"/>
            <w:vAlign w:val="center"/>
            <w:hideMark/>
          </w:tcPr>
          <w:p w14:paraId="624082D7" w14:textId="77777777" w:rsidR="0038381F" w:rsidRDefault="0038381F">
            <w:r>
              <w:t>Erzeugt topologischen Raum durch iterative Differenzbildung</w:t>
            </w:r>
          </w:p>
        </w:tc>
      </w:tr>
      <w:tr w:rsidR="0038381F" w14:paraId="7A96D09C" w14:textId="77777777" w:rsidTr="00383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72C3C" w14:textId="77777777" w:rsidR="0038381F" w:rsidRDefault="0038381F">
            <w:r>
              <w:rPr>
                <w:rFonts w:ascii="Cambria Math" w:hAnsi="Cambria Math" w:cs="Cambria Math"/>
              </w:rPr>
              <w:t>𝓑</w:t>
            </w:r>
            <w:r>
              <w:t>(x)</w:t>
            </w:r>
          </w:p>
        </w:tc>
        <w:tc>
          <w:tcPr>
            <w:tcW w:w="0" w:type="auto"/>
            <w:vAlign w:val="center"/>
            <w:hideMark/>
          </w:tcPr>
          <w:p w14:paraId="6CA8E5C4" w14:textId="77777777" w:rsidR="0038381F" w:rsidRDefault="0038381F">
            <w:proofErr w:type="spellStart"/>
            <w:r>
              <w:t>Brane</w:t>
            </w:r>
            <w:proofErr w:type="spellEnd"/>
            <w:r>
              <w:t>-Funktion</w:t>
            </w:r>
          </w:p>
        </w:tc>
        <w:tc>
          <w:tcPr>
            <w:tcW w:w="0" w:type="auto"/>
            <w:vAlign w:val="center"/>
            <w:hideMark/>
          </w:tcPr>
          <w:p w14:paraId="268386AB" w14:textId="77777777" w:rsidR="0038381F" w:rsidRDefault="0038381F">
            <w:r>
              <w:t>Interne Feldstruktur als Funktion verteilter Systempunkte</w:t>
            </w:r>
          </w:p>
        </w:tc>
        <w:tc>
          <w:tcPr>
            <w:tcW w:w="0" w:type="auto"/>
            <w:vAlign w:val="center"/>
            <w:hideMark/>
          </w:tcPr>
          <w:p w14:paraId="1ED20858" w14:textId="77777777" w:rsidR="0038381F" w:rsidRDefault="0038381F">
            <w:r>
              <w:t>Beschreibt materielle und energetische Verteilung im Raum</w:t>
            </w:r>
          </w:p>
        </w:tc>
      </w:tr>
      <w:tr w:rsidR="0038381F" w14:paraId="58B65E5D" w14:textId="77777777" w:rsidTr="00383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DFD2B" w14:textId="77777777" w:rsidR="0038381F" w:rsidRDefault="0038381F">
            <w:proofErr w:type="spellStart"/>
            <w:r>
              <w:t>gμν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5FDEA" w14:textId="77777777" w:rsidR="0038381F" w:rsidRDefault="0038381F">
            <w:r>
              <w:t>Metrik (</w:t>
            </w:r>
            <w:proofErr w:type="spellStart"/>
            <w:r>
              <w:t>Metriktensor</w:t>
            </w:r>
            <w:proofErr w:type="spellEnd"/>
            <w:r>
              <w:t>)</w:t>
            </w:r>
          </w:p>
        </w:tc>
        <w:tc>
          <w:tcPr>
            <w:tcW w:w="0" w:type="auto"/>
            <w:vAlign w:val="center"/>
            <w:hideMark/>
          </w:tcPr>
          <w:p w14:paraId="749AC2AF" w14:textId="77777777" w:rsidR="0038381F" w:rsidRDefault="0038381F">
            <w:r>
              <w:t>Strukturierung von Distanzen, Krümmung und Richtung im Raum-Zeit-Feld</w:t>
            </w:r>
          </w:p>
        </w:tc>
        <w:tc>
          <w:tcPr>
            <w:tcW w:w="0" w:type="auto"/>
            <w:vAlign w:val="center"/>
            <w:hideMark/>
          </w:tcPr>
          <w:p w14:paraId="702BBB1E" w14:textId="77777777" w:rsidR="0038381F" w:rsidRDefault="0038381F">
            <w:r>
              <w:t>Ermöglicht geometrische und dynamische Beschreibung des Feldes</w:t>
            </w:r>
          </w:p>
        </w:tc>
      </w:tr>
      <w:tr w:rsidR="0038381F" w14:paraId="0984F018" w14:textId="77777777" w:rsidTr="00383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0859" w14:textId="77777777" w:rsidR="0038381F" w:rsidRDefault="0038381F">
            <w:r>
              <w:t>Δ</w:t>
            </w:r>
            <w:r>
              <w:rPr>
                <w:rFonts w:ascii="Cambria Math" w:hAnsi="Cambria Math" w:cs="Cambria Math"/>
              </w:rPr>
              <w:t>𝓡</w:t>
            </w:r>
            <w:r>
              <w:t>(t)</w:t>
            </w:r>
          </w:p>
        </w:tc>
        <w:tc>
          <w:tcPr>
            <w:tcW w:w="0" w:type="auto"/>
            <w:vAlign w:val="center"/>
            <w:hideMark/>
          </w:tcPr>
          <w:p w14:paraId="5E00341E" w14:textId="77777777" w:rsidR="0038381F" w:rsidRDefault="0038381F">
            <w:r>
              <w:t>Raum-Zeit-Transformation</w:t>
            </w:r>
          </w:p>
        </w:tc>
        <w:tc>
          <w:tcPr>
            <w:tcW w:w="0" w:type="auto"/>
            <w:vAlign w:val="center"/>
            <w:hideMark/>
          </w:tcPr>
          <w:p w14:paraId="48DC516B" w14:textId="77777777" w:rsidR="0038381F" w:rsidRDefault="0038381F">
            <w:r>
              <w:t>Veränderung der Raumfunktion über Zeit</w:t>
            </w:r>
          </w:p>
        </w:tc>
        <w:tc>
          <w:tcPr>
            <w:tcW w:w="0" w:type="auto"/>
            <w:vAlign w:val="center"/>
            <w:hideMark/>
          </w:tcPr>
          <w:p w14:paraId="472C4CA3" w14:textId="77777777" w:rsidR="0038381F" w:rsidRDefault="0038381F">
            <w:r>
              <w:t>Repräsentiert Bewegung, Entwicklung, Übergänge</w:t>
            </w:r>
          </w:p>
        </w:tc>
      </w:tr>
      <w:tr w:rsidR="0038381F" w14:paraId="5B25EAAF" w14:textId="77777777" w:rsidTr="00383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B8B41" w14:textId="77777777" w:rsidR="0038381F" w:rsidRDefault="0038381F">
            <w:proofErr w:type="gramStart"/>
            <w:r>
              <w:rPr>
                <w:rFonts w:ascii="Cambria Math" w:hAnsi="Cambria Math" w:cs="Cambria Math"/>
              </w:rPr>
              <w:t>𝓓</w:t>
            </w:r>
            <w:r>
              <w:t>(</w:t>
            </w:r>
            <w:proofErr w:type="gramEnd"/>
            <w:r>
              <w:t>x, t)</w:t>
            </w:r>
          </w:p>
        </w:tc>
        <w:tc>
          <w:tcPr>
            <w:tcW w:w="0" w:type="auto"/>
            <w:vAlign w:val="center"/>
            <w:hideMark/>
          </w:tcPr>
          <w:p w14:paraId="0C1A21D8" w14:textId="77777777" w:rsidR="0038381F" w:rsidRDefault="0038381F">
            <w:r>
              <w:t>Dynamikfunktion</w:t>
            </w:r>
          </w:p>
        </w:tc>
        <w:tc>
          <w:tcPr>
            <w:tcW w:w="0" w:type="auto"/>
            <w:vAlign w:val="center"/>
            <w:hideMark/>
          </w:tcPr>
          <w:p w14:paraId="61911E27" w14:textId="77777777" w:rsidR="0038381F" w:rsidRDefault="0038381F">
            <w:proofErr w:type="spellStart"/>
            <w:r>
              <w:t>Zustandveränderung</w:t>
            </w:r>
            <w:proofErr w:type="spellEnd"/>
            <w:r>
              <w:t xml:space="preserve"> in Abhängigkeit von Metrik und </w:t>
            </w:r>
            <w:proofErr w:type="spellStart"/>
            <w:r>
              <w:t>Brane</w:t>
            </w:r>
            <w:proofErr w:type="spellEnd"/>
            <w:r>
              <w:t>-Struktur</w:t>
            </w:r>
          </w:p>
        </w:tc>
        <w:tc>
          <w:tcPr>
            <w:tcW w:w="0" w:type="auto"/>
            <w:vAlign w:val="center"/>
            <w:hideMark/>
          </w:tcPr>
          <w:p w14:paraId="173EB156" w14:textId="77777777" w:rsidR="0038381F" w:rsidRDefault="0038381F">
            <w:r>
              <w:t>Funktionale Grundlage für Modellierung von Kausalität</w:t>
            </w:r>
          </w:p>
        </w:tc>
      </w:tr>
      <w:tr w:rsidR="0038381F" w14:paraId="5EE41484" w14:textId="77777777" w:rsidTr="00383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92F7D" w14:textId="77777777" w:rsidR="0038381F" w:rsidRDefault="0038381F">
            <w:r>
              <w:rPr>
                <w:rFonts w:ascii="Cambria Math" w:hAnsi="Cambria Math" w:cs="Cambria Math"/>
              </w:rPr>
              <w:t>𝓐</w:t>
            </w:r>
            <w:r>
              <w:t>(x)</w:t>
            </w:r>
          </w:p>
        </w:tc>
        <w:tc>
          <w:tcPr>
            <w:tcW w:w="0" w:type="auto"/>
            <w:vAlign w:val="center"/>
            <w:hideMark/>
          </w:tcPr>
          <w:p w14:paraId="6D8FA82C" w14:textId="77777777" w:rsidR="0038381F" w:rsidRDefault="0038381F">
            <w:r>
              <w:t>Akteur-Funktion</w:t>
            </w:r>
          </w:p>
        </w:tc>
        <w:tc>
          <w:tcPr>
            <w:tcW w:w="0" w:type="auto"/>
            <w:vAlign w:val="center"/>
            <w:hideMark/>
          </w:tcPr>
          <w:p w14:paraId="3B33910D" w14:textId="77777777" w:rsidR="0038381F" w:rsidRDefault="0038381F">
            <w:r>
              <w:t>Zuweisung intentionaler oder handlungsleitender Zustände zu Systempunkten</w:t>
            </w:r>
          </w:p>
        </w:tc>
        <w:tc>
          <w:tcPr>
            <w:tcW w:w="0" w:type="auto"/>
            <w:vAlign w:val="center"/>
            <w:hideMark/>
          </w:tcPr>
          <w:p w14:paraId="44507D4F" w14:textId="77777777" w:rsidR="0038381F" w:rsidRDefault="0038381F">
            <w:r>
              <w:t>Ermöglicht Modellierung von Handlung, Interaktion, Selbststeuerung</w:t>
            </w:r>
          </w:p>
        </w:tc>
      </w:tr>
      <w:tr w:rsidR="0038381F" w14:paraId="08DE42D1" w14:textId="77777777" w:rsidTr="00383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3FD78" w14:textId="77777777" w:rsidR="0038381F" w:rsidRDefault="0038381F">
            <w:r>
              <w:rPr>
                <w:rFonts w:ascii="Cambria Math" w:hAnsi="Cambria Math" w:cs="Cambria Math"/>
              </w:rPr>
              <w:t>𝓜</w:t>
            </w:r>
            <w:r>
              <w:t>(x)</w:t>
            </w:r>
          </w:p>
        </w:tc>
        <w:tc>
          <w:tcPr>
            <w:tcW w:w="0" w:type="auto"/>
            <w:vAlign w:val="center"/>
            <w:hideMark/>
          </w:tcPr>
          <w:p w14:paraId="214FC58E" w14:textId="77777777" w:rsidR="0038381F" w:rsidRDefault="0038381F">
            <w:r>
              <w:t>Meta-Funktion</w:t>
            </w:r>
          </w:p>
        </w:tc>
        <w:tc>
          <w:tcPr>
            <w:tcW w:w="0" w:type="auto"/>
            <w:vAlign w:val="center"/>
            <w:hideMark/>
          </w:tcPr>
          <w:p w14:paraId="0C5A8DDD" w14:textId="77777777" w:rsidR="0038381F" w:rsidRDefault="0038381F">
            <w:r>
              <w:t>Funktion, die sich auf andere Funktionen bezieht (z. B. Beobachtung der Beobachtung)</w:t>
            </w:r>
          </w:p>
        </w:tc>
        <w:tc>
          <w:tcPr>
            <w:tcW w:w="0" w:type="auto"/>
            <w:vAlign w:val="center"/>
            <w:hideMark/>
          </w:tcPr>
          <w:p w14:paraId="09011062" w14:textId="77777777" w:rsidR="0038381F" w:rsidRDefault="0038381F">
            <w:r>
              <w:t>Modelliert Reflexion, Metakognition, semantische Rekonfiguration</w:t>
            </w:r>
          </w:p>
        </w:tc>
      </w:tr>
      <w:tr w:rsidR="0038381F" w14:paraId="700ED0DF" w14:textId="77777777" w:rsidTr="00383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5FCC7" w14:textId="77777777" w:rsidR="0038381F" w:rsidRDefault="0038381F">
            <w:r>
              <w:t>Obs₁(x)</w:t>
            </w:r>
          </w:p>
        </w:tc>
        <w:tc>
          <w:tcPr>
            <w:tcW w:w="0" w:type="auto"/>
            <w:vAlign w:val="center"/>
            <w:hideMark/>
          </w:tcPr>
          <w:p w14:paraId="4DAF489E" w14:textId="77777777" w:rsidR="0038381F" w:rsidRDefault="0038381F">
            <w:r>
              <w:t>Beobachtung erster Ordnung</w:t>
            </w:r>
          </w:p>
        </w:tc>
        <w:tc>
          <w:tcPr>
            <w:tcW w:w="0" w:type="auto"/>
            <w:vAlign w:val="center"/>
            <w:hideMark/>
          </w:tcPr>
          <w:p w14:paraId="5881A592" w14:textId="77777777" w:rsidR="0038381F" w:rsidRDefault="0038381F">
            <w:r>
              <w:t>Wahrnehmung oder Messung eines Objektzustands durch ein System</w:t>
            </w:r>
          </w:p>
        </w:tc>
        <w:tc>
          <w:tcPr>
            <w:tcW w:w="0" w:type="auto"/>
            <w:vAlign w:val="center"/>
            <w:hideMark/>
          </w:tcPr>
          <w:p w14:paraId="00B9B985" w14:textId="77777777" w:rsidR="0038381F" w:rsidRDefault="0038381F">
            <w:r>
              <w:t>Elementare Zuweisung, Grundlage für objektive Modellrelationen</w:t>
            </w:r>
          </w:p>
        </w:tc>
      </w:tr>
      <w:tr w:rsidR="0038381F" w14:paraId="3175CCC2" w14:textId="77777777" w:rsidTr="00383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FE5A4" w14:textId="77777777" w:rsidR="0038381F" w:rsidRDefault="0038381F">
            <w:r>
              <w:t>Obs₂(x)</w:t>
            </w:r>
          </w:p>
        </w:tc>
        <w:tc>
          <w:tcPr>
            <w:tcW w:w="0" w:type="auto"/>
            <w:vAlign w:val="center"/>
            <w:hideMark/>
          </w:tcPr>
          <w:p w14:paraId="76C96F82" w14:textId="77777777" w:rsidR="0038381F" w:rsidRDefault="0038381F">
            <w:r>
              <w:t>Beobachtung zweiter Ordnung</w:t>
            </w:r>
          </w:p>
        </w:tc>
        <w:tc>
          <w:tcPr>
            <w:tcW w:w="0" w:type="auto"/>
            <w:vAlign w:val="center"/>
            <w:hideMark/>
          </w:tcPr>
          <w:p w14:paraId="28C7D181" w14:textId="77777777" w:rsidR="0038381F" w:rsidRDefault="0038381F">
            <w:r>
              <w:t>Beobachtung einer Beobachtung (z. B. Kontext, Perspektive, Interpretation)</w:t>
            </w:r>
          </w:p>
        </w:tc>
        <w:tc>
          <w:tcPr>
            <w:tcW w:w="0" w:type="auto"/>
            <w:vAlign w:val="center"/>
            <w:hideMark/>
          </w:tcPr>
          <w:p w14:paraId="14BCFE55" w14:textId="77777777" w:rsidR="0038381F" w:rsidRDefault="0038381F">
            <w:r>
              <w:t>Fundament für Reflexion, semantische Differenzierung, Selbstbeobachtung</w:t>
            </w:r>
          </w:p>
        </w:tc>
      </w:tr>
      <w:tr w:rsidR="0038381F" w14:paraId="358AC047" w14:textId="77777777" w:rsidTr="00383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D0C11" w14:textId="77777777" w:rsidR="0038381F" w:rsidRDefault="0038381F">
            <w:r>
              <w:rPr>
                <w:rFonts w:ascii="Cambria Math" w:hAnsi="Cambria Math" w:cs="Cambria Math"/>
              </w:rPr>
              <w:t>↦</w:t>
            </w:r>
          </w:p>
        </w:tc>
        <w:tc>
          <w:tcPr>
            <w:tcW w:w="0" w:type="auto"/>
            <w:vAlign w:val="center"/>
            <w:hideMark/>
          </w:tcPr>
          <w:p w14:paraId="340496A2" w14:textId="77777777" w:rsidR="0038381F" w:rsidRDefault="0038381F">
            <w:r>
              <w:t>Funktionszuweisung</w:t>
            </w:r>
          </w:p>
        </w:tc>
        <w:tc>
          <w:tcPr>
            <w:tcW w:w="0" w:type="auto"/>
            <w:vAlign w:val="center"/>
            <w:hideMark/>
          </w:tcPr>
          <w:p w14:paraId="2F139002" w14:textId="77777777" w:rsidR="0038381F" w:rsidRDefault="0038381F">
            <w:r>
              <w:t xml:space="preserve">Operator der funktionalen Ableitung: </w:t>
            </w:r>
            <w:r>
              <w:rPr>
                <w:rStyle w:val="Hervorhebung"/>
              </w:rPr>
              <w:t xml:space="preserve">x </w:t>
            </w:r>
            <w:r>
              <w:rPr>
                <w:rStyle w:val="Hervorhebung"/>
                <w:rFonts w:ascii="Cambria Math" w:hAnsi="Cambria Math" w:cs="Cambria Math"/>
              </w:rPr>
              <w:t>↦</w:t>
            </w:r>
            <w:r>
              <w:rPr>
                <w:rStyle w:val="Hervorhebung"/>
              </w:rPr>
              <w:t xml:space="preserve"> y</w:t>
            </w:r>
          </w:p>
        </w:tc>
        <w:tc>
          <w:tcPr>
            <w:tcW w:w="0" w:type="auto"/>
            <w:vAlign w:val="center"/>
            <w:hideMark/>
          </w:tcPr>
          <w:p w14:paraId="1C885753" w14:textId="77777777" w:rsidR="0038381F" w:rsidRDefault="0038381F">
            <w:r>
              <w:t>Zentraler Ausdruck funktionaler Transformationen im System</w:t>
            </w:r>
          </w:p>
        </w:tc>
      </w:tr>
      <w:tr w:rsidR="0038381F" w14:paraId="7E046BFE" w14:textId="77777777" w:rsidTr="00383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F3551" w14:textId="77777777" w:rsidR="0038381F" w:rsidRDefault="0038381F">
            <w:r>
              <w:rPr>
                <w:rFonts w:ascii="Cambria Math" w:hAnsi="Cambria Math" w:cs="Cambria Math"/>
              </w:rPr>
              <w:lastRenderedPageBreak/>
              <w:t>∘</w:t>
            </w:r>
          </w:p>
        </w:tc>
        <w:tc>
          <w:tcPr>
            <w:tcW w:w="0" w:type="auto"/>
            <w:vAlign w:val="center"/>
            <w:hideMark/>
          </w:tcPr>
          <w:p w14:paraId="27AD2FE1" w14:textId="77777777" w:rsidR="0038381F" w:rsidRDefault="0038381F">
            <w:r>
              <w:t>Funktionskomposition</w:t>
            </w:r>
          </w:p>
        </w:tc>
        <w:tc>
          <w:tcPr>
            <w:tcW w:w="0" w:type="auto"/>
            <w:vAlign w:val="center"/>
            <w:hideMark/>
          </w:tcPr>
          <w:p w14:paraId="3A12A135" w14:textId="77777777" w:rsidR="0038381F" w:rsidRDefault="0038381F">
            <w:r>
              <w:t xml:space="preserve">Verknüpfung von Operatoren: </w:t>
            </w:r>
            <w:r>
              <w:rPr>
                <w:rStyle w:val="Hervorhebung"/>
              </w:rPr>
              <w:t xml:space="preserve">f </w:t>
            </w:r>
            <w:r>
              <w:rPr>
                <w:rStyle w:val="Hervorhebung"/>
                <w:rFonts w:ascii="Cambria Math" w:hAnsi="Cambria Math" w:cs="Cambria Math"/>
              </w:rPr>
              <w:t>∘</w:t>
            </w:r>
            <w:r>
              <w:rPr>
                <w:rStyle w:val="Hervorhebung"/>
              </w:rPr>
              <w:t xml:space="preserve"> g(x) = f(g(x))</w:t>
            </w:r>
          </w:p>
        </w:tc>
        <w:tc>
          <w:tcPr>
            <w:tcW w:w="0" w:type="auto"/>
            <w:vAlign w:val="center"/>
            <w:hideMark/>
          </w:tcPr>
          <w:p w14:paraId="77BF3941" w14:textId="77777777" w:rsidR="0038381F" w:rsidRDefault="0038381F">
            <w:r>
              <w:t>Erlaubt Verschachtelung von Operationen, z. B. Meta-Funktion auf Dynamik</w:t>
            </w:r>
          </w:p>
        </w:tc>
      </w:tr>
      <w:tr w:rsidR="0038381F" w14:paraId="2DCC4436" w14:textId="77777777" w:rsidTr="00383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FF95F" w14:textId="77777777" w:rsidR="0038381F" w:rsidRDefault="0038381F">
            <w:r>
              <w:t>→</w:t>
            </w:r>
          </w:p>
        </w:tc>
        <w:tc>
          <w:tcPr>
            <w:tcW w:w="0" w:type="auto"/>
            <w:vAlign w:val="center"/>
            <w:hideMark/>
          </w:tcPr>
          <w:p w14:paraId="1BFE5C00" w14:textId="77777777" w:rsidR="0038381F" w:rsidRDefault="0038381F">
            <w:proofErr w:type="spellStart"/>
            <w:r>
              <w:t>Emergenzrichtung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1C1F1B" w14:textId="77777777" w:rsidR="0038381F" w:rsidRDefault="0038381F">
            <w:proofErr w:type="spellStart"/>
            <w:r>
              <w:t>Zeitgerichtete</w:t>
            </w:r>
            <w:proofErr w:type="spellEnd"/>
            <w:r>
              <w:t xml:space="preserve"> Entfaltung von Struktur</w:t>
            </w:r>
          </w:p>
        </w:tc>
        <w:tc>
          <w:tcPr>
            <w:tcW w:w="0" w:type="auto"/>
            <w:vAlign w:val="center"/>
            <w:hideMark/>
          </w:tcPr>
          <w:p w14:paraId="39E1FDA4" w14:textId="77777777" w:rsidR="0038381F" w:rsidRDefault="0038381F">
            <w:r>
              <w:t>Repräsentiert Entwicklungsfolge in Systemhierarchie</w:t>
            </w:r>
          </w:p>
        </w:tc>
      </w:tr>
      <w:tr w:rsidR="0038381F" w14:paraId="01A707CD" w14:textId="77777777" w:rsidTr="003838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197F9" w14:textId="77777777" w:rsidR="0038381F" w:rsidRDefault="0038381F">
            <w:r>
              <w:t>∂/∂t</w:t>
            </w:r>
          </w:p>
        </w:tc>
        <w:tc>
          <w:tcPr>
            <w:tcW w:w="0" w:type="auto"/>
            <w:vAlign w:val="center"/>
            <w:hideMark/>
          </w:tcPr>
          <w:p w14:paraId="0B0FE275" w14:textId="77777777" w:rsidR="0038381F" w:rsidRDefault="0038381F">
            <w:r>
              <w:t>Ableitung nach Zeit</w:t>
            </w:r>
          </w:p>
        </w:tc>
        <w:tc>
          <w:tcPr>
            <w:tcW w:w="0" w:type="auto"/>
            <w:vAlign w:val="center"/>
            <w:hideMark/>
          </w:tcPr>
          <w:p w14:paraId="7B6F626A" w14:textId="77777777" w:rsidR="0038381F" w:rsidRDefault="0038381F">
            <w:r>
              <w:t>Änderung einer Funktion bezogen auf Zeit</w:t>
            </w:r>
          </w:p>
        </w:tc>
        <w:tc>
          <w:tcPr>
            <w:tcW w:w="0" w:type="auto"/>
            <w:vAlign w:val="center"/>
            <w:hideMark/>
          </w:tcPr>
          <w:p w14:paraId="7B1F7A62" w14:textId="77777777" w:rsidR="0038381F" w:rsidRDefault="0038381F">
            <w:r>
              <w:t>Wird verwendet in dynamischen Gleichungen wie Δ</w:t>
            </w:r>
            <w:r>
              <w:rPr>
                <w:rFonts w:ascii="Cambria Math" w:hAnsi="Cambria Math" w:cs="Cambria Math"/>
              </w:rPr>
              <w:t>𝓡</w:t>
            </w:r>
            <w:r>
              <w:t xml:space="preserve">(t), </w:t>
            </w:r>
            <w:proofErr w:type="gramStart"/>
            <w:r>
              <w:rPr>
                <w:rFonts w:ascii="Cambria Math" w:hAnsi="Cambria Math" w:cs="Cambria Math"/>
              </w:rPr>
              <w:t>𝓓</w:t>
            </w:r>
            <w:r>
              <w:t>(</w:t>
            </w:r>
            <w:proofErr w:type="gramEnd"/>
            <w:r>
              <w:t>x, t)</w:t>
            </w:r>
          </w:p>
        </w:tc>
      </w:tr>
    </w:tbl>
    <w:p w14:paraId="7FE3033C" w14:textId="77777777" w:rsidR="0038381F" w:rsidRDefault="0038381F" w:rsidP="0038381F">
      <w:r>
        <w:pict w14:anchorId="58DE3B31">
          <v:rect id="_x0000_i1025" style="width:0;height:1.5pt" o:hralign="center" o:hrstd="t" o:hr="t" fillcolor="#a0a0a0" stroked="f"/>
        </w:pict>
      </w:r>
    </w:p>
    <w:p w14:paraId="430004BE" w14:textId="77777777" w:rsidR="0038381F" w:rsidRDefault="0038381F" w:rsidP="0038381F">
      <w:pPr>
        <w:pStyle w:val="berschrift3"/>
      </w:pPr>
      <w:r>
        <w:rPr>
          <w:rFonts w:ascii="Segoe UI Emoji" w:hAnsi="Segoe UI Emoji" w:cs="Segoe UI Emoji"/>
        </w:rPr>
        <w:t>📘</w:t>
      </w:r>
      <w:r>
        <w:t xml:space="preserve"> Hinweise zur Verwendung:</w:t>
      </w:r>
    </w:p>
    <w:p w14:paraId="72C2BA46" w14:textId="77777777" w:rsidR="0038381F" w:rsidRDefault="0038381F" w:rsidP="0038381F">
      <w:pPr>
        <w:pStyle w:val="StandardWeb"/>
        <w:numPr>
          <w:ilvl w:val="0"/>
          <w:numId w:val="4"/>
        </w:numPr>
      </w:pPr>
      <w:r>
        <w:t xml:space="preserve">Dieses Verzeichnis bezieht sich auf </w:t>
      </w:r>
      <w:r>
        <w:rPr>
          <w:rStyle w:val="Fett"/>
        </w:rPr>
        <w:t>Kapitel 4.1 bis 4.3</w:t>
      </w:r>
      <w:r>
        <w:t xml:space="preserve"> und kann durch weitere Operatoren in den Folgeabschnitten (z. B. ethische, semantische, kulturelle Operatoren) erweitert werden.</w:t>
      </w:r>
    </w:p>
    <w:p w14:paraId="3370F3AF" w14:textId="77777777" w:rsidR="0038381F" w:rsidRDefault="0038381F" w:rsidP="0038381F">
      <w:pPr>
        <w:pStyle w:val="StandardWeb"/>
        <w:numPr>
          <w:ilvl w:val="0"/>
          <w:numId w:val="4"/>
        </w:numPr>
      </w:pPr>
      <w:r>
        <w:t xml:space="preserve">Es bietet die Grundlage zur </w:t>
      </w:r>
      <w:r>
        <w:rPr>
          <w:rStyle w:val="Fett"/>
        </w:rPr>
        <w:t>formalen Anschlussfähigkeit</w:t>
      </w:r>
      <w:r>
        <w:t xml:space="preserve"> an die Operatorstruktur aus </w:t>
      </w:r>
      <w:r>
        <w:rPr>
          <w:rStyle w:val="Fett"/>
        </w:rPr>
        <w:t>Kapitel 3 (FRZK-Modellkern)</w:t>
      </w:r>
      <w:r>
        <w:t>.</w:t>
      </w:r>
    </w:p>
    <w:p w14:paraId="0F415BEA" w14:textId="77777777" w:rsidR="0038381F" w:rsidRDefault="0038381F" w:rsidP="0038381F">
      <w:pPr>
        <w:pStyle w:val="StandardWeb"/>
        <w:numPr>
          <w:ilvl w:val="0"/>
          <w:numId w:val="4"/>
        </w:numPr>
      </w:pPr>
      <w:r>
        <w:t xml:space="preserve">Empfohlen als </w:t>
      </w:r>
      <w:r>
        <w:rPr>
          <w:rStyle w:val="Fett"/>
        </w:rPr>
        <w:t>„Taschenreferenz“ für Lesende</w:t>
      </w:r>
      <w:r>
        <w:t>, um die Modelllogik beim Lesen von Kapitel 4 nachvollziehen zu können.</w:t>
      </w:r>
    </w:p>
    <w:p w14:paraId="23736B27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8C5AB6"/>
    <w:multiLevelType w:val="multilevel"/>
    <w:tmpl w:val="9B1C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81F"/>
    <w:rsid w:val="000467F2"/>
    <w:rsid w:val="00082214"/>
    <w:rsid w:val="00106528"/>
    <w:rsid w:val="001830F2"/>
    <w:rsid w:val="0019229D"/>
    <w:rsid w:val="002B03D4"/>
    <w:rsid w:val="002D4202"/>
    <w:rsid w:val="00324306"/>
    <w:rsid w:val="0038381F"/>
    <w:rsid w:val="00433ECB"/>
    <w:rsid w:val="00436FC4"/>
    <w:rsid w:val="00446557"/>
    <w:rsid w:val="00500020"/>
    <w:rsid w:val="005454E6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53EE0"/>
    <w:rsid w:val="00B873C2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7512D9"/>
  <w15:chartTrackingRefBased/>
  <w15:docId w15:val="{DC83748A-01BF-47D0-A8BB-B7E44D84E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8381F"/>
    <w:rPr>
      <w:rFonts w:ascii="Times New Roman" w:eastAsia="Times New Roman" w:hAnsi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/>
      <w:ind w:left="714" w:hanging="357"/>
    </w:pPr>
    <w:rPr>
      <w:rFonts w:ascii="Calibri" w:eastAsia="Calibri" w:hAnsi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D67542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/>
      <w:i/>
      <w:iCs/>
    </w:rPr>
  </w:style>
  <w:style w:type="character" w:customStyle="1" w:styleId="FormelZchn">
    <w:name w:val="Formel Zchn"/>
    <w:link w:val="Formel"/>
    <w:rsid w:val="00D67542"/>
    <w:rPr>
      <w:rFonts w:ascii="Cambria Math" w:hAnsi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  <w:tabs>
        <w:tab w:val="clear" w:pos="360"/>
        <w:tab w:val="num" w:pos="720"/>
      </w:tabs>
      <w:ind w:left="720" w:hanging="360"/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styleId="Hervorhebung">
    <w:name w:val="Emphasis"/>
    <w:uiPriority w:val="20"/>
    <w:qFormat/>
    <w:rsid w:val="0038381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14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46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2</Pages>
  <Words>384</Words>
  <Characters>2420</Characters>
  <Application>Microsoft Office Word</Application>
  <DocSecurity>0</DocSecurity>
  <Lines>20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2025-06-27T05:55:00Z</dcterms:created>
  <dcterms:modified xsi:type="dcterms:W3CDTF">2025-06-27T05:55:00Z</dcterms:modified>
</cp:coreProperties>
</file>