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76246" w14:textId="2E3DAFB7" w:rsidR="0016419E" w:rsidRDefault="0016419E" w:rsidP="0016419E">
      <w:pPr>
        <w:pStyle w:val="berschrift1"/>
        <w:rPr>
          <w:rStyle w:val="Fett"/>
          <w:b/>
        </w:rPr>
      </w:pPr>
      <w:r w:rsidRPr="00BA6128">
        <w:t>Anlage 4.</w:t>
      </w:r>
      <w:r w:rsidR="00AF4B21">
        <w:t>J</w:t>
      </w:r>
      <w:r w:rsidRPr="00BA6128">
        <w:t xml:space="preserve"> - Übersichtstabelle über </w:t>
      </w:r>
      <w:r w:rsidRPr="00BA6128">
        <w:rPr>
          <w:rStyle w:val="Fett"/>
          <w:b/>
          <w:bCs w:val="0"/>
        </w:rPr>
        <w:t>alle im Kapitel 4 formulierten Vorhersagen des FRZK</w:t>
      </w:r>
      <w:r>
        <w:rPr>
          <w:rStyle w:val="Fett"/>
          <w:b/>
          <w:bCs w:val="0"/>
        </w:rPr>
        <w:t xml:space="preserve"> mit Ihrem Forschungsthema und gegenwärtigem -stand</w:t>
      </w:r>
    </w:p>
    <w:p w14:paraId="342820B6" w14:textId="027BA6DC" w:rsidR="0016419E" w:rsidRDefault="0016419E" w:rsidP="0016419E">
      <w:pPr>
        <w:rPr>
          <w:lang w:eastAsia="en-US"/>
        </w:rPr>
      </w:pPr>
    </w:p>
    <w:p w14:paraId="5CBCF700" w14:textId="77777777" w:rsidR="0016419E" w:rsidRPr="0016419E" w:rsidRDefault="0016419E" w:rsidP="0016419E">
      <w:pPr>
        <w:rPr>
          <w:lang w:eastAsia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70"/>
        <w:gridCol w:w="2782"/>
        <w:gridCol w:w="3196"/>
        <w:gridCol w:w="4345"/>
        <w:gridCol w:w="2784"/>
      </w:tblGrid>
      <w:tr w:rsidR="0016419E" w:rsidRPr="0016419E" w14:paraId="41860184" w14:textId="77777777" w:rsidTr="0016419E">
        <w:tc>
          <w:tcPr>
            <w:tcW w:w="0" w:type="auto"/>
            <w:hideMark/>
          </w:tcPr>
          <w:p w14:paraId="51E1DADE" w14:textId="77777777" w:rsidR="0016419E" w:rsidRPr="0016419E" w:rsidRDefault="0016419E" w:rsidP="0016419E">
            <w:r w:rsidRPr="0016419E">
              <w:rPr>
                <w:rStyle w:val="Fett"/>
              </w:rPr>
              <w:t>Abschnitt</w:t>
            </w:r>
          </w:p>
        </w:tc>
        <w:tc>
          <w:tcPr>
            <w:tcW w:w="0" w:type="auto"/>
            <w:hideMark/>
          </w:tcPr>
          <w:p w14:paraId="60964A0B" w14:textId="77777777" w:rsidR="0016419E" w:rsidRPr="0016419E" w:rsidRDefault="0016419E" w:rsidP="0016419E">
            <w:r w:rsidRPr="0016419E">
              <w:rPr>
                <w:rStyle w:val="Fett"/>
              </w:rPr>
              <w:t>Vorhersage (Kurzbezeichnung)</w:t>
            </w:r>
          </w:p>
        </w:tc>
        <w:tc>
          <w:tcPr>
            <w:tcW w:w="0" w:type="auto"/>
            <w:hideMark/>
          </w:tcPr>
          <w:p w14:paraId="00A36835" w14:textId="77777777" w:rsidR="0016419E" w:rsidRPr="0016419E" w:rsidRDefault="0016419E" w:rsidP="0016419E">
            <w:r w:rsidRPr="0016419E">
              <w:rPr>
                <w:rStyle w:val="Fett"/>
              </w:rPr>
              <w:t>Forschungsthema</w:t>
            </w:r>
          </w:p>
        </w:tc>
        <w:tc>
          <w:tcPr>
            <w:tcW w:w="0" w:type="auto"/>
            <w:hideMark/>
          </w:tcPr>
          <w:p w14:paraId="17E1756D" w14:textId="77777777" w:rsidR="0016419E" w:rsidRPr="0016419E" w:rsidRDefault="0016419E" w:rsidP="0016419E">
            <w:r w:rsidRPr="0016419E">
              <w:rPr>
                <w:rStyle w:val="Fett"/>
              </w:rPr>
              <w:t>Forschungsstand</w:t>
            </w:r>
          </w:p>
        </w:tc>
        <w:tc>
          <w:tcPr>
            <w:tcW w:w="0" w:type="auto"/>
            <w:hideMark/>
          </w:tcPr>
          <w:p w14:paraId="3F62849B" w14:textId="77777777" w:rsidR="0016419E" w:rsidRPr="0016419E" w:rsidRDefault="0016419E" w:rsidP="0016419E">
            <w:r w:rsidRPr="0016419E">
              <w:rPr>
                <w:rStyle w:val="Fett"/>
              </w:rPr>
              <w:t>Quellenhinweis</w:t>
            </w:r>
          </w:p>
        </w:tc>
      </w:tr>
      <w:tr w:rsidR="0016419E" w14:paraId="705A3B85" w14:textId="77777777" w:rsidTr="0016419E">
        <w:tc>
          <w:tcPr>
            <w:tcW w:w="0" w:type="auto"/>
            <w:hideMark/>
          </w:tcPr>
          <w:p w14:paraId="4CF506F5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4.1</w:t>
            </w:r>
          </w:p>
        </w:tc>
        <w:tc>
          <w:tcPr>
            <w:tcW w:w="0" w:type="auto"/>
            <w:hideMark/>
          </w:tcPr>
          <w:p w14:paraId="6F18D552" w14:textId="77777777" w:rsidR="0016419E" w:rsidRDefault="0016419E">
            <w:r>
              <w:rPr>
                <w:rStyle w:val="Fett"/>
              </w:rPr>
              <w:t>Emergenz durch funktionale Zuweisung</w:t>
            </w:r>
          </w:p>
        </w:tc>
        <w:tc>
          <w:tcPr>
            <w:tcW w:w="0" w:type="auto"/>
            <w:hideMark/>
          </w:tcPr>
          <w:p w14:paraId="26BC8F58" w14:textId="77777777" w:rsidR="0016419E" w:rsidRDefault="0016419E">
            <w:r>
              <w:t>Konstruktivistische Erkenntnistheorie</w:t>
            </w:r>
          </w:p>
        </w:tc>
        <w:tc>
          <w:tcPr>
            <w:tcW w:w="0" w:type="auto"/>
            <w:hideMark/>
          </w:tcPr>
          <w:p w14:paraId="2AD3F3D1" w14:textId="77777777" w:rsidR="0016419E" w:rsidRDefault="0016419E">
            <w:r>
              <w:t xml:space="preserve">Etabliert, v. a. durch Maturana/Varela, von Foerster, </w:t>
            </w:r>
            <w:proofErr w:type="spellStart"/>
            <w:r>
              <w:t>Glasersfeld</w:t>
            </w:r>
            <w:proofErr w:type="spellEnd"/>
            <w:r>
              <w:t>; empirische Anwendung in Bildung und KI-Forschung.</w:t>
            </w:r>
          </w:p>
        </w:tc>
        <w:tc>
          <w:tcPr>
            <w:tcW w:w="0" w:type="auto"/>
            <w:hideMark/>
          </w:tcPr>
          <w:p w14:paraId="203D7264" w14:textId="77777777" w:rsidR="0016419E" w:rsidRDefault="0016419E">
            <w:r>
              <w:t>Maturana, Varela (</w:t>
            </w:r>
            <w:proofErr w:type="gramStart"/>
            <w:r>
              <w:t>1979)[</w:t>
            </w:r>
            <w:proofErr w:type="gramEnd"/>
            <w:r>
              <w:t xml:space="preserve">5]; von Foerster (1981)[6]; </w:t>
            </w:r>
            <w:proofErr w:type="spellStart"/>
            <w:r>
              <w:t>Glasersfeld</w:t>
            </w:r>
            <w:proofErr w:type="spellEnd"/>
            <w:r>
              <w:t xml:space="preserve"> (1989)</w:t>
            </w:r>
          </w:p>
        </w:tc>
      </w:tr>
      <w:tr w:rsidR="0016419E" w14:paraId="4416B2DE" w14:textId="77777777" w:rsidTr="0016419E">
        <w:tc>
          <w:tcPr>
            <w:tcW w:w="0" w:type="auto"/>
            <w:hideMark/>
          </w:tcPr>
          <w:p w14:paraId="50AA4B4F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4.1</w:t>
            </w:r>
          </w:p>
        </w:tc>
        <w:tc>
          <w:tcPr>
            <w:tcW w:w="0" w:type="auto"/>
            <w:hideMark/>
          </w:tcPr>
          <w:p w14:paraId="3018086A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2507A7DF" w14:textId="77777777" w:rsidR="0016419E" w:rsidRDefault="0016419E">
            <w:r>
              <w:t>Relationale Raumzeitmodelle</w:t>
            </w:r>
          </w:p>
        </w:tc>
        <w:tc>
          <w:tcPr>
            <w:tcW w:w="0" w:type="auto"/>
            <w:hideMark/>
          </w:tcPr>
          <w:p w14:paraId="31BFD5ED" w14:textId="77777777" w:rsidR="0016419E" w:rsidRDefault="0016419E">
            <w:r>
              <w:t xml:space="preserve">Aktiv beforscht; </w:t>
            </w:r>
            <w:proofErr w:type="spellStart"/>
            <w:r>
              <w:t>Rovelli</w:t>
            </w:r>
            <w:proofErr w:type="spellEnd"/>
            <w:r>
              <w:t xml:space="preserve"> (Loop Gravity), Barbour (Time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illusion</w:t>
            </w:r>
            <w:proofErr w:type="spellEnd"/>
            <w:r>
              <w:t>), Smolin; aber keine einheitliche Theorie.</w:t>
            </w:r>
          </w:p>
        </w:tc>
        <w:tc>
          <w:tcPr>
            <w:tcW w:w="0" w:type="auto"/>
            <w:hideMark/>
          </w:tcPr>
          <w:p w14:paraId="277EBC9E" w14:textId="77777777" w:rsidR="0016419E" w:rsidRDefault="0016419E">
            <w:proofErr w:type="spellStart"/>
            <w:r>
              <w:t>Rovelli</w:t>
            </w:r>
            <w:proofErr w:type="spellEnd"/>
            <w:r>
              <w:t xml:space="preserve"> (</w:t>
            </w:r>
            <w:proofErr w:type="gramStart"/>
            <w:r>
              <w:t>2021)[</w:t>
            </w:r>
            <w:proofErr w:type="gramEnd"/>
            <w:r>
              <w:t>10]; Smolin (2001)[8]; Barbour (2000)</w:t>
            </w:r>
          </w:p>
        </w:tc>
      </w:tr>
      <w:tr w:rsidR="0016419E" w14:paraId="055BF6A2" w14:textId="77777777" w:rsidTr="0016419E">
        <w:tc>
          <w:tcPr>
            <w:tcW w:w="0" w:type="auto"/>
            <w:hideMark/>
          </w:tcPr>
          <w:p w14:paraId="35D8D4B4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4.1</w:t>
            </w:r>
          </w:p>
        </w:tc>
        <w:tc>
          <w:tcPr>
            <w:tcW w:w="0" w:type="auto"/>
            <w:hideMark/>
          </w:tcPr>
          <w:p w14:paraId="5A64C000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6626AC32" w14:textId="77777777" w:rsidR="0016419E" w:rsidRDefault="0016419E">
            <w:r>
              <w:t>Strukturelle Emergenz in der Physik</w:t>
            </w:r>
          </w:p>
        </w:tc>
        <w:tc>
          <w:tcPr>
            <w:tcW w:w="0" w:type="auto"/>
            <w:hideMark/>
          </w:tcPr>
          <w:p w14:paraId="74A8DF17" w14:textId="77777777" w:rsidR="0016419E" w:rsidRDefault="0016419E">
            <w:r>
              <w:t>Zunehmend anerkannt, v. a. in emergenten Gravitationstheorien und Quantenfeldansätzen.</w:t>
            </w:r>
          </w:p>
        </w:tc>
        <w:tc>
          <w:tcPr>
            <w:tcW w:w="0" w:type="auto"/>
            <w:hideMark/>
          </w:tcPr>
          <w:p w14:paraId="0D8368E6" w14:textId="77777777" w:rsidR="0016419E" w:rsidRDefault="0016419E">
            <w:r>
              <w:t>Weinberg (</w:t>
            </w:r>
            <w:proofErr w:type="gramStart"/>
            <w:r>
              <w:t>1995)[</w:t>
            </w:r>
            <w:proofErr w:type="gramEnd"/>
            <w:r>
              <w:t>25]; Witten (1996)[9]</w:t>
            </w:r>
          </w:p>
        </w:tc>
      </w:tr>
      <w:tr w:rsidR="0016419E" w14:paraId="1E504B71" w14:textId="77777777" w:rsidTr="0016419E">
        <w:tc>
          <w:tcPr>
            <w:tcW w:w="0" w:type="auto"/>
            <w:hideMark/>
          </w:tcPr>
          <w:p w14:paraId="3411455F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4.2</w:t>
            </w:r>
          </w:p>
        </w:tc>
        <w:tc>
          <w:tcPr>
            <w:tcW w:w="0" w:type="auto"/>
            <w:hideMark/>
          </w:tcPr>
          <w:p w14:paraId="159F20E9" w14:textId="77777777" w:rsidR="0016419E" w:rsidRDefault="0016419E">
            <w:r>
              <w:rPr>
                <w:rStyle w:val="Fett"/>
              </w:rPr>
              <w:t>Hierarchie von Gleichungstypen</w:t>
            </w:r>
          </w:p>
        </w:tc>
        <w:tc>
          <w:tcPr>
            <w:tcW w:w="0" w:type="auto"/>
            <w:hideMark/>
          </w:tcPr>
          <w:p w14:paraId="14BE447E" w14:textId="77777777" w:rsidR="0016419E" w:rsidRDefault="0016419E">
            <w:r>
              <w:t xml:space="preserve">Kategoriale Logik und </w:t>
            </w:r>
            <w:proofErr w:type="spellStart"/>
            <w:r>
              <w:t>Topostheorie</w:t>
            </w:r>
            <w:proofErr w:type="spellEnd"/>
          </w:p>
        </w:tc>
        <w:tc>
          <w:tcPr>
            <w:tcW w:w="0" w:type="auto"/>
            <w:hideMark/>
          </w:tcPr>
          <w:p w14:paraId="625651F0" w14:textId="77777777" w:rsidR="0016419E" w:rsidRDefault="0016419E">
            <w:r>
              <w:t>Theoretisch stark ausgebaut (</w:t>
            </w:r>
            <w:proofErr w:type="spellStart"/>
            <w:r>
              <w:t>Lawvere</w:t>
            </w:r>
            <w:proofErr w:type="spellEnd"/>
            <w:r>
              <w:t>, Goldblatt); jedoch wenig bekannt in interdisziplinären Kontexten.</w:t>
            </w:r>
          </w:p>
        </w:tc>
        <w:tc>
          <w:tcPr>
            <w:tcW w:w="0" w:type="auto"/>
            <w:hideMark/>
          </w:tcPr>
          <w:p w14:paraId="24925EEC" w14:textId="77777777" w:rsidR="0016419E" w:rsidRDefault="0016419E">
            <w:proofErr w:type="spellStart"/>
            <w:r>
              <w:t>Lawvere</w:t>
            </w:r>
            <w:proofErr w:type="spellEnd"/>
            <w:r>
              <w:t xml:space="preserve"> (1963), Goldblatt (</w:t>
            </w:r>
            <w:proofErr w:type="gramStart"/>
            <w:r>
              <w:t>2006)[</w:t>
            </w:r>
            <w:proofErr w:type="gramEnd"/>
            <w:r>
              <w:t>12]</w:t>
            </w:r>
          </w:p>
        </w:tc>
      </w:tr>
      <w:tr w:rsidR="0016419E" w14:paraId="5574F639" w14:textId="77777777" w:rsidTr="0016419E">
        <w:tc>
          <w:tcPr>
            <w:tcW w:w="0" w:type="auto"/>
            <w:hideMark/>
          </w:tcPr>
          <w:p w14:paraId="096B0160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4.2</w:t>
            </w:r>
          </w:p>
        </w:tc>
        <w:tc>
          <w:tcPr>
            <w:tcW w:w="0" w:type="auto"/>
            <w:hideMark/>
          </w:tcPr>
          <w:p w14:paraId="692072C0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1CDF1667" w14:textId="77777777" w:rsidR="0016419E" w:rsidRDefault="0016419E">
            <w:r>
              <w:t>Systemische Formalisierungen (Kybernetik, dynamische Systeme)</w:t>
            </w:r>
          </w:p>
        </w:tc>
        <w:tc>
          <w:tcPr>
            <w:tcW w:w="0" w:type="auto"/>
            <w:hideMark/>
          </w:tcPr>
          <w:p w14:paraId="356B416A" w14:textId="77777777" w:rsidR="0016419E" w:rsidRDefault="0016419E">
            <w:r>
              <w:t>Solide etabliert; Anwendungen in Biologie, Technik, Sozialwissenschaften; neue Impulse durch Komplexitätsforschung.</w:t>
            </w:r>
          </w:p>
        </w:tc>
        <w:tc>
          <w:tcPr>
            <w:tcW w:w="0" w:type="auto"/>
            <w:hideMark/>
          </w:tcPr>
          <w:p w14:paraId="6EB94ABC" w14:textId="77777777" w:rsidR="0016419E" w:rsidRDefault="0016419E">
            <w:r>
              <w:t>Foerster (</w:t>
            </w:r>
            <w:proofErr w:type="gramStart"/>
            <w:r>
              <w:t>1981)[</w:t>
            </w:r>
            <w:proofErr w:type="gramEnd"/>
            <w:r>
              <w:t>6]; Prigogine (1977)[17]; Smolin (2001)[8]</w:t>
            </w:r>
          </w:p>
        </w:tc>
      </w:tr>
      <w:tr w:rsidR="0016419E" w14:paraId="691D800A" w14:textId="77777777" w:rsidTr="0016419E">
        <w:tc>
          <w:tcPr>
            <w:tcW w:w="0" w:type="auto"/>
            <w:hideMark/>
          </w:tcPr>
          <w:p w14:paraId="0316C027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4.3</w:t>
            </w:r>
          </w:p>
        </w:tc>
        <w:tc>
          <w:tcPr>
            <w:tcW w:w="0" w:type="auto"/>
            <w:hideMark/>
          </w:tcPr>
          <w:p w14:paraId="1AD64AAC" w14:textId="77777777" w:rsidR="0016419E" w:rsidRDefault="0016419E">
            <w:r>
              <w:rPr>
                <w:rStyle w:val="Fett"/>
              </w:rPr>
              <w:t>Beobachtung als rekursiver Operator</w:t>
            </w:r>
          </w:p>
        </w:tc>
        <w:tc>
          <w:tcPr>
            <w:tcW w:w="0" w:type="auto"/>
            <w:hideMark/>
          </w:tcPr>
          <w:p w14:paraId="29FB6C4C" w14:textId="77777777" w:rsidR="0016419E" w:rsidRDefault="0016419E">
            <w:r>
              <w:t>Kybernetik 2. Ordnung</w:t>
            </w:r>
          </w:p>
        </w:tc>
        <w:tc>
          <w:tcPr>
            <w:tcW w:w="0" w:type="auto"/>
            <w:hideMark/>
          </w:tcPr>
          <w:p w14:paraId="2D7678DA" w14:textId="77777777" w:rsidR="0016419E" w:rsidRDefault="0016419E">
            <w:r>
              <w:t>Grundlegend durch H. von Foerster; aktuell in Soziologie (Luhmann), Informatik und Systempsychologie weiterentwickelt.</w:t>
            </w:r>
          </w:p>
        </w:tc>
        <w:tc>
          <w:tcPr>
            <w:tcW w:w="0" w:type="auto"/>
            <w:hideMark/>
          </w:tcPr>
          <w:p w14:paraId="3507037C" w14:textId="77777777" w:rsidR="0016419E" w:rsidRDefault="0016419E">
            <w:r>
              <w:t>Foerster (</w:t>
            </w:r>
            <w:proofErr w:type="gramStart"/>
            <w:r>
              <w:t>2003)[</w:t>
            </w:r>
            <w:proofErr w:type="gramEnd"/>
            <w:r>
              <w:t>20]; Luhmann (1990)[18]</w:t>
            </w:r>
          </w:p>
        </w:tc>
      </w:tr>
      <w:tr w:rsidR="0016419E" w14:paraId="5F1CDF3C" w14:textId="77777777" w:rsidTr="0016419E">
        <w:tc>
          <w:tcPr>
            <w:tcW w:w="0" w:type="auto"/>
            <w:hideMark/>
          </w:tcPr>
          <w:p w14:paraId="2BC5F13A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lastRenderedPageBreak/>
              <w:t>4.3</w:t>
            </w:r>
          </w:p>
        </w:tc>
        <w:tc>
          <w:tcPr>
            <w:tcW w:w="0" w:type="auto"/>
            <w:hideMark/>
          </w:tcPr>
          <w:p w14:paraId="63C3FFA1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7132C137" w14:textId="77777777" w:rsidR="0016419E" w:rsidRDefault="0016419E">
            <w:r>
              <w:t>Selbstreferenz in der mathematischen Logik</w:t>
            </w:r>
          </w:p>
        </w:tc>
        <w:tc>
          <w:tcPr>
            <w:tcW w:w="0" w:type="auto"/>
            <w:hideMark/>
          </w:tcPr>
          <w:p w14:paraId="432B533E" w14:textId="77777777" w:rsidR="0016419E" w:rsidRDefault="0016419E">
            <w:r>
              <w:t>Formell erschlossen (Gödel, Löb); weiterhin Grundlagenforschung, wenig angewandt auf epistemische Systeme.</w:t>
            </w:r>
          </w:p>
        </w:tc>
        <w:tc>
          <w:tcPr>
            <w:tcW w:w="0" w:type="auto"/>
            <w:hideMark/>
          </w:tcPr>
          <w:p w14:paraId="70253987" w14:textId="77777777" w:rsidR="0016419E" w:rsidRDefault="0016419E">
            <w:r>
              <w:t>Gödel (</w:t>
            </w:r>
            <w:proofErr w:type="gramStart"/>
            <w:r>
              <w:t>1931)[</w:t>
            </w:r>
            <w:proofErr w:type="gramEnd"/>
            <w:r>
              <w:t>22]; Löb (1955)</w:t>
            </w:r>
          </w:p>
        </w:tc>
      </w:tr>
      <w:tr w:rsidR="0016419E" w14:paraId="60C6EBBD" w14:textId="77777777" w:rsidTr="0016419E">
        <w:tc>
          <w:tcPr>
            <w:tcW w:w="0" w:type="auto"/>
            <w:hideMark/>
          </w:tcPr>
          <w:p w14:paraId="71ACEFEA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4.3</w:t>
            </w:r>
          </w:p>
        </w:tc>
        <w:tc>
          <w:tcPr>
            <w:tcW w:w="0" w:type="auto"/>
            <w:hideMark/>
          </w:tcPr>
          <w:p w14:paraId="127CCC29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58B106F4" w14:textId="77777777" w:rsidR="0016419E" w:rsidRDefault="0016419E">
            <w:r>
              <w:t>Metakognition in der Kognitionspsychologie</w:t>
            </w:r>
          </w:p>
        </w:tc>
        <w:tc>
          <w:tcPr>
            <w:tcW w:w="0" w:type="auto"/>
            <w:hideMark/>
          </w:tcPr>
          <w:p w14:paraId="1A64921D" w14:textId="77777777" w:rsidR="0016419E" w:rsidRDefault="0016419E">
            <w:r>
              <w:t>Empirisch stark untersucht (</w:t>
            </w:r>
            <w:proofErr w:type="spellStart"/>
            <w:r>
              <w:t>Flavell</w:t>
            </w:r>
            <w:proofErr w:type="spellEnd"/>
            <w:r>
              <w:t>, Nelson); Anschluss an Lernforschung und Neuropsychologie gegeben.</w:t>
            </w:r>
          </w:p>
        </w:tc>
        <w:tc>
          <w:tcPr>
            <w:tcW w:w="0" w:type="auto"/>
            <w:hideMark/>
          </w:tcPr>
          <w:p w14:paraId="1F46235A" w14:textId="77777777" w:rsidR="0016419E" w:rsidRDefault="0016419E">
            <w:proofErr w:type="spellStart"/>
            <w:r>
              <w:t>Flavell</w:t>
            </w:r>
            <w:proofErr w:type="spellEnd"/>
            <w:r>
              <w:t xml:space="preserve"> (</w:t>
            </w:r>
            <w:proofErr w:type="gramStart"/>
            <w:r>
              <w:t>1979)[</w:t>
            </w:r>
            <w:proofErr w:type="gramEnd"/>
            <w:r>
              <w:t>39]; Nelson (1982)</w:t>
            </w:r>
          </w:p>
        </w:tc>
      </w:tr>
      <w:tr w:rsidR="0016419E" w14:paraId="38E1306E" w14:textId="77777777" w:rsidTr="0016419E">
        <w:tc>
          <w:tcPr>
            <w:tcW w:w="0" w:type="auto"/>
            <w:hideMark/>
          </w:tcPr>
          <w:p w14:paraId="4A4EACC4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4.4</w:t>
            </w:r>
          </w:p>
        </w:tc>
        <w:tc>
          <w:tcPr>
            <w:tcW w:w="0" w:type="auto"/>
            <w:hideMark/>
          </w:tcPr>
          <w:p w14:paraId="4746C5C0" w14:textId="77777777" w:rsidR="0016419E" w:rsidRDefault="0016419E">
            <w:r>
              <w:rPr>
                <w:rStyle w:val="Fett"/>
              </w:rPr>
              <w:t>Kausalität und Energie als emergente Funktionen</w:t>
            </w:r>
          </w:p>
        </w:tc>
        <w:tc>
          <w:tcPr>
            <w:tcW w:w="0" w:type="auto"/>
            <w:hideMark/>
          </w:tcPr>
          <w:p w14:paraId="011D3BD5" w14:textId="77777777" w:rsidR="0016419E" w:rsidRDefault="0016419E">
            <w:r>
              <w:t>Quantenfeldtheorie</w:t>
            </w:r>
          </w:p>
        </w:tc>
        <w:tc>
          <w:tcPr>
            <w:tcW w:w="0" w:type="auto"/>
            <w:hideMark/>
          </w:tcPr>
          <w:p w14:paraId="598D0F21" w14:textId="77777777" w:rsidR="0016419E" w:rsidRDefault="0016419E">
            <w:r>
              <w:t>Etabliert, inkl. Operatorbasierter Kausalität (Weinberg); Grenzen klassischer Kausalmodelle zunehmend thematisiert.</w:t>
            </w:r>
          </w:p>
        </w:tc>
        <w:tc>
          <w:tcPr>
            <w:tcW w:w="0" w:type="auto"/>
            <w:hideMark/>
          </w:tcPr>
          <w:p w14:paraId="138A3A09" w14:textId="77777777" w:rsidR="0016419E" w:rsidRDefault="0016419E">
            <w:r>
              <w:t>Weinberg (</w:t>
            </w:r>
            <w:proofErr w:type="gramStart"/>
            <w:r>
              <w:t>1995)[</w:t>
            </w:r>
            <w:proofErr w:type="gramEnd"/>
            <w:r>
              <w:t xml:space="preserve">25]; </w:t>
            </w:r>
            <w:proofErr w:type="spellStart"/>
            <w:r>
              <w:t>Peskin</w:t>
            </w:r>
            <w:proofErr w:type="spellEnd"/>
            <w:r>
              <w:t xml:space="preserve"> &amp; Schroeder (1995)[28]</w:t>
            </w:r>
          </w:p>
        </w:tc>
      </w:tr>
      <w:tr w:rsidR="0016419E" w14:paraId="47265D5A" w14:textId="77777777" w:rsidTr="0016419E">
        <w:tc>
          <w:tcPr>
            <w:tcW w:w="0" w:type="auto"/>
            <w:hideMark/>
          </w:tcPr>
          <w:p w14:paraId="320BB88A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4.4</w:t>
            </w:r>
          </w:p>
        </w:tc>
        <w:tc>
          <w:tcPr>
            <w:tcW w:w="0" w:type="auto"/>
            <w:hideMark/>
          </w:tcPr>
          <w:p w14:paraId="06B3520A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285EFD2F" w14:textId="77777777" w:rsidR="0016419E" w:rsidRDefault="0016419E">
            <w:r>
              <w:t>Noether-Theoreme &amp; Symmetriephysik</w:t>
            </w:r>
          </w:p>
        </w:tc>
        <w:tc>
          <w:tcPr>
            <w:tcW w:w="0" w:type="auto"/>
            <w:hideMark/>
          </w:tcPr>
          <w:p w14:paraId="5F23CCB6" w14:textId="77777777" w:rsidR="0016419E" w:rsidRDefault="0016419E">
            <w:r>
              <w:t>Fundamental für moderne Physik; direkte Übersetzung in Systemlogik jedoch noch offen.</w:t>
            </w:r>
          </w:p>
        </w:tc>
        <w:tc>
          <w:tcPr>
            <w:tcW w:w="0" w:type="auto"/>
            <w:hideMark/>
          </w:tcPr>
          <w:p w14:paraId="7B715DBF" w14:textId="77777777" w:rsidR="0016419E" w:rsidRDefault="0016419E">
            <w:r>
              <w:t>Noether (</w:t>
            </w:r>
            <w:proofErr w:type="gramStart"/>
            <w:r>
              <w:t>1918)[</w:t>
            </w:r>
            <w:proofErr w:type="gramEnd"/>
            <w:r>
              <w:t>27]; Smolin (2001)[8]</w:t>
            </w:r>
          </w:p>
        </w:tc>
      </w:tr>
      <w:tr w:rsidR="0016419E" w14:paraId="168504A0" w14:textId="77777777" w:rsidTr="0016419E">
        <w:tc>
          <w:tcPr>
            <w:tcW w:w="0" w:type="auto"/>
            <w:hideMark/>
          </w:tcPr>
          <w:p w14:paraId="25D80E01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4.5</w:t>
            </w:r>
          </w:p>
        </w:tc>
        <w:tc>
          <w:tcPr>
            <w:tcW w:w="0" w:type="auto"/>
            <w:hideMark/>
          </w:tcPr>
          <w:p w14:paraId="6C9DFAB4" w14:textId="77777777" w:rsidR="0016419E" w:rsidRDefault="0016419E">
            <w:r>
              <w:rPr>
                <w:rStyle w:val="Fett"/>
              </w:rPr>
              <w:t>Dynamische Bedeutungsfelder</w:t>
            </w:r>
          </w:p>
        </w:tc>
        <w:tc>
          <w:tcPr>
            <w:tcW w:w="0" w:type="auto"/>
            <w:hideMark/>
          </w:tcPr>
          <w:p w14:paraId="03A7AA07" w14:textId="77777777" w:rsidR="0016419E" w:rsidRDefault="0016419E">
            <w:r>
              <w:t>Frame-Semantik und kognitive Semantik</w:t>
            </w:r>
          </w:p>
        </w:tc>
        <w:tc>
          <w:tcPr>
            <w:tcW w:w="0" w:type="auto"/>
            <w:hideMark/>
          </w:tcPr>
          <w:p w14:paraId="523291E7" w14:textId="77777777" w:rsidR="0016419E" w:rsidRDefault="0016419E">
            <w:r>
              <w:t>Sehr aktiv (</w:t>
            </w:r>
            <w:proofErr w:type="spellStart"/>
            <w:r>
              <w:t>Lakoff</w:t>
            </w:r>
            <w:proofErr w:type="spellEnd"/>
            <w:r>
              <w:t xml:space="preserve">, Fillmore, </w:t>
            </w:r>
            <w:proofErr w:type="spellStart"/>
            <w:r>
              <w:t>Gärdenfors</w:t>
            </w:r>
            <w:proofErr w:type="spellEnd"/>
            <w:r>
              <w:t>); breite Anwendung in Linguistik, KI, Semiotik.</w:t>
            </w:r>
          </w:p>
        </w:tc>
        <w:tc>
          <w:tcPr>
            <w:tcW w:w="0" w:type="auto"/>
            <w:hideMark/>
          </w:tcPr>
          <w:p w14:paraId="79143011" w14:textId="77777777" w:rsidR="0016419E" w:rsidRDefault="0016419E">
            <w:proofErr w:type="spellStart"/>
            <w:r>
              <w:t>Lakoff</w:t>
            </w:r>
            <w:proofErr w:type="spellEnd"/>
            <w:r>
              <w:t xml:space="preserve"> &amp; Johnson (</w:t>
            </w:r>
            <w:proofErr w:type="gramStart"/>
            <w:r>
              <w:t>1980)[</w:t>
            </w:r>
            <w:proofErr w:type="gramEnd"/>
            <w:r>
              <w:t xml:space="preserve">30]; </w:t>
            </w:r>
            <w:proofErr w:type="spellStart"/>
            <w:r>
              <w:t>Gärdenfors</w:t>
            </w:r>
            <w:proofErr w:type="spellEnd"/>
            <w:r>
              <w:t xml:space="preserve"> (2000)[32]</w:t>
            </w:r>
          </w:p>
        </w:tc>
      </w:tr>
      <w:tr w:rsidR="0016419E" w14:paraId="0194519E" w14:textId="77777777" w:rsidTr="0016419E">
        <w:tc>
          <w:tcPr>
            <w:tcW w:w="0" w:type="auto"/>
            <w:hideMark/>
          </w:tcPr>
          <w:p w14:paraId="080F18C3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4.5</w:t>
            </w:r>
          </w:p>
        </w:tc>
        <w:tc>
          <w:tcPr>
            <w:tcW w:w="0" w:type="auto"/>
            <w:hideMark/>
          </w:tcPr>
          <w:p w14:paraId="4635B1E1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14F5D1B1" w14:textId="77777777" w:rsidR="0016419E" w:rsidRDefault="0016419E">
            <w:r>
              <w:t>Semantische Drift &amp; Diskursverschiebung</w:t>
            </w:r>
          </w:p>
        </w:tc>
        <w:tc>
          <w:tcPr>
            <w:tcW w:w="0" w:type="auto"/>
            <w:hideMark/>
          </w:tcPr>
          <w:p w14:paraId="357A3BAF" w14:textId="77777777" w:rsidR="0016419E" w:rsidRDefault="0016419E">
            <w:r>
              <w:t xml:space="preserve">Empirisch dokumentiert in Medien-, Diskurs- und Kulturforschung; konzeptionell häufig </w:t>
            </w:r>
            <w:proofErr w:type="spellStart"/>
            <w:r>
              <w:t>unformalisiert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D506DE2" w14:textId="77777777" w:rsidR="0016419E" w:rsidRDefault="0016419E">
            <w:r>
              <w:t>Geertz (</w:t>
            </w:r>
            <w:proofErr w:type="gramStart"/>
            <w:r>
              <w:t>1973)[</w:t>
            </w:r>
            <w:proofErr w:type="gramEnd"/>
            <w:r>
              <w:t xml:space="preserve">35]; </w:t>
            </w:r>
            <w:proofErr w:type="spellStart"/>
            <w:r>
              <w:t>Lakoff</w:t>
            </w:r>
            <w:proofErr w:type="spellEnd"/>
            <w:r>
              <w:t xml:space="preserve"> (2004)[42]</w:t>
            </w:r>
          </w:p>
        </w:tc>
      </w:tr>
      <w:tr w:rsidR="0016419E" w14:paraId="7C43285C" w14:textId="77777777" w:rsidTr="0016419E">
        <w:tc>
          <w:tcPr>
            <w:tcW w:w="0" w:type="auto"/>
            <w:hideMark/>
          </w:tcPr>
          <w:p w14:paraId="320BDE0F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4.6</w:t>
            </w:r>
          </w:p>
        </w:tc>
        <w:tc>
          <w:tcPr>
            <w:tcW w:w="0" w:type="auto"/>
            <w:hideMark/>
          </w:tcPr>
          <w:p w14:paraId="0C52C01E" w14:textId="77777777" w:rsidR="0016419E" w:rsidRDefault="0016419E">
            <w:r>
              <w:rPr>
                <w:rStyle w:val="Fett"/>
              </w:rPr>
              <w:t>Reflexive Transformation symbolischer Ordnung</w:t>
            </w:r>
          </w:p>
        </w:tc>
        <w:tc>
          <w:tcPr>
            <w:tcW w:w="0" w:type="auto"/>
            <w:hideMark/>
          </w:tcPr>
          <w:p w14:paraId="5DA0F5A2" w14:textId="77777777" w:rsidR="0016419E" w:rsidRDefault="0016419E">
            <w:r>
              <w:t>Diskurstheorie (Foucault, Butler)</w:t>
            </w:r>
          </w:p>
        </w:tc>
        <w:tc>
          <w:tcPr>
            <w:tcW w:w="0" w:type="auto"/>
            <w:hideMark/>
          </w:tcPr>
          <w:p w14:paraId="02FC28ED" w14:textId="77777777" w:rsidR="0016419E" w:rsidRDefault="0016419E">
            <w:r>
              <w:t>Etabliert, aber oft poststrukturalistisch; systemische Formalisierung in Modellen wie dem FRZK ist Neuland.</w:t>
            </w:r>
          </w:p>
        </w:tc>
        <w:tc>
          <w:tcPr>
            <w:tcW w:w="0" w:type="auto"/>
            <w:hideMark/>
          </w:tcPr>
          <w:p w14:paraId="1EBAB875" w14:textId="77777777" w:rsidR="0016419E" w:rsidRDefault="0016419E">
            <w:r>
              <w:t>Foucault (</w:t>
            </w:r>
            <w:proofErr w:type="gramStart"/>
            <w:r>
              <w:t>1971)[</w:t>
            </w:r>
            <w:proofErr w:type="gramEnd"/>
            <w:r>
              <w:t>37]; Butler (1997)[34]</w:t>
            </w:r>
          </w:p>
        </w:tc>
      </w:tr>
      <w:tr w:rsidR="0016419E" w14:paraId="5352296B" w14:textId="77777777" w:rsidTr="0016419E">
        <w:tc>
          <w:tcPr>
            <w:tcW w:w="0" w:type="auto"/>
            <w:hideMark/>
          </w:tcPr>
          <w:p w14:paraId="377049AF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4.6</w:t>
            </w:r>
          </w:p>
        </w:tc>
        <w:tc>
          <w:tcPr>
            <w:tcW w:w="0" w:type="auto"/>
            <w:hideMark/>
          </w:tcPr>
          <w:p w14:paraId="69C78694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2682CAF6" w14:textId="77777777" w:rsidR="0016419E" w:rsidRDefault="0016419E">
            <w:r>
              <w:t>Reframing in der Psychologie / Bildung</w:t>
            </w:r>
          </w:p>
        </w:tc>
        <w:tc>
          <w:tcPr>
            <w:tcW w:w="0" w:type="auto"/>
            <w:hideMark/>
          </w:tcPr>
          <w:p w14:paraId="02B10820" w14:textId="77777777" w:rsidR="0016419E" w:rsidRDefault="0016419E">
            <w:r>
              <w:t>Empirisch etabliert (Beck, Schön); Modellierung erfolgt selten systemformal.</w:t>
            </w:r>
          </w:p>
        </w:tc>
        <w:tc>
          <w:tcPr>
            <w:tcW w:w="0" w:type="auto"/>
            <w:hideMark/>
          </w:tcPr>
          <w:p w14:paraId="5C917569" w14:textId="77777777" w:rsidR="0016419E" w:rsidRDefault="0016419E">
            <w:r>
              <w:t>Beck (</w:t>
            </w:r>
            <w:proofErr w:type="gramStart"/>
            <w:r>
              <w:t>1976)[</w:t>
            </w:r>
            <w:proofErr w:type="gramEnd"/>
            <w:r>
              <w:t>41]; Schön (1983)</w:t>
            </w:r>
          </w:p>
        </w:tc>
      </w:tr>
      <w:tr w:rsidR="0016419E" w14:paraId="5B02E934" w14:textId="77777777" w:rsidTr="0016419E">
        <w:tc>
          <w:tcPr>
            <w:tcW w:w="0" w:type="auto"/>
            <w:hideMark/>
          </w:tcPr>
          <w:p w14:paraId="120BCA69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4.7</w:t>
            </w:r>
          </w:p>
        </w:tc>
        <w:tc>
          <w:tcPr>
            <w:tcW w:w="0" w:type="auto"/>
            <w:hideMark/>
          </w:tcPr>
          <w:p w14:paraId="6960DE22" w14:textId="77777777" w:rsidR="0016419E" w:rsidRDefault="0016419E">
            <w:r>
              <w:rPr>
                <w:rStyle w:val="Fett"/>
              </w:rPr>
              <w:t>Ko-Evolution von Semantik &amp; Kultur</w:t>
            </w:r>
          </w:p>
        </w:tc>
        <w:tc>
          <w:tcPr>
            <w:tcW w:w="0" w:type="auto"/>
            <w:hideMark/>
          </w:tcPr>
          <w:p w14:paraId="44369CD6" w14:textId="77777777" w:rsidR="0016419E" w:rsidRDefault="0016419E">
            <w:r>
              <w:t>Techniksoziologie / STS</w:t>
            </w:r>
          </w:p>
        </w:tc>
        <w:tc>
          <w:tcPr>
            <w:tcW w:w="0" w:type="auto"/>
            <w:hideMark/>
          </w:tcPr>
          <w:p w14:paraId="7E2B9973" w14:textId="77777777" w:rsidR="0016419E" w:rsidRDefault="0016419E">
            <w:r>
              <w:t xml:space="preserve">Sehr aktiv (Latour, </w:t>
            </w:r>
            <w:proofErr w:type="spellStart"/>
            <w:r>
              <w:t>Jasanoff</w:t>
            </w:r>
            <w:proofErr w:type="spellEnd"/>
            <w:r>
              <w:t>); Ko-Evolution als Konzept verbreitet, aber selten präzise formalisiert.</w:t>
            </w:r>
          </w:p>
        </w:tc>
        <w:tc>
          <w:tcPr>
            <w:tcW w:w="0" w:type="auto"/>
            <w:hideMark/>
          </w:tcPr>
          <w:p w14:paraId="69AADD91" w14:textId="77777777" w:rsidR="0016419E" w:rsidRDefault="0016419E">
            <w:r>
              <w:t xml:space="preserve">Latour (2005); </w:t>
            </w:r>
            <w:proofErr w:type="spellStart"/>
            <w:r>
              <w:t>Jasanoff</w:t>
            </w:r>
            <w:proofErr w:type="spellEnd"/>
            <w:r>
              <w:t xml:space="preserve"> (2004)</w:t>
            </w:r>
          </w:p>
        </w:tc>
      </w:tr>
      <w:tr w:rsidR="0016419E" w14:paraId="294F0262" w14:textId="77777777" w:rsidTr="0016419E">
        <w:tc>
          <w:tcPr>
            <w:tcW w:w="0" w:type="auto"/>
            <w:hideMark/>
          </w:tcPr>
          <w:p w14:paraId="19B94E74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4.7</w:t>
            </w:r>
          </w:p>
        </w:tc>
        <w:tc>
          <w:tcPr>
            <w:tcW w:w="0" w:type="auto"/>
            <w:hideMark/>
          </w:tcPr>
          <w:p w14:paraId="75037474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20978ED0" w14:textId="77777777" w:rsidR="0016419E" w:rsidRDefault="0016419E">
            <w:r>
              <w:t>Kulturelle Evolutionstheorie</w:t>
            </w:r>
          </w:p>
        </w:tc>
        <w:tc>
          <w:tcPr>
            <w:tcW w:w="0" w:type="auto"/>
            <w:hideMark/>
          </w:tcPr>
          <w:p w14:paraId="714E8106" w14:textId="77777777" w:rsidR="0016419E" w:rsidRDefault="0016419E">
            <w:r>
              <w:t>Vielfältige Modelle (</w:t>
            </w:r>
            <w:proofErr w:type="spellStart"/>
            <w:r>
              <w:t>Gabora</w:t>
            </w:r>
            <w:proofErr w:type="spellEnd"/>
            <w:r>
              <w:t xml:space="preserve">, Boyd &amp; </w:t>
            </w:r>
            <w:proofErr w:type="spellStart"/>
            <w:r>
              <w:t>Richerson</w:t>
            </w:r>
            <w:proofErr w:type="spellEnd"/>
            <w:r>
              <w:t>); hoher interdisziplinärer Forschungsstand.</w:t>
            </w:r>
          </w:p>
        </w:tc>
        <w:tc>
          <w:tcPr>
            <w:tcW w:w="0" w:type="auto"/>
            <w:hideMark/>
          </w:tcPr>
          <w:p w14:paraId="6BB8BD9C" w14:textId="77777777" w:rsidR="0016419E" w:rsidRDefault="0016419E">
            <w:proofErr w:type="spellStart"/>
            <w:r>
              <w:t>Gabora</w:t>
            </w:r>
            <w:proofErr w:type="spellEnd"/>
            <w:r>
              <w:t xml:space="preserve"> (</w:t>
            </w:r>
            <w:proofErr w:type="gramStart"/>
            <w:r>
              <w:t>2000)[</w:t>
            </w:r>
            <w:proofErr w:type="gramEnd"/>
            <w:r>
              <w:t xml:space="preserve">36]; Boyd &amp; </w:t>
            </w:r>
            <w:proofErr w:type="spellStart"/>
            <w:r>
              <w:t>Richerson</w:t>
            </w:r>
            <w:proofErr w:type="spellEnd"/>
            <w:r>
              <w:t xml:space="preserve"> (2005)</w:t>
            </w:r>
          </w:p>
        </w:tc>
      </w:tr>
      <w:tr w:rsidR="0016419E" w14:paraId="423C3295" w14:textId="77777777" w:rsidTr="0016419E">
        <w:tc>
          <w:tcPr>
            <w:tcW w:w="0" w:type="auto"/>
            <w:hideMark/>
          </w:tcPr>
          <w:p w14:paraId="571B350E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4.7</w:t>
            </w:r>
          </w:p>
        </w:tc>
        <w:tc>
          <w:tcPr>
            <w:tcW w:w="0" w:type="auto"/>
            <w:hideMark/>
          </w:tcPr>
          <w:p w14:paraId="49CF308E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2C868297" w14:textId="77777777" w:rsidR="0016419E" w:rsidRDefault="0016419E">
            <w:r>
              <w:t>Evolutionsökonomik</w:t>
            </w:r>
          </w:p>
        </w:tc>
        <w:tc>
          <w:tcPr>
            <w:tcW w:w="0" w:type="auto"/>
            <w:hideMark/>
          </w:tcPr>
          <w:p w14:paraId="3F4CADE0" w14:textId="77777777" w:rsidR="0016419E" w:rsidRDefault="0016419E">
            <w:r>
              <w:t>Etabliert (Nelson &amp; Winter); stark modellbasiert, aber meist ökonometrisch, nicht semantisch-funktional.</w:t>
            </w:r>
          </w:p>
        </w:tc>
        <w:tc>
          <w:tcPr>
            <w:tcW w:w="0" w:type="auto"/>
            <w:hideMark/>
          </w:tcPr>
          <w:p w14:paraId="7BB74E1A" w14:textId="77777777" w:rsidR="0016419E" w:rsidRDefault="0016419E">
            <w:r>
              <w:t>Nelson &amp; Winter (</w:t>
            </w:r>
            <w:proofErr w:type="gramStart"/>
            <w:r>
              <w:t>1982)[</w:t>
            </w:r>
            <w:proofErr w:type="gramEnd"/>
            <w:r>
              <w:t>46]</w:t>
            </w:r>
          </w:p>
        </w:tc>
      </w:tr>
      <w:tr w:rsidR="0016419E" w14:paraId="2BB0B858" w14:textId="77777777" w:rsidTr="0016419E">
        <w:tc>
          <w:tcPr>
            <w:tcW w:w="0" w:type="auto"/>
            <w:hideMark/>
          </w:tcPr>
          <w:p w14:paraId="1A6D50C7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4.8</w:t>
            </w:r>
          </w:p>
        </w:tc>
        <w:tc>
          <w:tcPr>
            <w:tcW w:w="0" w:type="auto"/>
            <w:hideMark/>
          </w:tcPr>
          <w:p w14:paraId="6EC0A32E" w14:textId="77777777" w:rsidR="0016419E" w:rsidRDefault="0016419E">
            <w:r>
              <w:rPr>
                <w:rStyle w:val="Fett"/>
              </w:rPr>
              <w:t>Ethik als modellinterne Strukturfrage</w:t>
            </w:r>
          </w:p>
        </w:tc>
        <w:tc>
          <w:tcPr>
            <w:tcW w:w="0" w:type="auto"/>
            <w:hideMark/>
          </w:tcPr>
          <w:p w14:paraId="6F410116" w14:textId="77777777" w:rsidR="0016419E" w:rsidRDefault="0016419E">
            <w:r>
              <w:t>Technikethik &amp; Werte-Sensitive Gestaltung</w:t>
            </w:r>
          </w:p>
        </w:tc>
        <w:tc>
          <w:tcPr>
            <w:tcW w:w="0" w:type="auto"/>
            <w:hideMark/>
          </w:tcPr>
          <w:p w14:paraId="2BD3A00E" w14:textId="77777777" w:rsidR="0016419E" w:rsidRDefault="0016419E">
            <w:r>
              <w:t>Hochaktuell; v. a. in KI-Ethik (</w:t>
            </w:r>
            <w:proofErr w:type="spellStart"/>
            <w:r>
              <w:t>Floridi</w:t>
            </w:r>
            <w:proofErr w:type="spellEnd"/>
            <w:r>
              <w:t>, B. Mittelstadt); Integrationsmodelle wie FRZK noch selten.</w:t>
            </w:r>
          </w:p>
        </w:tc>
        <w:tc>
          <w:tcPr>
            <w:tcW w:w="0" w:type="auto"/>
            <w:hideMark/>
          </w:tcPr>
          <w:p w14:paraId="70B004B0" w14:textId="77777777" w:rsidR="0016419E" w:rsidRDefault="0016419E">
            <w:proofErr w:type="spellStart"/>
            <w:r>
              <w:t>Floridi</w:t>
            </w:r>
            <w:proofErr w:type="spellEnd"/>
            <w:r>
              <w:t xml:space="preserve"> (</w:t>
            </w:r>
            <w:proofErr w:type="gramStart"/>
            <w:r>
              <w:t>2018)[</w:t>
            </w:r>
            <w:proofErr w:type="gramEnd"/>
            <w:r>
              <w:t>48]; Mittelstadt (2019)[49]</w:t>
            </w:r>
          </w:p>
        </w:tc>
      </w:tr>
      <w:tr w:rsidR="0016419E" w14:paraId="24168676" w14:textId="77777777" w:rsidTr="0016419E">
        <w:tc>
          <w:tcPr>
            <w:tcW w:w="0" w:type="auto"/>
            <w:hideMark/>
          </w:tcPr>
          <w:p w14:paraId="359CCABB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4.8</w:t>
            </w:r>
          </w:p>
        </w:tc>
        <w:tc>
          <w:tcPr>
            <w:tcW w:w="0" w:type="auto"/>
            <w:hideMark/>
          </w:tcPr>
          <w:p w14:paraId="5B1A3BB4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18714514" w14:textId="77777777" w:rsidR="0016419E" w:rsidRDefault="0016419E">
            <w:r>
              <w:t>Narrative Verantwortung</w:t>
            </w:r>
          </w:p>
        </w:tc>
        <w:tc>
          <w:tcPr>
            <w:tcW w:w="0" w:type="auto"/>
            <w:hideMark/>
          </w:tcPr>
          <w:p w14:paraId="4C73DE31" w14:textId="77777777" w:rsidR="0016419E" w:rsidRDefault="0016419E">
            <w:r>
              <w:t xml:space="preserve">Im Aufbau begriffen; konzeptuell bei </w:t>
            </w:r>
            <w:proofErr w:type="spellStart"/>
            <w:r>
              <w:t>Coeckelbergh</w:t>
            </w:r>
            <w:proofErr w:type="spellEnd"/>
            <w:r>
              <w:t xml:space="preserve"> etabliert, empirisch aber noch wenig operationalisiert.</w:t>
            </w:r>
          </w:p>
        </w:tc>
        <w:tc>
          <w:tcPr>
            <w:tcW w:w="0" w:type="auto"/>
            <w:hideMark/>
          </w:tcPr>
          <w:p w14:paraId="141FD40C" w14:textId="77777777" w:rsidR="0016419E" w:rsidRDefault="0016419E">
            <w:proofErr w:type="spellStart"/>
            <w:r>
              <w:t>Coeckelbergh</w:t>
            </w:r>
            <w:proofErr w:type="spellEnd"/>
            <w:r>
              <w:t xml:space="preserve"> (</w:t>
            </w:r>
            <w:proofErr w:type="gramStart"/>
            <w:r>
              <w:t>2021)[</w:t>
            </w:r>
            <w:proofErr w:type="gramEnd"/>
            <w:r>
              <w:t>50]</w:t>
            </w:r>
          </w:p>
        </w:tc>
      </w:tr>
      <w:tr w:rsidR="0016419E" w14:paraId="57280D8D" w14:textId="77777777" w:rsidTr="0016419E">
        <w:tc>
          <w:tcPr>
            <w:tcW w:w="0" w:type="auto"/>
            <w:hideMark/>
          </w:tcPr>
          <w:p w14:paraId="0F3115E4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4.9</w:t>
            </w:r>
          </w:p>
        </w:tc>
        <w:tc>
          <w:tcPr>
            <w:tcW w:w="0" w:type="auto"/>
            <w:hideMark/>
          </w:tcPr>
          <w:p w14:paraId="69218811" w14:textId="77777777" w:rsidR="0016419E" w:rsidRDefault="0016419E">
            <w:r>
              <w:rPr>
                <w:rStyle w:val="Fett"/>
              </w:rPr>
              <w:t>Strukturgeleitete Vorhersagefähigkeit</w:t>
            </w:r>
          </w:p>
        </w:tc>
        <w:tc>
          <w:tcPr>
            <w:tcW w:w="0" w:type="auto"/>
            <w:hideMark/>
          </w:tcPr>
          <w:p w14:paraId="466DF5E0" w14:textId="77777777" w:rsidR="0016419E" w:rsidRDefault="0016419E">
            <w:r>
              <w:t xml:space="preserve">Zukunftsforschung / </w:t>
            </w:r>
            <w:proofErr w:type="spellStart"/>
            <w:r>
              <w:t>Foresight</w:t>
            </w:r>
            <w:proofErr w:type="spellEnd"/>
          </w:p>
        </w:tc>
        <w:tc>
          <w:tcPr>
            <w:tcW w:w="0" w:type="auto"/>
            <w:hideMark/>
          </w:tcPr>
          <w:p w14:paraId="037E7C54" w14:textId="77777777" w:rsidR="0016419E" w:rsidRDefault="0016419E">
            <w:r>
              <w:t>Wachsendes Feld; systemische Ansätze zunehmend gefragt, aber oft noch datengetrieben statt strukturbasiert.</w:t>
            </w:r>
          </w:p>
        </w:tc>
        <w:tc>
          <w:tcPr>
            <w:tcW w:w="0" w:type="auto"/>
            <w:hideMark/>
          </w:tcPr>
          <w:p w14:paraId="26744FD9" w14:textId="77777777" w:rsidR="0016419E" w:rsidRDefault="0016419E">
            <w:proofErr w:type="spellStart"/>
            <w:r>
              <w:t>Ladyman</w:t>
            </w:r>
            <w:proofErr w:type="spellEnd"/>
            <w:r>
              <w:t xml:space="preserve"> (</w:t>
            </w:r>
            <w:proofErr w:type="gramStart"/>
            <w:r>
              <w:t>2007)[</w:t>
            </w:r>
            <w:proofErr w:type="gramEnd"/>
            <w:r>
              <w:t>11]; Cartwright (1999)</w:t>
            </w:r>
          </w:p>
        </w:tc>
      </w:tr>
      <w:tr w:rsidR="0016419E" w14:paraId="09FF398D" w14:textId="77777777" w:rsidTr="0016419E">
        <w:tc>
          <w:tcPr>
            <w:tcW w:w="0" w:type="auto"/>
            <w:hideMark/>
          </w:tcPr>
          <w:p w14:paraId="369CAC45" w14:textId="77777777" w:rsidR="0016419E" w:rsidRPr="0016419E" w:rsidRDefault="0016419E">
            <w:pPr>
              <w:rPr>
                <w:b/>
                <w:bCs/>
              </w:rPr>
            </w:pPr>
            <w:r w:rsidRPr="0016419E">
              <w:rPr>
                <w:rStyle w:val="Fett"/>
                <w:b w:val="0"/>
                <w:bCs w:val="0"/>
              </w:rPr>
              <w:t>4.9</w:t>
            </w:r>
          </w:p>
        </w:tc>
        <w:tc>
          <w:tcPr>
            <w:tcW w:w="0" w:type="auto"/>
            <w:hideMark/>
          </w:tcPr>
          <w:p w14:paraId="3389A8EF" w14:textId="77777777" w:rsidR="0016419E" w:rsidRDefault="0016419E">
            <w:r>
              <w:t>""</w:t>
            </w:r>
          </w:p>
        </w:tc>
        <w:tc>
          <w:tcPr>
            <w:tcW w:w="0" w:type="auto"/>
            <w:hideMark/>
          </w:tcPr>
          <w:p w14:paraId="4322B8CF" w14:textId="77777777" w:rsidR="0016419E" w:rsidRDefault="0016419E">
            <w:r>
              <w:t>Modellbasierte Wissenschaftstheorie</w:t>
            </w:r>
          </w:p>
        </w:tc>
        <w:tc>
          <w:tcPr>
            <w:tcW w:w="0" w:type="auto"/>
            <w:hideMark/>
          </w:tcPr>
          <w:p w14:paraId="2618AAD4" w14:textId="77777777" w:rsidR="0016419E" w:rsidRDefault="0016419E">
            <w:r>
              <w:t>Philosophisch aktiv (</w:t>
            </w:r>
            <w:proofErr w:type="spellStart"/>
            <w:r>
              <w:t>Ladyman</w:t>
            </w:r>
            <w:proofErr w:type="spellEnd"/>
            <w:r>
              <w:t>, Cartwright); strukturorientierte Modellierung wird gefordert, aber selten realisiert.</w:t>
            </w:r>
          </w:p>
        </w:tc>
        <w:tc>
          <w:tcPr>
            <w:tcW w:w="0" w:type="auto"/>
            <w:hideMark/>
          </w:tcPr>
          <w:p w14:paraId="1B5E4163" w14:textId="77777777" w:rsidR="0016419E" w:rsidRDefault="0016419E">
            <w:proofErr w:type="spellStart"/>
            <w:r>
              <w:t>Ladyman</w:t>
            </w:r>
            <w:proofErr w:type="spellEnd"/>
            <w:r>
              <w:t xml:space="preserve"> (</w:t>
            </w:r>
            <w:proofErr w:type="gramStart"/>
            <w:r>
              <w:t>2007)[</w:t>
            </w:r>
            <w:proofErr w:type="gramEnd"/>
            <w:r>
              <w:t>11]; Cartwright (1999)</w:t>
            </w:r>
          </w:p>
        </w:tc>
      </w:tr>
    </w:tbl>
    <w:p w14:paraId="30E48FD9" w14:textId="77777777" w:rsidR="00106528" w:rsidRPr="0016419E" w:rsidRDefault="00106528" w:rsidP="0016419E">
      <w:pPr>
        <w:rPr>
          <w:rStyle w:val="IntensiveHervorhebung"/>
          <w:i w:val="0"/>
          <w:iCs w:val="0"/>
          <w:color w:val="auto"/>
        </w:rPr>
      </w:pPr>
    </w:p>
    <w:sectPr w:rsidR="00106528" w:rsidRPr="0016419E" w:rsidSect="0016419E">
      <w:pgSz w:w="16838" w:h="11906" w:orient="landscape"/>
      <w:pgMar w:top="1417" w:right="1417" w:bottom="1417" w:left="1134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623"/>
    <w:multiLevelType w:val="multilevel"/>
    <w:tmpl w:val="8D965EFE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B291F"/>
    <w:multiLevelType w:val="multilevel"/>
    <w:tmpl w:val="6F9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9E"/>
    <w:rsid w:val="000467F2"/>
    <w:rsid w:val="00082214"/>
    <w:rsid w:val="00106528"/>
    <w:rsid w:val="00121182"/>
    <w:rsid w:val="0016419E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4B21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50CD"/>
  <w15:chartTrackingRefBased/>
  <w15:docId w15:val="{80332F61-737F-4A63-AD74-2D50EDA6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6419E"/>
    <w:rPr>
      <w:rFonts w:asciiTheme="minorHAnsi" w:eastAsia="Times New Roman" w:hAnsiTheme="minorHAnsi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5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164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608</Words>
  <Characters>3833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Anlage 4.Z - Übersichtstabelle über alle im Kapitel 4 formulierten Vorhersagen d</vt:lpstr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2025-06-29T03:02:00Z</dcterms:created>
  <dcterms:modified xsi:type="dcterms:W3CDTF">2025-06-29T07:52:00Z</dcterms:modified>
</cp:coreProperties>
</file>