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D1D04" w14:textId="5EC059C3" w:rsidR="00055626" w:rsidRDefault="00576838" w:rsidP="00576838">
      <w:pPr>
        <w:pStyle w:val="berschrift1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(1)</w:t>
      </w:r>
    </w:p>
    <w:p w14:paraId="14407CF6" w14:textId="0906AB28" w:rsidR="00576838" w:rsidRDefault="00576838" w:rsidP="00576838">
      <w:pPr>
        <w:rPr>
          <w:rStyle w:val="IntensiveHervorhebung"/>
          <w:i w:val="0"/>
          <w:iCs w:val="0"/>
          <w:color w:val="auto"/>
        </w:rPr>
      </w:pPr>
    </w:p>
    <w:p w14:paraId="386616C5" w14:textId="77777777" w:rsidR="00576838" w:rsidRDefault="00576838" w:rsidP="00576838">
      <w:pPr>
        <w:pStyle w:val="berschrift3"/>
        <w:rPr>
          <w:sz w:val="27"/>
          <w:szCs w:val="27"/>
        </w:rPr>
      </w:pPr>
      <w:r>
        <w:t>Herleitung und Anwendung der Modellgleichung</w:t>
      </w:r>
    </w:p>
    <w:p w14:paraId="3F845DEE" w14:textId="77777777" w:rsidR="00576838" w:rsidRDefault="00576838" w:rsidP="00576838">
      <w:pPr>
        <w:pStyle w:val="StandardWeb"/>
      </w:pPr>
      <w:r>
        <w:t xml:space="preserve">Das in Kapitel 3 entwickelte Fundament des FRZK beschreibt Lernprozesse als Bewegungen in einem Bedeutungsraum. Zentrale Größe ist dabei die </w:t>
      </w:r>
      <w:r>
        <w:rPr>
          <w:rStyle w:val="Fett"/>
        </w:rPr>
        <w:t>semantische Dichtefunktion</w:t>
      </w:r>
    </w:p>
    <w:p w14:paraId="54144F8C" w14:textId="77777777" w:rsidR="00576838" w:rsidRDefault="00576838" w:rsidP="00576838">
      <w:proofErr w:type="gramStart"/>
      <w:r>
        <w:rPr>
          <w:rStyle w:val="katex-mathml"/>
          <w:rFonts w:eastAsia="Calibri"/>
        </w:rPr>
        <w:t>h:R</w:t>
      </w:r>
      <w:proofErr w:type="gramEnd"/>
      <w:r>
        <w:rPr>
          <w:rStyle w:val="katex-mathml"/>
          <w:rFonts w:eastAsia="Calibri"/>
        </w:rPr>
        <w:t>3→R,h(x,y,z,t)=epistemische </w:t>
      </w:r>
      <w:proofErr w:type="spellStart"/>
      <w:r>
        <w:rPr>
          <w:rStyle w:val="katex-mathml"/>
          <w:rFonts w:eastAsia="Calibri"/>
        </w:rPr>
        <w:t>Bedeutung,h</w:t>
      </w:r>
      <w:proofErr w:type="spellEnd"/>
      <w:r>
        <w:rPr>
          <w:rStyle w:val="katex-mathml"/>
          <w:rFonts w:eastAsia="Calibri"/>
        </w:rPr>
        <w:t xml:space="preserve"> : \</w:t>
      </w:r>
      <w:proofErr w:type="spellStart"/>
      <w:r>
        <w:rPr>
          <w:rStyle w:val="katex-mathml"/>
          <w:rFonts w:eastAsia="Calibri"/>
        </w:rPr>
        <w:t>mathbb</w:t>
      </w:r>
      <w:proofErr w:type="spellEnd"/>
      <w:r>
        <w:rPr>
          <w:rStyle w:val="katex-mathml"/>
          <w:rFonts w:eastAsia="Calibri"/>
        </w:rPr>
        <w:t>{R}^3 \</w:t>
      </w:r>
      <w:proofErr w:type="spellStart"/>
      <w:r>
        <w:rPr>
          <w:rStyle w:val="katex-mathml"/>
          <w:rFonts w:eastAsia="Calibri"/>
        </w:rPr>
        <w:t>to</w:t>
      </w:r>
      <w:proofErr w:type="spellEnd"/>
      <w:r>
        <w:rPr>
          <w:rStyle w:val="katex-mathml"/>
          <w:rFonts w:eastAsia="Calibri"/>
        </w:rPr>
        <w:t xml:space="preserve"> \</w:t>
      </w:r>
      <w:proofErr w:type="spellStart"/>
      <w:r>
        <w:rPr>
          <w:rStyle w:val="katex-mathml"/>
          <w:rFonts w:eastAsia="Calibri"/>
        </w:rPr>
        <w:t>mathbb</w:t>
      </w:r>
      <w:proofErr w:type="spellEnd"/>
      <w:r>
        <w:rPr>
          <w:rStyle w:val="katex-mathml"/>
          <w:rFonts w:eastAsia="Calibri"/>
        </w:rPr>
        <w:t>{R}, \</w:t>
      </w:r>
      <w:proofErr w:type="spellStart"/>
      <w:r>
        <w:rPr>
          <w:rStyle w:val="katex-mathml"/>
          <w:rFonts w:eastAsia="Calibri"/>
        </w:rPr>
        <w:t>quad</w:t>
      </w:r>
      <w:proofErr w:type="spellEnd"/>
      <w:r>
        <w:rPr>
          <w:rStyle w:val="katex-mathml"/>
          <w:rFonts w:eastAsia="Calibri"/>
        </w:rPr>
        <w:t xml:space="preserve"> h(</w:t>
      </w:r>
      <w:proofErr w:type="spellStart"/>
      <w:r>
        <w:rPr>
          <w:rStyle w:val="katex-mathml"/>
          <w:rFonts w:eastAsia="Calibri"/>
        </w:rPr>
        <w:t>x,y,z,t</w:t>
      </w:r>
      <w:proofErr w:type="spellEnd"/>
      <w:r>
        <w:rPr>
          <w:rStyle w:val="katex-mathml"/>
          <w:rFonts w:eastAsia="Calibri"/>
        </w:rPr>
        <w:t>) = \</w:t>
      </w:r>
      <w:proofErr w:type="spellStart"/>
      <w:r>
        <w:rPr>
          <w:rStyle w:val="katex-mathml"/>
          <w:rFonts w:eastAsia="Calibri"/>
        </w:rPr>
        <w:t>text</w:t>
      </w:r>
      <w:proofErr w:type="spellEnd"/>
      <w:r>
        <w:rPr>
          <w:rStyle w:val="katex-mathml"/>
          <w:rFonts w:eastAsia="Calibri"/>
        </w:rPr>
        <w:t>{epistemische Bedeutung},</w:t>
      </w:r>
      <w:r>
        <w:rPr>
          <w:rStyle w:val="mord"/>
        </w:rPr>
        <w:t>h</w:t>
      </w:r>
      <w:r>
        <w:rPr>
          <w:rStyle w:val="mrel"/>
        </w:rPr>
        <w:t>:</w:t>
      </w:r>
      <w:r>
        <w:rPr>
          <w:rStyle w:val="mord"/>
        </w:rPr>
        <w:t>R3</w:t>
      </w:r>
      <w:r>
        <w:rPr>
          <w:rStyle w:val="mrel"/>
        </w:rPr>
        <w:t>→</w:t>
      </w:r>
      <w:r>
        <w:rPr>
          <w:rStyle w:val="mord"/>
        </w:rPr>
        <w:t>R</w:t>
      </w:r>
      <w:r>
        <w:rPr>
          <w:rStyle w:val="mpunct"/>
        </w:rPr>
        <w:t>,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epistemische Bedeutung</w:t>
      </w:r>
      <w:r>
        <w:rPr>
          <w:rStyle w:val="mpunct"/>
        </w:rPr>
        <w:t>,</w:t>
      </w:r>
      <w:r>
        <w:t xml:space="preserve"> </w:t>
      </w:r>
    </w:p>
    <w:p w14:paraId="2A3C90C4" w14:textId="77777777" w:rsidR="00576838" w:rsidRDefault="00576838" w:rsidP="00576838">
      <w:pPr>
        <w:pStyle w:val="StandardWeb"/>
      </w:pPr>
      <w:r>
        <w:t xml:space="preserve">die jedem Punkt im Raum (kognitiver Zugriff </w:t>
      </w:r>
      <w:r>
        <w:rPr>
          <w:rStyle w:val="katex-mathml"/>
          <w:rFonts w:eastAsia="Calibri"/>
        </w:rPr>
        <w:t>xx</w:t>
      </w:r>
      <w:r>
        <w:rPr>
          <w:rStyle w:val="mord"/>
        </w:rPr>
        <w:t>x</w:t>
      </w:r>
      <w:r>
        <w:t xml:space="preserve">, sozialer Kontext </w:t>
      </w:r>
      <w:proofErr w:type="spellStart"/>
      <w:r>
        <w:rPr>
          <w:rStyle w:val="katex-mathml"/>
          <w:rFonts w:eastAsia="Calibri"/>
        </w:rPr>
        <w:t>yy</w:t>
      </w:r>
      <w:r>
        <w:rPr>
          <w:rStyle w:val="mord"/>
        </w:rPr>
        <w:t>y</w:t>
      </w:r>
      <w:proofErr w:type="spellEnd"/>
      <w:r>
        <w:t xml:space="preserve">, affektive Beteiligung </w:t>
      </w:r>
      <w:proofErr w:type="spellStart"/>
      <w:r>
        <w:rPr>
          <w:rStyle w:val="katex-mathml"/>
          <w:rFonts w:eastAsia="Calibri"/>
        </w:rPr>
        <w:t>zz</w:t>
      </w:r>
      <w:r>
        <w:rPr>
          <w:rStyle w:val="mord"/>
        </w:rPr>
        <w:t>z</w:t>
      </w:r>
      <w:proofErr w:type="spellEnd"/>
      <w:r>
        <w:t>) eine Bedeutungsintensität zuordnet.</w:t>
      </w:r>
    </w:p>
    <w:p w14:paraId="708A800C" w14:textId="77777777" w:rsidR="00576838" w:rsidRDefault="00576838" w:rsidP="00576838">
      <w:pPr>
        <w:pStyle w:val="StandardWeb"/>
      </w:pPr>
      <w:r>
        <w:t xml:space="preserve">Die Richtung und Stärke der größten Bedeutungszunahme wird durch den </w:t>
      </w:r>
      <w:r>
        <w:rPr>
          <w:rStyle w:val="Fett"/>
        </w:rPr>
        <w:t>Gradienten</w:t>
      </w:r>
      <w:r>
        <w:t xml:space="preserve"> beschrieben:</w:t>
      </w:r>
    </w:p>
    <w:p w14:paraId="0C5F4C31" w14:textId="77777777" w:rsidR="00576838" w:rsidRDefault="00576838" w:rsidP="00576838">
      <w:r>
        <w:rPr>
          <w:rStyle w:val="katex-mathml"/>
          <w:rFonts w:ascii="Cambria Math" w:eastAsia="Calibri" w:hAnsi="Cambria Math" w:cs="Cambria Math"/>
        </w:rPr>
        <w:t>∇</w:t>
      </w:r>
      <w:r>
        <w:rPr>
          <w:rStyle w:val="katex-mathml"/>
          <w:rFonts w:eastAsia="Calibri"/>
        </w:rPr>
        <w:t>h(</w:t>
      </w:r>
      <w:proofErr w:type="spellStart"/>
      <w:proofErr w:type="gramStart"/>
      <w:r>
        <w:rPr>
          <w:rStyle w:val="katex-mathml"/>
          <w:rFonts w:eastAsia="Calibri"/>
        </w:rPr>
        <w:t>x,y</w:t>
      </w:r>
      <w:proofErr w:type="gramEnd"/>
      <w:r>
        <w:rPr>
          <w:rStyle w:val="katex-mathml"/>
          <w:rFonts w:eastAsia="Calibri"/>
        </w:rPr>
        <w:t>,z,t</w:t>
      </w:r>
      <w:proofErr w:type="spellEnd"/>
      <w:r>
        <w:rPr>
          <w:rStyle w:val="katex-mathml"/>
          <w:rFonts w:eastAsia="Calibri"/>
        </w:rPr>
        <w:t>)=(∂</w:t>
      </w:r>
      <w:proofErr w:type="spellStart"/>
      <w:r>
        <w:rPr>
          <w:rStyle w:val="katex-mathml"/>
          <w:rFonts w:eastAsia="Calibri"/>
        </w:rPr>
        <w:t>h∂x</w:t>
      </w:r>
      <w:proofErr w:type="spellEnd"/>
      <w:r>
        <w:rPr>
          <w:rStyle w:val="katex-mathml"/>
          <w:rFonts w:eastAsia="Calibri"/>
        </w:rPr>
        <w:t>,∂</w:t>
      </w:r>
      <w:proofErr w:type="spellStart"/>
      <w:r>
        <w:rPr>
          <w:rStyle w:val="katex-mathml"/>
          <w:rFonts w:eastAsia="Calibri"/>
        </w:rPr>
        <w:t>h∂y</w:t>
      </w:r>
      <w:proofErr w:type="spellEnd"/>
      <w:r>
        <w:rPr>
          <w:rStyle w:val="katex-mathml"/>
          <w:rFonts w:eastAsia="Calibri"/>
        </w:rPr>
        <w:t>,∂</w:t>
      </w:r>
      <w:proofErr w:type="spellStart"/>
      <w:r>
        <w:rPr>
          <w:rStyle w:val="katex-mathml"/>
          <w:rFonts w:eastAsia="Calibri"/>
        </w:rPr>
        <w:t>h∂z</w:t>
      </w:r>
      <w:proofErr w:type="spellEnd"/>
      <w:r>
        <w:rPr>
          <w:rStyle w:val="katex-mathml"/>
          <w:rFonts w:eastAsia="Calibri"/>
        </w:rPr>
        <w:t>).\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h(</w:t>
      </w:r>
      <w:proofErr w:type="spellStart"/>
      <w:r>
        <w:rPr>
          <w:rStyle w:val="katex-mathml"/>
          <w:rFonts w:eastAsia="Calibri"/>
        </w:rPr>
        <w:t>x,y,z,t</w:t>
      </w:r>
      <w:proofErr w:type="spellEnd"/>
      <w:r>
        <w:rPr>
          <w:rStyle w:val="katex-mathml"/>
          <w:rFonts w:eastAsia="Calibri"/>
        </w:rPr>
        <w:t>) = \</w:t>
      </w:r>
      <w:proofErr w:type="spellStart"/>
      <w:r>
        <w:rPr>
          <w:rStyle w:val="katex-mathml"/>
          <w:rFonts w:eastAsia="Calibri"/>
        </w:rPr>
        <w:t>left</w:t>
      </w:r>
      <w:proofErr w:type="spellEnd"/>
      <w:r>
        <w:rPr>
          <w:rStyle w:val="katex-mathml"/>
          <w:rFonts w:eastAsia="Calibri"/>
        </w:rPr>
        <w:t>( \</w:t>
      </w:r>
      <w:proofErr w:type="spellStart"/>
      <w:r>
        <w:rPr>
          <w:rStyle w:val="katex-mathml"/>
          <w:rFonts w:eastAsia="Calibri"/>
        </w:rPr>
        <w:t>frac</w:t>
      </w:r>
      <w:proofErr w:type="spellEnd"/>
      <w:r>
        <w:rPr>
          <w:rStyle w:val="katex-mathml"/>
          <w:rFonts w:eastAsia="Calibri"/>
        </w:rPr>
        <w:t>{\partial h}{\partial x}, \</w:t>
      </w:r>
      <w:proofErr w:type="spellStart"/>
      <w:r>
        <w:rPr>
          <w:rStyle w:val="katex-mathml"/>
          <w:rFonts w:eastAsia="Calibri"/>
        </w:rPr>
        <w:t>frac</w:t>
      </w:r>
      <w:proofErr w:type="spellEnd"/>
      <w:r>
        <w:rPr>
          <w:rStyle w:val="katex-mathml"/>
          <w:rFonts w:eastAsia="Calibri"/>
        </w:rPr>
        <w:t>{\partial h}{\partial y}, \</w:t>
      </w:r>
      <w:proofErr w:type="spellStart"/>
      <w:r>
        <w:rPr>
          <w:rStyle w:val="katex-mathml"/>
          <w:rFonts w:eastAsia="Calibri"/>
        </w:rPr>
        <w:t>frac</w:t>
      </w:r>
      <w:proofErr w:type="spellEnd"/>
      <w:r>
        <w:rPr>
          <w:rStyle w:val="katex-mathml"/>
          <w:rFonts w:eastAsia="Calibri"/>
        </w:rPr>
        <w:t>{\partial h}{\partial z} \</w:t>
      </w:r>
      <w:proofErr w:type="spellStart"/>
      <w:r>
        <w:rPr>
          <w:rStyle w:val="katex-mathml"/>
          <w:rFonts w:eastAsia="Calibri"/>
        </w:rPr>
        <w:t>right</w:t>
      </w:r>
      <w:proofErr w:type="spellEnd"/>
      <w:r>
        <w:rPr>
          <w:rStyle w:val="katex-mathml"/>
          <w:rFonts w:eastAsia="Calibri"/>
        </w:rPr>
        <w:t>).</w:t>
      </w:r>
      <w:r>
        <w:rPr>
          <w:rStyle w:val="mord"/>
          <w:rFonts w:ascii="Cambria Math" w:hAnsi="Cambria Math" w:cs="Cambria Math"/>
        </w:rPr>
        <w:t>∇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delimsizing"/>
        </w:rPr>
        <w:t>(</w:t>
      </w:r>
      <w:r>
        <w:rPr>
          <w:rStyle w:val="mord"/>
        </w:rPr>
        <w:t>∂</w:t>
      </w:r>
      <w:proofErr w:type="spellStart"/>
      <w:r>
        <w:rPr>
          <w:rStyle w:val="mord"/>
        </w:rPr>
        <w:t>x∂h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∂</w:t>
      </w:r>
      <w:proofErr w:type="spellStart"/>
      <w:r>
        <w:rPr>
          <w:rStyle w:val="mord"/>
        </w:rPr>
        <w:t>y∂h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∂</w:t>
      </w:r>
      <w:proofErr w:type="spellStart"/>
      <w:r>
        <w:rPr>
          <w:rStyle w:val="mord"/>
        </w:rPr>
        <w:t>z∂h</w:t>
      </w:r>
      <w:proofErr w:type="spellEnd"/>
      <w:r>
        <w:rPr>
          <w:rStyle w:val="vlist-s"/>
        </w:rPr>
        <w:t>​</w:t>
      </w:r>
      <w:r>
        <w:rPr>
          <w:rStyle w:val="delimsizing"/>
        </w:rPr>
        <w:t>)</w:t>
      </w:r>
      <w:r>
        <w:rPr>
          <w:rStyle w:val="mord"/>
        </w:rPr>
        <w:t>.</w:t>
      </w:r>
      <w:r>
        <w:t xml:space="preserve"> </w:t>
      </w:r>
    </w:p>
    <w:p w14:paraId="3EFAA2C8" w14:textId="77777777" w:rsidR="00576838" w:rsidRDefault="00576838" w:rsidP="00576838">
      <w:pPr>
        <w:pStyle w:val="StandardWeb"/>
      </w:pPr>
      <w:r>
        <w:t>Didaktisch entspricht dieser Gradient Übergängen, Methodenwechseln oder epistemischen Brüchen: dort, wo Bedeutungspeaks entstehen, erhalten Lernende Orientierung. Fehlt ein Gradient (</w:t>
      </w:r>
      <w:r>
        <w:rPr>
          <w:rStyle w:val="katex-mathml"/>
          <w:rFonts w:ascii="Cambria Math" w:eastAsia="Calibri" w:hAnsi="Cambria Math" w:cs="Cambria Math"/>
        </w:rPr>
        <w:t>∇</w:t>
      </w:r>
      <w:r>
        <w:rPr>
          <w:rStyle w:val="katex-mathml"/>
          <w:rFonts w:eastAsia="Calibri"/>
        </w:rPr>
        <w:t>h≈0\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 \</w:t>
      </w:r>
      <w:proofErr w:type="spellStart"/>
      <w:r>
        <w:rPr>
          <w:rStyle w:val="katex-mathml"/>
          <w:rFonts w:eastAsia="Calibri"/>
        </w:rPr>
        <w:t>approx</w:t>
      </w:r>
      <w:proofErr w:type="spellEnd"/>
      <w:r>
        <w:rPr>
          <w:rStyle w:val="katex-mathml"/>
          <w:rFonts w:eastAsia="Calibri"/>
        </w:rPr>
        <w:t xml:space="preserve"> 0</w:t>
      </w:r>
      <w:r>
        <w:rPr>
          <w:rStyle w:val="mord"/>
          <w:rFonts w:ascii="Cambria Math" w:hAnsi="Cambria Math" w:cs="Cambria Math"/>
        </w:rPr>
        <w:t>∇</w:t>
      </w:r>
      <w:r>
        <w:rPr>
          <w:rStyle w:val="mord"/>
        </w:rPr>
        <w:t>h</w:t>
      </w:r>
      <w:r>
        <w:rPr>
          <w:rStyle w:val="mrel"/>
        </w:rPr>
        <w:t>≈</w:t>
      </w:r>
      <w:r>
        <w:rPr>
          <w:rStyle w:val="mord"/>
        </w:rPr>
        <w:t>0</w:t>
      </w:r>
      <w:r>
        <w:t>), wirkt der Raum flach – die Gefahr von Orientierungsverlust steigt.</w:t>
      </w:r>
    </w:p>
    <w:p w14:paraId="3043A83A" w14:textId="77777777" w:rsidR="00576838" w:rsidRDefault="00576838" w:rsidP="00576838">
      <w:pPr>
        <w:pStyle w:val="StandardWeb"/>
      </w:pPr>
      <w:r>
        <w:t>Um Orientierungsverlust quantitativ zu erfassen, wird der Gradient auf den maximal möglichen Wert normiert. Das daraus abgeleitete Maß lautet:</w:t>
      </w:r>
    </w:p>
    <w:p w14:paraId="2E997D2E" w14:textId="77777777" w:rsidR="00576838" w:rsidRDefault="00576838" w:rsidP="00576838">
      <w:r>
        <w:rPr>
          <w:rStyle w:val="katex-mathml"/>
          <w:rFonts w:eastAsia="Calibri"/>
        </w:rPr>
        <w:t>O(t)=1−</w:t>
      </w:r>
      <w:r>
        <w:rPr>
          <w:rStyle w:val="katex-mathml"/>
          <w:rFonts w:ascii="Cambria Math" w:eastAsia="Calibri" w:hAnsi="Cambria Math" w:cs="Cambria Math"/>
        </w:rPr>
        <w:t>∣∇</w:t>
      </w:r>
      <w:r>
        <w:rPr>
          <w:rStyle w:val="katex-mathml"/>
          <w:rFonts w:eastAsia="Calibri"/>
        </w:rPr>
        <w:t>h(</w:t>
      </w:r>
      <w:proofErr w:type="spellStart"/>
      <w:proofErr w:type="gramStart"/>
      <w:r>
        <w:rPr>
          <w:rStyle w:val="katex-mathml"/>
          <w:rFonts w:eastAsia="Calibri"/>
        </w:rPr>
        <w:t>x,y</w:t>
      </w:r>
      <w:proofErr w:type="gramEnd"/>
      <w:r>
        <w:rPr>
          <w:rStyle w:val="katex-mathml"/>
          <w:rFonts w:eastAsia="Calibri"/>
        </w:rPr>
        <w:t>,z,t</w:t>
      </w:r>
      <w:proofErr w:type="spellEnd"/>
      <w:r>
        <w:rPr>
          <w:rStyle w:val="katex-mathml"/>
          <w:rFonts w:eastAsia="Calibri"/>
        </w:rPr>
        <w:t>)</w:t>
      </w:r>
      <w:r>
        <w:rPr>
          <w:rStyle w:val="katex-mathml"/>
          <w:rFonts w:ascii="Cambria Math" w:eastAsia="Calibri" w:hAnsi="Cambria Math" w:cs="Cambria Math"/>
        </w:rPr>
        <w:t>∣</w:t>
      </w:r>
      <w:proofErr w:type="spellStart"/>
      <w:r>
        <w:rPr>
          <w:rStyle w:val="katex-mathml"/>
          <w:rFonts w:eastAsia="Calibri"/>
        </w:rPr>
        <w:t>max</w:t>
      </w:r>
      <w:proofErr w:type="spellEnd"/>
      <w:r>
        <w:rPr>
          <w:rStyle w:val="katex-mathml"/>
          <w:rFonts w:eastAsia="Calibri"/>
        </w:rPr>
        <w:t>⁡(</w:t>
      </w:r>
      <w:r>
        <w:rPr>
          <w:rStyle w:val="katex-mathml"/>
          <w:rFonts w:ascii="Cambria Math" w:eastAsia="Calibri" w:hAnsi="Cambria Math" w:cs="Cambria Math"/>
        </w:rPr>
        <w:t>∣∇</w:t>
      </w:r>
      <w:r>
        <w:rPr>
          <w:rStyle w:val="katex-mathml"/>
          <w:rFonts w:eastAsia="Calibri"/>
        </w:rPr>
        <w:t>h</w:t>
      </w:r>
      <w:r>
        <w:rPr>
          <w:rStyle w:val="katex-mathml"/>
          <w:rFonts w:ascii="Cambria Math" w:eastAsia="Calibri" w:hAnsi="Cambria Math" w:cs="Cambria Math"/>
        </w:rPr>
        <w:t>∣</w:t>
      </w:r>
      <w:r>
        <w:rPr>
          <w:rStyle w:val="katex-mathml"/>
          <w:rFonts w:eastAsia="Calibri"/>
        </w:rPr>
        <w:t>)(1)O(t) = 1 - \</w:t>
      </w:r>
      <w:proofErr w:type="spellStart"/>
      <w:r>
        <w:rPr>
          <w:rStyle w:val="katex-mathml"/>
          <w:rFonts w:eastAsia="Calibri"/>
        </w:rPr>
        <w:t>frac</w:t>
      </w:r>
      <w:proofErr w:type="spellEnd"/>
      <w:r>
        <w:rPr>
          <w:rStyle w:val="katex-mathml"/>
          <w:rFonts w:eastAsia="Calibri"/>
        </w:rPr>
        <w:t>{|\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h(</w:t>
      </w:r>
      <w:proofErr w:type="spellStart"/>
      <w:r>
        <w:rPr>
          <w:rStyle w:val="katex-mathml"/>
          <w:rFonts w:eastAsia="Calibri"/>
        </w:rPr>
        <w:t>x,y,z,t</w:t>
      </w:r>
      <w:proofErr w:type="spellEnd"/>
      <w:r>
        <w:rPr>
          <w:rStyle w:val="katex-mathml"/>
          <w:rFonts w:eastAsia="Calibri"/>
        </w:rPr>
        <w:t>)|}{\</w:t>
      </w:r>
      <w:proofErr w:type="spellStart"/>
      <w:r>
        <w:rPr>
          <w:rStyle w:val="katex-mathml"/>
          <w:rFonts w:eastAsia="Calibri"/>
        </w:rPr>
        <w:t>max</w:t>
      </w:r>
      <w:proofErr w:type="spellEnd"/>
      <w:r>
        <w:rPr>
          <w:rStyle w:val="katex-mathml"/>
          <w:rFonts w:eastAsia="Calibri"/>
        </w:rPr>
        <w:t>(|\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h|)} \tag{1}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"/>
        </w:rPr>
        <w:t>max</w:t>
      </w:r>
      <w:r>
        <w:rPr>
          <w:rStyle w:val="mopen"/>
        </w:rPr>
        <w:t>(</w:t>
      </w:r>
      <w:r>
        <w:rPr>
          <w:rStyle w:val="mord"/>
          <w:rFonts w:ascii="Cambria Math" w:hAnsi="Cambria Math" w:cs="Cambria Math"/>
        </w:rPr>
        <w:t>∣∇</w:t>
      </w:r>
      <w:r>
        <w:rPr>
          <w:rStyle w:val="mord"/>
        </w:rPr>
        <w:t>h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close"/>
        </w:rPr>
        <w:t>)</w:t>
      </w:r>
      <w:r>
        <w:rPr>
          <w:rStyle w:val="mord"/>
          <w:rFonts w:ascii="Cambria Math" w:hAnsi="Cambria Math" w:cs="Cambria Math"/>
        </w:rPr>
        <w:t>∣∇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</w:rPr>
        <w:t>​</w:t>
      </w:r>
      <w:r>
        <w:rPr>
          <w:rStyle w:val="mord"/>
        </w:rPr>
        <w:t>(1)</w:t>
      </w:r>
      <w:r>
        <w:t xml:space="preserve"> </w:t>
      </w:r>
    </w:p>
    <w:p w14:paraId="51642BD2" w14:textId="77777777" w:rsidR="00576838" w:rsidRDefault="00576838" w:rsidP="00576838">
      <w:pPr>
        <w:pStyle w:val="StandardWeb"/>
        <w:numPr>
          <w:ilvl w:val="0"/>
          <w:numId w:val="49"/>
        </w:numPr>
      </w:pPr>
      <w:r>
        <w:rPr>
          <w:rStyle w:val="katex-mathml"/>
          <w:rFonts w:eastAsia="Calibri"/>
        </w:rPr>
        <w:t>O(t)O(t)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>: Orientierungsverlust, skaliert zwischen 0 (klare Orientierung) und 1 (maximaler Verlust).</w:t>
      </w:r>
    </w:p>
    <w:p w14:paraId="0AF1F687" w14:textId="77777777" w:rsidR="00576838" w:rsidRDefault="00576838" w:rsidP="00576838">
      <w:pPr>
        <w:pStyle w:val="StandardWeb"/>
        <w:numPr>
          <w:ilvl w:val="0"/>
          <w:numId w:val="49"/>
        </w:numPr>
      </w:pPr>
      <w:r>
        <w:rPr>
          <w:rStyle w:val="katex-mathml"/>
          <w:rFonts w:ascii="Cambria Math" w:eastAsia="Calibri" w:hAnsi="Cambria Math" w:cs="Cambria Math"/>
        </w:rPr>
        <w:t>∣∇</w:t>
      </w:r>
      <w:r>
        <w:rPr>
          <w:rStyle w:val="katex-mathml"/>
          <w:rFonts w:eastAsia="Calibri"/>
        </w:rPr>
        <w:t>h</w:t>
      </w:r>
      <w:r>
        <w:rPr>
          <w:rStyle w:val="katex-mathml"/>
          <w:rFonts w:ascii="Cambria Math" w:eastAsia="Calibri" w:hAnsi="Cambria Math" w:cs="Cambria Math"/>
        </w:rPr>
        <w:t>∣</w:t>
      </w:r>
      <w:r>
        <w:rPr>
          <w:rStyle w:val="katex-mathml"/>
          <w:rFonts w:eastAsia="Calibri"/>
        </w:rPr>
        <w:t>|\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h|</w:t>
      </w:r>
      <w:r>
        <w:rPr>
          <w:rStyle w:val="mord"/>
          <w:rFonts w:ascii="Cambria Math" w:hAnsi="Cambria Math" w:cs="Cambria Math"/>
        </w:rPr>
        <w:t>∣∇</w:t>
      </w:r>
      <w:r>
        <w:rPr>
          <w:rStyle w:val="mord"/>
        </w:rPr>
        <w:t>h</w:t>
      </w:r>
      <w:r>
        <w:rPr>
          <w:rStyle w:val="mord"/>
          <w:rFonts w:ascii="Cambria Math" w:hAnsi="Cambria Math" w:cs="Cambria Math"/>
        </w:rPr>
        <w:t>∣</w:t>
      </w:r>
      <w:r>
        <w:t>: Stärke des Bedeutungsgradienten am betrachteten Punkt.</w:t>
      </w:r>
    </w:p>
    <w:p w14:paraId="7F8B4758" w14:textId="77777777" w:rsidR="00576838" w:rsidRDefault="00576838" w:rsidP="00576838">
      <w:pPr>
        <w:pStyle w:val="StandardWeb"/>
        <w:numPr>
          <w:ilvl w:val="0"/>
          <w:numId w:val="49"/>
        </w:numPr>
      </w:pPr>
      <w:proofErr w:type="spellStart"/>
      <w:r>
        <w:rPr>
          <w:rStyle w:val="katex-mathml"/>
          <w:rFonts w:eastAsia="Calibri"/>
        </w:rPr>
        <w:t>max</w:t>
      </w:r>
      <w:proofErr w:type="spellEnd"/>
      <w:r>
        <w:rPr>
          <w:rStyle w:val="katex-mathml"/>
          <w:rFonts w:eastAsia="Calibri"/>
        </w:rPr>
        <w:t>⁡(</w:t>
      </w:r>
      <w:r>
        <w:rPr>
          <w:rStyle w:val="katex-mathml"/>
          <w:rFonts w:ascii="Cambria Math" w:eastAsia="Calibri" w:hAnsi="Cambria Math" w:cs="Cambria Math"/>
        </w:rPr>
        <w:t>∣∇</w:t>
      </w:r>
      <w:r>
        <w:rPr>
          <w:rStyle w:val="katex-mathml"/>
          <w:rFonts w:eastAsia="Calibri"/>
        </w:rPr>
        <w:t>h</w:t>
      </w:r>
      <w:proofErr w:type="gramStart"/>
      <w:r>
        <w:rPr>
          <w:rStyle w:val="katex-mathml"/>
          <w:rFonts w:ascii="Cambria Math" w:eastAsia="Calibri" w:hAnsi="Cambria Math" w:cs="Cambria Math"/>
        </w:rPr>
        <w:t>∣</w:t>
      </w:r>
      <w:r>
        <w:rPr>
          <w:rStyle w:val="katex-mathml"/>
          <w:rFonts w:eastAsia="Calibri"/>
        </w:rPr>
        <w:t>)\</w:t>
      </w:r>
      <w:proofErr w:type="spellStart"/>
      <w:proofErr w:type="gramEnd"/>
      <w:r>
        <w:rPr>
          <w:rStyle w:val="katex-mathml"/>
          <w:rFonts w:eastAsia="Calibri"/>
        </w:rPr>
        <w:t>max</w:t>
      </w:r>
      <w:proofErr w:type="spellEnd"/>
      <w:r>
        <w:rPr>
          <w:rStyle w:val="katex-mathml"/>
          <w:rFonts w:eastAsia="Calibri"/>
        </w:rPr>
        <w:t>(|\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h|)</w:t>
      </w:r>
      <w:proofErr w:type="spellStart"/>
      <w:r>
        <w:rPr>
          <w:rStyle w:val="mop"/>
        </w:rPr>
        <w:t>max</w:t>
      </w:r>
      <w:proofErr w:type="spellEnd"/>
      <w:r>
        <w:rPr>
          <w:rStyle w:val="mopen"/>
        </w:rPr>
        <w:t>(</w:t>
      </w:r>
      <w:r>
        <w:rPr>
          <w:rStyle w:val="mord"/>
          <w:rFonts w:ascii="Cambria Math" w:hAnsi="Cambria Math" w:cs="Cambria Math"/>
        </w:rPr>
        <w:t>∣∇</w:t>
      </w:r>
      <w:r>
        <w:rPr>
          <w:rStyle w:val="mord"/>
        </w:rPr>
        <w:t>h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close"/>
        </w:rPr>
        <w:t>)</w:t>
      </w:r>
      <w:r>
        <w:t>: Normierung auf den höchsten im Raum auftretenden Gradient.</w:t>
      </w:r>
    </w:p>
    <w:p w14:paraId="1D3D04EA" w14:textId="77777777" w:rsidR="00576838" w:rsidRDefault="00576838" w:rsidP="00576838">
      <w:pPr>
        <w:pStyle w:val="StandardWeb"/>
      </w:pPr>
      <w:r>
        <w:t xml:space="preserve">Die Modellgleichung (1) ist damit eine komplementäre Erweiterung zu den in Kapitel 3 entwickelten Hub-Modellen: Während dort Orientierung durch Nähe zu epistemischen Zentren (Hubs) beschrieben wird, operationalisiert (1) die </w:t>
      </w:r>
      <w:r>
        <w:rPr>
          <w:rStyle w:val="Fett"/>
        </w:rPr>
        <w:t>Dynamik der Bedeutungszunahme</w:t>
      </w:r>
      <w:r>
        <w:t xml:space="preserve"> als didaktisches Maß für Orientierung.</w:t>
      </w:r>
    </w:p>
    <w:p w14:paraId="48F247EB" w14:textId="77777777" w:rsidR="00576838" w:rsidRDefault="00576838" w:rsidP="00576838">
      <w:r>
        <w:pict w14:anchorId="352ACE0F">
          <v:rect id="_x0000_i1092" style="width:0;height:1.5pt" o:hralign="center" o:hrstd="t" o:hr="t" fillcolor="#a0a0a0" stroked="f"/>
        </w:pict>
      </w:r>
    </w:p>
    <w:p w14:paraId="11BDE415" w14:textId="77777777" w:rsidR="00576838" w:rsidRDefault="00576838" w:rsidP="00576838">
      <w:pPr>
        <w:pStyle w:val="berschrift3"/>
      </w:pPr>
      <w:r>
        <w:t>Anwendungsbeispiel: Projektbasierter Unterricht</w:t>
      </w:r>
    </w:p>
    <w:p w14:paraId="3CE3A7B6" w14:textId="77777777" w:rsidR="00576838" w:rsidRDefault="00576838" w:rsidP="00576838">
      <w:pPr>
        <w:pStyle w:val="StandardWeb"/>
      </w:pPr>
      <w:r>
        <w:t>Zur Veranschaulichung wurde ein Unterrichtsprojekt „Nachhaltige Stadt“ in einer 10. Klasse simuliert. Jede Phase des Projekts (Recherche, Gruppenarbeit, Präsentation) wurde in einer Bedeutungslandschaft modelliert (vgl. Abb. 2 – Strukturierte semantische Dichte).</w:t>
      </w:r>
    </w:p>
    <w:p w14:paraId="04A5BFCC" w14:textId="77777777" w:rsidR="00576838" w:rsidRDefault="00576838" w:rsidP="00576838">
      <w:pPr>
        <w:pStyle w:val="StandardWeb"/>
        <w:numPr>
          <w:ilvl w:val="0"/>
          <w:numId w:val="50"/>
        </w:numPr>
      </w:pPr>
      <w:r>
        <w:rPr>
          <w:rStyle w:val="Fett"/>
        </w:rPr>
        <w:lastRenderedPageBreak/>
        <w:t>Recherchephase:</w:t>
      </w:r>
      <w:r>
        <w:t xml:space="preserve"> </w:t>
      </w:r>
      <w:r>
        <w:rPr>
          <w:rStyle w:val="katex-mathml"/>
          <w:rFonts w:ascii="Cambria Math" w:eastAsia="Calibri" w:hAnsi="Cambria Math" w:cs="Cambria Math"/>
        </w:rPr>
        <w:t>∇</w:t>
      </w:r>
      <w:r>
        <w:rPr>
          <w:rStyle w:val="katex-mathml"/>
          <w:rFonts w:eastAsia="Calibri"/>
        </w:rPr>
        <w:t>h≈0\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 \</w:t>
      </w:r>
      <w:proofErr w:type="spellStart"/>
      <w:r>
        <w:rPr>
          <w:rStyle w:val="katex-mathml"/>
          <w:rFonts w:eastAsia="Calibri"/>
        </w:rPr>
        <w:t>approx</w:t>
      </w:r>
      <w:proofErr w:type="spellEnd"/>
      <w:r>
        <w:rPr>
          <w:rStyle w:val="katex-mathml"/>
          <w:rFonts w:eastAsia="Calibri"/>
        </w:rPr>
        <w:t xml:space="preserve"> 0</w:t>
      </w:r>
      <w:r>
        <w:rPr>
          <w:rStyle w:val="mord"/>
          <w:rFonts w:ascii="Cambria Math" w:hAnsi="Cambria Math" w:cs="Cambria Math"/>
        </w:rPr>
        <w:t>∇</w:t>
      </w:r>
      <w:r>
        <w:rPr>
          <w:rStyle w:val="mord"/>
        </w:rPr>
        <w:t>h</w:t>
      </w:r>
      <w:r>
        <w:rPr>
          <w:rStyle w:val="mrel"/>
        </w:rPr>
        <w:t>≈</w:t>
      </w:r>
      <w:r>
        <w:rPr>
          <w:rStyle w:val="mord"/>
        </w:rPr>
        <w:t>0</w:t>
      </w:r>
      <w:r>
        <w:t xml:space="preserve"> → </w:t>
      </w:r>
      <w:r>
        <w:rPr>
          <w:rStyle w:val="katex-mathml"/>
          <w:rFonts w:eastAsia="Calibri"/>
        </w:rPr>
        <w:t>O(t)≈1O(t) \</w:t>
      </w:r>
      <w:proofErr w:type="spellStart"/>
      <w:r>
        <w:rPr>
          <w:rStyle w:val="katex-mathml"/>
          <w:rFonts w:eastAsia="Calibri"/>
        </w:rPr>
        <w:t>approx</w:t>
      </w:r>
      <w:proofErr w:type="spellEnd"/>
      <w:r>
        <w:rPr>
          <w:rStyle w:val="katex-mathml"/>
          <w:rFonts w:eastAsia="Calibri"/>
        </w:rPr>
        <w:t xml:space="preserve"> 1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≈</w:t>
      </w:r>
      <w:r>
        <w:rPr>
          <w:rStyle w:val="mord"/>
        </w:rPr>
        <w:t>1</w:t>
      </w:r>
      <w:r>
        <w:t>. Lernende fragen: „Wo geht es hierhin?“ – hoher Orientierungsverlust.</w:t>
      </w:r>
    </w:p>
    <w:p w14:paraId="65BB9DF1" w14:textId="77777777" w:rsidR="00576838" w:rsidRDefault="00576838" w:rsidP="00576838">
      <w:pPr>
        <w:pStyle w:val="StandardWeb"/>
        <w:numPr>
          <w:ilvl w:val="0"/>
          <w:numId w:val="50"/>
        </w:numPr>
      </w:pPr>
      <w:r>
        <w:rPr>
          <w:rStyle w:val="Fett"/>
        </w:rPr>
        <w:t>Gruppenarbeit mit Zwischenergebnissen:</w:t>
      </w:r>
      <w:r>
        <w:t xml:space="preserve"> </w:t>
      </w:r>
      <w:r>
        <w:rPr>
          <w:rStyle w:val="katex-mathml"/>
          <w:rFonts w:ascii="Cambria Math" w:eastAsia="Calibri" w:hAnsi="Cambria Math" w:cs="Cambria Math"/>
        </w:rPr>
        <w:t>∣∇</w:t>
      </w:r>
      <w:r>
        <w:rPr>
          <w:rStyle w:val="katex-mathml"/>
          <w:rFonts w:eastAsia="Calibri"/>
        </w:rPr>
        <w:t>h</w:t>
      </w:r>
      <w:r>
        <w:rPr>
          <w:rStyle w:val="katex-mathml"/>
          <w:rFonts w:ascii="Cambria Math" w:eastAsia="Calibri" w:hAnsi="Cambria Math" w:cs="Cambria Math"/>
        </w:rPr>
        <w:t>∣</w:t>
      </w:r>
      <w:r>
        <w:rPr>
          <w:rStyle w:val="katex-mathml"/>
          <w:rFonts w:eastAsia="Calibri"/>
        </w:rPr>
        <w:t>|\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h|</w:t>
      </w:r>
      <w:r>
        <w:rPr>
          <w:rStyle w:val="mord"/>
          <w:rFonts w:ascii="Cambria Math" w:hAnsi="Cambria Math" w:cs="Cambria Math"/>
        </w:rPr>
        <w:t>∣∇</w:t>
      </w:r>
      <w:r>
        <w:rPr>
          <w:rStyle w:val="mord"/>
        </w:rPr>
        <w:t>h</w:t>
      </w:r>
      <w:r>
        <w:rPr>
          <w:rStyle w:val="mord"/>
          <w:rFonts w:ascii="Cambria Math" w:hAnsi="Cambria Math" w:cs="Cambria Math"/>
        </w:rPr>
        <w:t>∣</w:t>
      </w:r>
      <w:r>
        <w:t xml:space="preserve"> steigt → </w:t>
      </w:r>
      <w:r>
        <w:rPr>
          <w:rStyle w:val="katex-mathml"/>
          <w:rFonts w:eastAsia="Calibri"/>
        </w:rPr>
        <w:t>O(t)O(t)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sinkt. Orientierung wird durch Zwischenziele (Hubs) hergestellt.</w:t>
      </w:r>
    </w:p>
    <w:p w14:paraId="69A72687" w14:textId="77777777" w:rsidR="00576838" w:rsidRDefault="00576838" w:rsidP="00576838">
      <w:pPr>
        <w:pStyle w:val="StandardWeb"/>
        <w:numPr>
          <w:ilvl w:val="0"/>
          <w:numId w:val="50"/>
        </w:numPr>
      </w:pPr>
      <w:r>
        <w:rPr>
          <w:rStyle w:val="Fett"/>
        </w:rPr>
        <w:t>Abschlusspräsentation:</w:t>
      </w:r>
      <w:r>
        <w:t xml:space="preserve"> starke Verdichtung, </w:t>
      </w:r>
      <w:r>
        <w:rPr>
          <w:rStyle w:val="katex-mathml"/>
          <w:rFonts w:ascii="Cambria Math" w:eastAsia="Calibri" w:hAnsi="Cambria Math" w:cs="Cambria Math"/>
        </w:rPr>
        <w:t>∣∇</w:t>
      </w:r>
      <w:r>
        <w:rPr>
          <w:rStyle w:val="katex-mathml"/>
          <w:rFonts w:eastAsia="Calibri"/>
        </w:rPr>
        <w:t>h</w:t>
      </w:r>
      <w:r>
        <w:rPr>
          <w:rStyle w:val="katex-mathml"/>
          <w:rFonts w:ascii="Cambria Math" w:eastAsia="Calibri" w:hAnsi="Cambria Math" w:cs="Cambria Math"/>
        </w:rPr>
        <w:t>∣</w:t>
      </w:r>
      <w:r>
        <w:rPr>
          <w:rStyle w:val="katex-mathml"/>
          <w:rFonts w:eastAsia="Calibri"/>
        </w:rPr>
        <w:t>|\</w:t>
      </w:r>
      <w:proofErr w:type="spellStart"/>
      <w:r>
        <w:rPr>
          <w:rStyle w:val="katex-mathml"/>
          <w:rFonts w:eastAsia="Calibri"/>
        </w:rPr>
        <w:t>nabla</w:t>
      </w:r>
      <w:proofErr w:type="spellEnd"/>
      <w:r>
        <w:rPr>
          <w:rStyle w:val="katex-mathml"/>
          <w:rFonts w:eastAsia="Calibri"/>
        </w:rPr>
        <w:t xml:space="preserve"> h|</w:t>
      </w:r>
      <w:r>
        <w:rPr>
          <w:rStyle w:val="mord"/>
          <w:rFonts w:ascii="Cambria Math" w:hAnsi="Cambria Math" w:cs="Cambria Math"/>
        </w:rPr>
        <w:t>∣∇</w:t>
      </w:r>
      <w:r>
        <w:rPr>
          <w:rStyle w:val="mord"/>
        </w:rPr>
        <w:t>h</w:t>
      </w:r>
      <w:r>
        <w:rPr>
          <w:rStyle w:val="mord"/>
          <w:rFonts w:ascii="Cambria Math" w:hAnsi="Cambria Math" w:cs="Cambria Math"/>
        </w:rPr>
        <w:t>∣</w:t>
      </w:r>
      <w:r>
        <w:t xml:space="preserve"> maximal → </w:t>
      </w:r>
      <w:r>
        <w:rPr>
          <w:rStyle w:val="katex-mathml"/>
          <w:rFonts w:eastAsia="Calibri"/>
        </w:rPr>
        <w:t>O(t)≈0O(t) \</w:t>
      </w:r>
      <w:proofErr w:type="spellStart"/>
      <w:r>
        <w:rPr>
          <w:rStyle w:val="katex-mathml"/>
          <w:rFonts w:eastAsia="Calibri"/>
        </w:rPr>
        <w:t>approx</w:t>
      </w:r>
      <w:proofErr w:type="spellEnd"/>
      <w:r>
        <w:rPr>
          <w:rStyle w:val="katex-mathml"/>
          <w:rFonts w:eastAsia="Calibri"/>
        </w:rPr>
        <w:t xml:space="preserve"> 0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≈</w:t>
      </w:r>
      <w:r>
        <w:rPr>
          <w:rStyle w:val="mord"/>
        </w:rPr>
        <w:t>0</w:t>
      </w:r>
      <w:r>
        <w:t>. Orientierung ist gesichert.</w:t>
      </w:r>
    </w:p>
    <w:p w14:paraId="4C7DEC2C" w14:textId="77777777" w:rsidR="00576838" w:rsidRDefault="00576838" w:rsidP="00576838">
      <w:pPr>
        <w:pStyle w:val="StandardWeb"/>
      </w:pPr>
      <w:r>
        <w:t xml:space="preserve">Damit wird deutlich: </w:t>
      </w:r>
      <w:r>
        <w:rPr>
          <w:rStyle w:val="Fett"/>
        </w:rPr>
        <w:t>Orientierungsverlust ist kein individuelles Defizit, sondern eine systemische Folge einer flachen Bedeutungslandschaft.</w:t>
      </w:r>
      <w:r>
        <w:t xml:space="preserve"> Lehrpersonen können ihn durch das Setzen </w:t>
      </w:r>
      <w:proofErr w:type="gramStart"/>
      <w:r>
        <w:t>epistemischer Hubs</w:t>
      </w:r>
      <w:proofErr w:type="gramEnd"/>
      <w:r>
        <w:t xml:space="preserve"> (z. B. moderierte Reflexionsphasen, Feedbackschleifen, gezielte Aufgabenstellungen) steuern und reduzieren.</w:t>
      </w:r>
    </w:p>
    <w:p w14:paraId="15DA39BD" w14:textId="77777777" w:rsidR="00576838" w:rsidRDefault="00576838" w:rsidP="00576838">
      <w:r>
        <w:pict w14:anchorId="462FF20F">
          <v:rect id="_x0000_i1093" style="width:0;height:1.5pt" o:hralign="center" o:hrstd="t" o:hr="t" fillcolor="#a0a0a0" stroked="f"/>
        </w:pict>
      </w:r>
    </w:p>
    <w:p w14:paraId="6FE5D4C2" w14:textId="77777777" w:rsidR="00576838" w:rsidRDefault="00576838" w:rsidP="00576838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So fügt sich Gleichung (1) nahtlos in den systemischen Rahmen des FRZK: Sie verbindet die theoretische Herleitung aus Kapitel 3 mit einer praxisnahen Diagnose- und Planungsperspektive für offene Lernsettings.</w:t>
      </w:r>
    </w:p>
    <w:p w14:paraId="5FE0E370" w14:textId="55B9C207" w:rsidR="00576838" w:rsidRDefault="00576838" w:rsidP="00576838">
      <w:pPr>
        <w:pStyle w:val="berschrift1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(2)</w:t>
      </w:r>
    </w:p>
    <w:p w14:paraId="525571EA" w14:textId="33000303" w:rsidR="00576838" w:rsidRDefault="00576838" w:rsidP="00576838">
      <w:pPr>
        <w:rPr>
          <w:rStyle w:val="IntensiveHervorhebung"/>
          <w:i w:val="0"/>
          <w:iCs w:val="0"/>
          <w:color w:val="auto"/>
        </w:rPr>
      </w:pPr>
    </w:p>
    <w:p w14:paraId="22805E3D" w14:textId="77777777" w:rsidR="00576838" w:rsidRPr="00576838" w:rsidRDefault="00576838" w:rsidP="00576838">
      <w:pPr>
        <w:rPr>
          <w:rStyle w:val="IntensiveHervorhebung"/>
          <w:i w:val="0"/>
          <w:iCs w:val="0"/>
          <w:color w:val="auto"/>
        </w:rPr>
      </w:pPr>
    </w:p>
    <w:sectPr w:rsidR="00576838" w:rsidRPr="00576838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40" style="width:0;height:1.5pt" o:hralign="center" o:bullet="t" o:hrstd="t" o:hr="t" fillcolor="#a0a0a0" stroked="f"/>
    </w:pict>
  </w:numPicBullet>
  <w:abstractNum w:abstractNumId="0" w15:restartNumberingAfterBreak="0">
    <w:nsid w:val="00877AB2"/>
    <w:multiLevelType w:val="multilevel"/>
    <w:tmpl w:val="BBD09AFA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1B23E54"/>
    <w:multiLevelType w:val="multilevel"/>
    <w:tmpl w:val="9D9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13BD"/>
    <w:multiLevelType w:val="multilevel"/>
    <w:tmpl w:val="F14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0AAB"/>
    <w:multiLevelType w:val="multilevel"/>
    <w:tmpl w:val="F43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71068"/>
    <w:multiLevelType w:val="multilevel"/>
    <w:tmpl w:val="36E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C6549F"/>
    <w:multiLevelType w:val="multilevel"/>
    <w:tmpl w:val="630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1265A"/>
    <w:multiLevelType w:val="multilevel"/>
    <w:tmpl w:val="2C1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E3CF8"/>
    <w:multiLevelType w:val="multilevel"/>
    <w:tmpl w:val="907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019DD"/>
    <w:multiLevelType w:val="multilevel"/>
    <w:tmpl w:val="F4D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D662E"/>
    <w:multiLevelType w:val="multilevel"/>
    <w:tmpl w:val="600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F484C"/>
    <w:multiLevelType w:val="multilevel"/>
    <w:tmpl w:val="9C6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A3DBA"/>
    <w:multiLevelType w:val="multilevel"/>
    <w:tmpl w:val="9D5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E0DC4"/>
    <w:multiLevelType w:val="multilevel"/>
    <w:tmpl w:val="897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E5F19"/>
    <w:multiLevelType w:val="multilevel"/>
    <w:tmpl w:val="0C4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A52F2"/>
    <w:multiLevelType w:val="multilevel"/>
    <w:tmpl w:val="8B3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95C93"/>
    <w:multiLevelType w:val="multilevel"/>
    <w:tmpl w:val="9B9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B7DD8"/>
    <w:multiLevelType w:val="multilevel"/>
    <w:tmpl w:val="5D1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9768B"/>
    <w:multiLevelType w:val="hybridMultilevel"/>
    <w:tmpl w:val="2BEA0148"/>
    <w:lvl w:ilvl="0" w:tplc="6EA642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0C3B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04B4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382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A02C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82CB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4871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E59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EEA1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1B7B7A"/>
    <w:multiLevelType w:val="multilevel"/>
    <w:tmpl w:val="A78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72798"/>
    <w:multiLevelType w:val="multilevel"/>
    <w:tmpl w:val="69E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27AE3"/>
    <w:multiLevelType w:val="multilevel"/>
    <w:tmpl w:val="334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E7E1A"/>
    <w:multiLevelType w:val="multilevel"/>
    <w:tmpl w:val="F2A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03B3F"/>
    <w:multiLevelType w:val="multilevel"/>
    <w:tmpl w:val="40F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E664C"/>
    <w:multiLevelType w:val="multilevel"/>
    <w:tmpl w:val="78D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E73E4"/>
    <w:multiLevelType w:val="multilevel"/>
    <w:tmpl w:val="89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6077A"/>
    <w:multiLevelType w:val="multilevel"/>
    <w:tmpl w:val="E98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D26E3"/>
    <w:multiLevelType w:val="multilevel"/>
    <w:tmpl w:val="2B3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95311"/>
    <w:multiLevelType w:val="multilevel"/>
    <w:tmpl w:val="D42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F658B"/>
    <w:multiLevelType w:val="multilevel"/>
    <w:tmpl w:val="8D4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A6DDB"/>
    <w:multiLevelType w:val="multilevel"/>
    <w:tmpl w:val="776A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62B27"/>
    <w:multiLevelType w:val="multilevel"/>
    <w:tmpl w:val="7F9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14458"/>
    <w:multiLevelType w:val="multilevel"/>
    <w:tmpl w:val="3CA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563F5"/>
    <w:multiLevelType w:val="multilevel"/>
    <w:tmpl w:val="0C3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C79D6"/>
    <w:multiLevelType w:val="multilevel"/>
    <w:tmpl w:val="9F68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36B56"/>
    <w:multiLevelType w:val="multilevel"/>
    <w:tmpl w:val="314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2C2644"/>
    <w:multiLevelType w:val="multilevel"/>
    <w:tmpl w:val="7D1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57B69"/>
    <w:multiLevelType w:val="multilevel"/>
    <w:tmpl w:val="9CB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C0EC0"/>
    <w:multiLevelType w:val="multilevel"/>
    <w:tmpl w:val="2DC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42441"/>
    <w:multiLevelType w:val="multilevel"/>
    <w:tmpl w:val="074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D0446"/>
    <w:multiLevelType w:val="multilevel"/>
    <w:tmpl w:val="4B76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65215"/>
    <w:multiLevelType w:val="multilevel"/>
    <w:tmpl w:val="4AC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6487F"/>
    <w:multiLevelType w:val="multilevel"/>
    <w:tmpl w:val="CCC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92DA3"/>
    <w:multiLevelType w:val="multilevel"/>
    <w:tmpl w:val="213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F4D55"/>
    <w:multiLevelType w:val="multilevel"/>
    <w:tmpl w:val="E668DF1E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2D3F9B"/>
    <w:multiLevelType w:val="multilevel"/>
    <w:tmpl w:val="B4D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05D48"/>
    <w:multiLevelType w:val="multilevel"/>
    <w:tmpl w:val="AB0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D4616"/>
    <w:multiLevelType w:val="multilevel"/>
    <w:tmpl w:val="0D3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0"/>
  </w:num>
  <w:num w:numId="4">
    <w:abstractNumId w:val="24"/>
  </w:num>
  <w:num w:numId="5">
    <w:abstractNumId w:val="7"/>
  </w:num>
  <w:num w:numId="6">
    <w:abstractNumId w:val="21"/>
  </w:num>
  <w:num w:numId="7">
    <w:abstractNumId w:val="27"/>
  </w:num>
  <w:num w:numId="8">
    <w:abstractNumId w:val="46"/>
  </w:num>
  <w:num w:numId="9">
    <w:abstractNumId w:val="1"/>
  </w:num>
  <w:num w:numId="10">
    <w:abstractNumId w:val="14"/>
  </w:num>
  <w:num w:numId="11">
    <w:abstractNumId w:val="16"/>
  </w:num>
  <w:num w:numId="12">
    <w:abstractNumId w:val="22"/>
  </w:num>
  <w:num w:numId="13">
    <w:abstractNumId w:val="8"/>
  </w:num>
  <w:num w:numId="14">
    <w:abstractNumId w:val="49"/>
  </w:num>
  <w:num w:numId="15">
    <w:abstractNumId w:val="38"/>
  </w:num>
  <w:num w:numId="16">
    <w:abstractNumId w:val="15"/>
  </w:num>
  <w:num w:numId="17">
    <w:abstractNumId w:val="10"/>
  </w:num>
  <w:num w:numId="18">
    <w:abstractNumId w:val="28"/>
  </w:num>
  <w:num w:numId="19">
    <w:abstractNumId w:val="0"/>
  </w:num>
  <w:num w:numId="20">
    <w:abstractNumId w:val="19"/>
  </w:num>
  <w:num w:numId="21">
    <w:abstractNumId w:val="37"/>
  </w:num>
  <w:num w:numId="22">
    <w:abstractNumId w:val="48"/>
  </w:num>
  <w:num w:numId="23">
    <w:abstractNumId w:val="41"/>
  </w:num>
  <w:num w:numId="24">
    <w:abstractNumId w:val="42"/>
  </w:num>
  <w:num w:numId="25">
    <w:abstractNumId w:val="44"/>
  </w:num>
  <w:num w:numId="26">
    <w:abstractNumId w:val="11"/>
  </w:num>
  <w:num w:numId="27">
    <w:abstractNumId w:val="6"/>
  </w:num>
  <w:num w:numId="28">
    <w:abstractNumId w:val="17"/>
  </w:num>
  <w:num w:numId="29">
    <w:abstractNumId w:val="26"/>
  </w:num>
  <w:num w:numId="30">
    <w:abstractNumId w:val="3"/>
  </w:num>
  <w:num w:numId="31">
    <w:abstractNumId w:val="32"/>
  </w:num>
  <w:num w:numId="32">
    <w:abstractNumId w:val="18"/>
  </w:num>
  <w:num w:numId="33">
    <w:abstractNumId w:val="47"/>
  </w:num>
  <w:num w:numId="34">
    <w:abstractNumId w:val="12"/>
  </w:num>
  <w:num w:numId="35">
    <w:abstractNumId w:val="43"/>
  </w:num>
  <w:num w:numId="36">
    <w:abstractNumId w:val="34"/>
  </w:num>
  <w:num w:numId="37">
    <w:abstractNumId w:val="31"/>
  </w:num>
  <w:num w:numId="38">
    <w:abstractNumId w:val="36"/>
  </w:num>
  <w:num w:numId="39">
    <w:abstractNumId w:val="40"/>
  </w:num>
  <w:num w:numId="40">
    <w:abstractNumId w:val="25"/>
  </w:num>
  <w:num w:numId="41">
    <w:abstractNumId w:val="33"/>
  </w:num>
  <w:num w:numId="42">
    <w:abstractNumId w:val="39"/>
  </w:num>
  <w:num w:numId="43">
    <w:abstractNumId w:val="29"/>
  </w:num>
  <w:num w:numId="44">
    <w:abstractNumId w:val="30"/>
  </w:num>
  <w:num w:numId="45">
    <w:abstractNumId w:val="4"/>
  </w:num>
  <w:num w:numId="46">
    <w:abstractNumId w:val="2"/>
  </w:num>
  <w:num w:numId="47">
    <w:abstractNumId w:val="13"/>
  </w:num>
  <w:num w:numId="48">
    <w:abstractNumId w:val="35"/>
  </w:num>
  <w:num w:numId="49">
    <w:abstractNumId w:val="45"/>
  </w:num>
  <w:num w:numId="50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8E"/>
    <w:rsid w:val="000467F2"/>
    <w:rsid w:val="00055626"/>
    <w:rsid w:val="000754FA"/>
    <w:rsid w:val="00082214"/>
    <w:rsid w:val="00104012"/>
    <w:rsid w:val="00106528"/>
    <w:rsid w:val="0016208E"/>
    <w:rsid w:val="001830F2"/>
    <w:rsid w:val="0019229D"/>
    <w:rsid w:val="002B03D4"/>
    <w:rsid w:val="002D4202"/>
    <w:rsid w:val="00324306"/>
    <w:rsid w:val="003D6577"/>
    <w:rsid w:val="00433ECB"/>
    <w:rsid w:val="00436FC4"/>
    <w:rsid w:val="00446557"/>
    <w:rsid w:val="00500020"/>
    <w:rsid w:val="0051081B"/>
    <w:rsid w:val="005454E6"/>
    <w:rsid w:val="00560B17"/>
    <w:rsid w:val="00562A16"/>
    <w:rsid w:val="00576838"/>
    <w:rsid w:val="005B5EFD"/>
    <w:rsid w:val="005E4CED"/>
    <w:rsid w:val="006016DC"/>
    <w:rsid w:val="00696C2A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BC35C6"/>
    <w:rsid w:val="00C2343F"/>
    <w:rsid w:val="00CD2089"/>
    <w:rsid w:val="00D33BDA"/>
    <w:rsid w:val="00D44FE7"/>
    <w:rsid w:val="00D542C6"/>
    <w:rsid w:val="00D67542"/>
    <w:rsid w:val="00D80CC8"/>
    <w:rsid w:val="00E6450A"/>
    <w:rsid w:val="00E95DF0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B4674"/>
  <w15:chartTrackingRefBased/>
  <w15:docId w15:val="{FEFEA6D6-29E0-4E17-984C-58B1EBB8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96C2A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9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696C2A"/>
  </w:style>
  <w:style w:type="character" w:customStyle="1" w:styleId="mord">
    <w:name w:val="mord"/>
    <w:basedOn w:val="Absatz-Standardschriftart"/>
    <w:rsid w:val="00696C2A"/>
  </w:style>
  <w:style w:type="character" w:customStyle="1" w:styleId="mrel">
    <w:name w:val="mrel"/>
    <w:basedOn w:val="Absatz-Standardschriftart"/>
    <w:rsid w:val="00696C2A"/>
  </w:style>
  <w:style w:type="character" w:customStyle="1" w:styleId="mopen">
    <w:name w:val="mopen"/>
    <w:basedOn w:val="Absatz-Standardschriftart"/>
    <w:rsid w:val="00696C2A"/>
  </w:style>
  <w:style w:type="character" w:customStyle="1" w:styleId="mclose">
    <w:name w:val="mclose"/>
    <w:basedOn w:val="Absatz-Standardschriftart"/>
    <w:rsid w:val="00696C2A"/>
  </w:style>
  <w:style w:type="character" w:customStyle="1" w:styleId="mpunct">
    <w:name w:val="mpunct"/>
    <w:basedOn w:val="Absatz-Standardschriftart"/>
    <w:rsid w:val="00696C2A"/>
  </w:style>
  <w:style w:type="character" w:customStyle="1" w:styleId="vlist-s">
    <w:name w:val="vlist-s"/>
    <w:basedOn w:val="Absatz-Standardschriftart"/>
    <w:rsid w:val="00696C2A"/>
  </w:style>
  <w:style w:type="character" w:customStyle="1" w:styleId="mop">
    <w:name w:val="mop"/>
    <w:basedOn w:val="Absatz-Standardschriftart"/>
    <w:rsid w:val="00696C2A"/>
  </w:style>
  <w:style w:type="character" w:styleId="Hervorhebung">
    <w:name w:val="Emphasis"/>
    <w:basedOn w:val="Absatz-Standardschriftart"/>
    <w:uiPriority w:val="20"/>
    <w:qFormat/>
    <w:rsid w:val="00696C2A"/>
    <w:rPr>
      <w:i/>
      <w:iCs/>
    </w:rPr>
  </w:style>
  <w:style w:type="character" w:customStyle="1" w:styleId="delimsizinginner">
    <w:name w:val="delimsizinginner"/>
    <w:basedOn w:val="Absatz-Standardschriftart"/>
    <w:rsid w:val="00696C2A"/>
  </w:style>
  <w:style w:type="character" w:customStyle="1" w:styleId="mbin">
    <w:name w:val="mbin"/>
    <w:basedOn w:val="Absatz-Standardschriftart"/>
    <w:rsid w:val="00562A16"/>
  </w:style>
  <w:style w:type="character" w:customStyle="1" w:styleId="delimsizing">
    <w:name w:val="delimsizing"/>
    <w:basedOn w:val="Absatz-Standardschriftart"/>
    <w:rsid w:val="00BC35C6"/>
  </w:style>
  <w:style w:type="character" w:customStyle="1" w:styleId="minner">
    <w:name w:val="minner"/>
    <w:basedOn w:val="Absatz-Standardschriftart"/>
    <w:rsid w:val="00BC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8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2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2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6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2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6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71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1734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4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6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78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2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9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9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0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1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2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4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8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6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79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19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8794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35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6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8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4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3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29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37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1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6120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3861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4583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7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9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0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0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1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1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435</Words>
  <Characters>2746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4</vt:i4>
      </vt:variant>
    </vt:vector>
  </HeadingPairs>
  <TitlesOfParts>
    <vt:vector size="5" baseType="lpstr">
      <vt:lpstr/>
      <vt:lpstr>(1)</vt:lpstr>
      <vt:lpstr>        Herleitung und Anwendung der Modellgleichung</vt:lpstr>
      <vt:lpstr>        Anwendungsbeispiel: Projektbasierter Unterricht</vt:lpstr>
      <vt:lpstr>(2)</vt:lpstr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5</cp:revision>
  <dcterms:created xsi:type="dcterms:W3CDTF">2025-09-10T10:22:00Z</dcterms:created>
  <dcterms:modified xsi:type="dcterms:W3CDTF">2025-09-20T11:05:00Z</dcterms:modified>
</cp:coreProperties>
</file>