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93D68C" w14:textId="1A00AEEC" w:rsidR="00DE7D45" w:rsidRPr="00E7358F" w:rsidRDefault="00DE7D45" w:rsidP="002008C4">
      <w:pPr>
        <w:pStyle w:val="berschrift1"/>
      </w:pPr>
      <w:bookmarkStart w:id="0" w:name="_Hlk230494810"/>
      <w:r>
        <w:t xml:space="preserve">Anlage 6.x.A - </w:t>
      </w:r>
      <w:r w:rsidRPr="00E7358F">
        <w:t>Mathematische Herleitung der rekursiven Zustandsdynamik des FRZK aus Lehrkraftsicht</w:t>
      </w:r>
    </w:p>
    <w:p w14:paraId="329A7301" w14:textId="77777777" w:rsidR="00DE7D45" w:rsidRDefault="00DE7D45" w:rsidP="002008C4">
      <w:r w:rsidRPr="00E7358F">
        <w:t>Die mathematische Modellierung der Lehrkraftsicht innerhalb des Funktionalen Raum-Zeit-Kohärenzsystems (FRZK/FZRK) basiert auf der Grundannahme, dass sprachliche Unterrichtsrückmeldungen nicht lediglich beschreibende Aussagen darstellen, sondern funktionale Zustandsoperatoren eines semantischen Systems bilden. Unterricht wird damit nicht als statischer Informationsraum verstanden, sondern als dynamische Folge semantischer Zustandsübergänge. Jede Rückmeldung der Lehrkraft verändert den aktuellen Systemzustand und erzeugt dadurch rekursive Resonanz-, Dämpfungs- und Kohärenzprozesse. Die mathematische Struktur des Modells verbindet damit Elemente der Vektorraummodellierung, der rekursiven Dynamik, der Resonanztheorie sowie kontextsensitiver Operatorlogik.</w:t>
      </w:r>
    </w:p>
    <w:p w14:paraId="3E80DB90" w14:textId="77777777" w:rsidR="006F16BE" w:rsidRPr="006F16BE" w:rsidRDefault="006F16BE" w:rsidP="006F16BE">
      <w:r w:rsidRPr="006F16BE">
        <w:t xml:space="preserve">Die Gleichungen lassen sich vollständig aus dem FRZK ableiten, wenn ich nicht vom Wort als bloßem Zählelement ausgehe, sondern vom Token als wirksamem Zustandsoperator. Die Anlage legt genau diese Grundannahme fest: Lehrkraftäußerungen sind keine statischen Beschreibungen, sondern funktionale Zustandsoperatoren eines semantischen Systems. Unterricht erscheint dadurch als Folge rekursiver semantischer Zustandsübergänge. </w:t>
      </w:r>
    </w:p>
    <w:p w14:paraId="6A3AC567" w14:textId="4F798189" w:rsidR="00DE7D45" w:rsidRPr="00E7358F" w:rsidRDefault="00DE7D45" w:rsidP="002008C4">
      <w:r w:rsidRPr="00E7358F">
        <w:t>Grundlage der Modellierung ist zunächst die Zerlegung jeder Lehrkraftaussage in atomare semantische Einheiten. Ein Satz S wird formal als Folge einzelner Tokens beschrieben:</w:t>
      </w:r>
    </w:p>
    <w:p w14:paraId="6BB3EAAA" w14:textId="0B2FF466" w:rsidR="00DE7D45" w:rsidRPr="00AB3FAF" w:rsidRDefault="00AB3FAF" w:rsidP="00AB3FAF">
      <w:pPr>
        <w:pStyle w:val="Formel"/>
        <w:rPr>
          <w:rFonts w:ascii="Times New Roman" w:hAnsi="Times New Roman"/>
        </w:rPr>
      </w:pPr>
      <m:oMath>
        <m:r>
          <m:t>S=(</m:t>
        </m:r>
        <m:sSub>
          <m:sSubPr>
            <m:ctrlPr/>
          </m:sSubPr>
          <m:e>
            <m:r>
              <m:t>t</m:t>
            </m:r>
          </m:e>
          <m:sub>
            <m:r>
              <m:t>1</m:t>
            </m:r>
          </m:sub>
        </m:sSub>
        <m:r>
          <m:t>,</m:t>
        </m:r>
        <m:sSub>
          <m:sSubPr>
            <m:ctrlPr/>
          </m:sSubPr>
          <m:e>
            <m:r>
              <m:t>t</m:t>
            </m:r>
          </m:e>
          <m:sub>
            <m:r>
              <m:t>2</m:t>
            </m:r>
          </m:sub>
        </m:sSub>
        <m:r>
          <m:t>,…,</m:t>
        </m:r>
        <m:sSub>
          <m:sSubPr>
            <m:ctrlPr/>
          </m:sSubPr>
          <m:e>
            <m:r>
              <m:t>t</m:t>
            </m:r>
          </m:e>
          <m:sub>
            <m:r>
              <m:t>n</m:t>
            </m:r>
          </m:sub>
        </m:sSub>
        <m:r>
          <m:t>)</m:t>
        </m:r>
      </m:oMath>
      <w:r w:rsidR="002008C4" w:rsidRPr="00AB3FAF">
        <w:rPr>
          <w:rFonts w:ascii="Times New Roman" w:hAnsi="Times New Roman"/>
        </w:rPr>
        <w:tab/>
        <w:t>(1)</w:t>
      </w:r>
    </w:p>
    <w:p w14:paraId="703E6B53" w14:textId="0B491CE2" w:rsidR="00DE7D45" w:rsidRPr="00E7358F" w:rsidRDefault="00DE7D45" w:rsidP="002008C4">
      <w:r w:rsidRPr="00E7358F">
        <w:t xml:space="preserve">Jedes Token </w:t>
      </w:r>
      <w:proofErr w:type="spellStart"/>
      <w:r w:rsidRPr="00E7358F">
        <w:t>t</w:t>
      </w:r>
      <w:r w:rsidRPr="00E7358F">
        <w:rPr>
          <w:vertAlign w:val="subscript"/>
        </w:rPr>
        <w:t>i</w:t>
      </w:r>
      <w:proofErr w:type="spellEnd"/>
      <w:r w:rsidR="002008C4" w:rsidRPr="00E7358F">
        <w:t xml:space="preserve"> </w:t>
      </w:r>
      <w:r w:rsidRPr="00E7358F">
        <w:t xml:space="preserve">​ wird über die Tabellen </w:t>
      </w:r>
      <w:proofErr w:type="spellStart"/>
      <w:r w:rsidRPr="008444FA">
        <w:rPr>
          <w:rStyle w:val="SQLTabelle"/>
        </w:rPr>
        <w:t>frzk_funktionsklasse</w:t>
      </w:r>
      <w:proofErr w:type="spellEnd"/>
      <w:r w:rsidRPr="008444FA">
        <w:rPr>
          <w:rStyle w:val="SQLTabellennamenZchn"/>
        </w:rPr>
        <w:t>,</w:t>
      </w:r>
      <w:r w:rsidRPr="00E7358F">
        <w:t xml:space="preserve"> </w:t>
      </w:r>
      <w:proofErr w:type="spellStart"/>
      <w:r w:rsidRPr="005D0B32">
        <w:rPr>
          <w:rStyle w:val="SQLTabelle"/>
        </w:rPr>
        <w:t>frzk_funktionsklasse_weight</w:t>
      </w:r>
      <w:proofErr w:type="spellEnd"/>
      <w:r w:rsidRPr="00E7358F">
        <w:t xml:space="preserve"> sowie </w:t>
      </w:r>
      <w:proofErr w:type="spellStart"/>
      <w:r w:rsidRPr="005D0B32">
        <w:rPr>
          <w:rStyle w:val="SQLTabelle"/>
        </w:rPr>
        <w:t>frzk_lexem_datenmaske_lexem_funktionsklasse_weight</w:t>
      </w:r>
      <w:proofErr w:type="spellEnd"/>
      <w:r w:rsidRPr="00E7358F">
        <w:t xml:space="preserve"> einer semantischen Funktionsklasse zugeordnet und anschließend in einen siebendimensionalen Zustandsraum projiziert. Die sieben Dimensionen lauten:</w:t>
      </w:r>
    </w:p>
    <w:p w14:paraId="25A83AD4" w14:textId="7A32A1B6" w:rsidR="00DE7D45" w:rsidRPr="00AB3FAF" w:rsidRDefault="00AB3FAF" w:rsidP="00A4149F">
      <w:pPr>
        <w:pStyle w:val="Formel"/>
        <w:rPr>
          <w:rFonts w:ascii="Times New Roman" w:hAnsi="Times New Roman"/>
        </w:rPr>
      </w:pPr>
      <m:oMath>
        <m:r>
          <m:t>(kognition,sozial,affektiv,motivation,methodik,performanz,regulation)</m:t>
        </m:r>
      </m:oMath>
      <w:r w:rsidR="002008C4" w:rsidRPr="00AB3FAF">
        <w:rPr>
          <w:rFonts w:ascii="Times New Roman" w:hAnsi="Times New Roman"/>
        </w:rPr>
        <w:tab/>
        <w:t>(2)</w:t>
      </w:r>
    </w:p>
    <w:p w14:paraId="5A405A3E" w14:textId="77777777" w:rsidR="002008C4" w:rsidRPr="00E7358F" w:rsidRDefault="002008C4" w:rsidP="00DE7D45">
      <w:pPr>
        <w:spacing w:after="0"/>
        <w:rPr>
          <w:rFonts w:ascii="Times New Roman" w:hAnsi="Times New Roman"/>
          <w:bCs/>
        </w:rPr>
      </w:pPr>
    </w:p>
    <w:p w14:paraId="41E58B3E" w14:textId="77777777" w:rsidR="00DE7D45" w:rsidRPr="00E7358F" w:rsidRDefault="00DE7D45" w:rsidP="002008C4">
      <w:r w:rsidRPr="00E7358F">
        <w:t>Damit entsteht für jedes Token ein semantischer Basisvektor</w:t>
      </w:r>
    </w:p>
    <w:p w14:paraId="1E1B9428" w14:textId="3BF5894D" w:rsidR="00DE7D45" w:rsidRPr="00AB3FAF" w:rsidRDefault="00AB3FAF" w:rsidP="00AB3FAF">
      <w:pPr>
        <w:pStyle w:val="Formel"/>
      </w:pPr>
      <m:oMath>
        <m:r>
          <m:t>wi=(</m:t>
        </m:r>
        <m:sSub>
          <m:sSubPr>
            <m:ctrlPr/>
          </m:sSubPr>
          <m:e>
            <m:r>
              <m:t>x</m:t>
            </m:r>
          </m:e>
          <m:sub>
            <m:r>
              <m:t>kog</m:t>
            </m:r>
          </m:sub>
        </m:sSub>
        <m:r>
          <m:t>,</m:t>
        </m:r>
        <m:sSub>
          <m:sSubPr>
            <m:ctrlPr/>
          </m:sSubPr>
          <m:e>
            <m:r>
              <m:t>x</m:t>
            </m:r>
          </m:e>
          <m:sub>
            <m:r>
              <m:t>soz</m:t>
            </m:r>
          </m:sub>
        </m:sSub>
        <m:r>
          <m:t>,</m:t>
        </m:r>
        <m:sSub>
          <m:sSubPr>
            <m:ctrlPr/>
          </m:sSubPr>
          <m:e>
            <m:r>
              <m:t>x</m:t>
            </m:r>
          </m:e>
          <m:sub>
            <m:r>
              <m:t>aff</m:t>
            </m:r>
          </m:sub>
        </m:sSub>
        <m:r>
          <m:t>,</m:t>
        </m:r>
        <m:sSub>
          <m:sSubPr>
            <m:ctrlPr/>
          </m:sSubPr>
          <m:e>
            <m:r>
              <m:t>x</m:t>
            </m:r>
          </m:e>
          <m:sub>
            <m:r>
              <m:t>mot</m:t>
            </m:r>
          </m:sub>
        </m:sSub>
        <m:r>
          <m:t>,</m:t>
        </m:r>
        <m:sSub>
          <m:sSubPr>
            <m:ctrlPr/>
          </m:sSubPr>
          <m:e>
            <m:r>
              <m:t>x</m:t>
            </m:r>
          </m:e>
          <m:sub>
            <m:r>
              <m:t>meth</m:t>
            </m:r>
          </m:sub>
        </m:sSub>
        <m:r>
          <m:t>,</m:t>
        </m:r>
        <m:sSub>
          <m:sSubPr>
            <m:ctrlPr/>
          </m:sSubPr>
          <m:e>
            <m:r>
              <m:t>x</m:t>
            </m:r>
          </m:e>
          <m:sub>
            <m:r>
              <m:t>perf</m:t>
            </m:r>
          </m:sub>
        </m:sSub>
        <m:r>
          <m:t>,</m:t>
        </m:r>
        <m:sSub>
          <m:sSubPr>
            <m:ctrlPr/>
          </m:sSubPr>
          <m:e>
            <m:r>
              <m:t>x</m:t>
            </m:r>
          </m:e>
          <m:sub>
            <m:r>
              <m:t>reg</m:t>
            </m:r>
          </m:sub>
        </m:sSub>
        <m:r>
          <m:t>)</m:t>
        </m:r>
      </m:oMath>
      <w:r w:rsidR="002008C4" w:rsidRPr="00AB3FAF">
        <w:tab/>
        <w:t>(3)</w:t>
      </w:r>
    </w:p>
    <w:p w14:paraId="230F72B6" w14:textId="7B74228D" w:rsidR="00DE7D45" w:rsidRPr="00E7358F" w:rsidRDefault="00DE7D45" w:rsidP="002008C4">
      <w:r w:rsidRPr="00E7358F">
        <w:t>Die theoretische Begründung dieser Dimensionen erfolgt über etablierte lern- und bildungstheoretische Modelle. Die kognitive Achse orientiert sich an Bloom sowie Anderson/</w:t>
      </w:r>
      <w:proofErr w:type="spellStart"/>
      <w:r w:rsidRPr="00E7358F">
        <w:t>Krathwohl</w:t>
      </w:r>
      <w:proofErr w:type="spellEnd"/>
      <w:r w:rsidRPr="00E7358F">
        <w:t xml:space="preserve"> [1], Motivation an Deci und Ryan [2], Regulation an Bandura und Zimmerman [3], Performanz und Unterrichtswirkung an Hattie [4], während die Idee semantischer Verdichtung und Bedeutungsstruktur an </w:t>
      </w:r>
      <w:proofErr w:type="spellStart"/>
      <w:r w:rsidRPr="00E7358F">
        <w:t>Matons</w:t>
      </w:r>
      <w:proofErr w:type="spellEnd"/>
      <w:r w:rsidRPr="00E7358F">
        <w:t xml:space="preserve"> Konzept semantischer Dichte anschließt [5]. </w:t>
      </w:r>
      <w:r w:rsidR="002008C4" w:rsidRPr="002008C4">
        <w:t xml:space="preserve">Die Funktionsklassen werden dabei nicht statistisch generiert, sondern theoriegeleitet kalibriert. Die </w:t>
      </w:r>
      <w:proofErr w:type="spellStart"/>
      <w:r w:rsidR="002008C4" w:rsidRPr="002008C4">
        <w:t>Tokengenerierung</w:t>
      </w:r>
      <w:proofErr w:type="spellEnd"/>
      <w:r w:rsidR="002008C4" w:rsidRPr="002008C4">
        <w:t xml:space="preserve"> stützt sich auf die real formulierte</w:t>
      </w:r>
      <w:r w:rsidR="002008C4">
        <w:t>n</w:t>
      </w:r>
      <w:r w:rsidR="002008C4" w:rsidRPr="002008C4">
        <w:t xml:space="preserve"> </w:t>
      </w:r>
      <w:r w:rsidR="002008C4" w:rsidRPr="002008C4">
        <w:lastRenderedPageBreak/>
        <w:t xml:space="preserve">Lehrkraftäußerungen aus </w:t>
      </w:r>
      <w:hyperlink r:id="rId5" w:history="1">
        <w:proofErr w:type="spellStart"/>
        <w:r w:rsidR="002008C4" w:rsidRPr="005D0B32">
          <w:rPr>
            <w:rStyle w:val="SQLTabelle"/>
          </w:rPr>
          <w:t>sql_rueckkopplung_datenmaske_values</w:t>
        </w:r>
        <w:proofErr w:type="spellEnd"/>
      </w:hyperlink>
      <w:r w:rsidR="002008C4" w:rsidRPr="002008C4">
        <w:t>, etwa „stellt manchmal Fragen, die ein tieferes Verständnis zeigen“, „setzt Prioritäten bei Lernaufgaben sinnvoll“, „konnte Wissen festigen“, „Selbstständigkeit hat sich verbessert“, „gibt zu erkennen, wenn er etwas nicht verstanden hat“, „nutzt die vermittelten Methoden“, „bittet aktiv um Feedback“, „kann Wissen abrufen“, „formuliert Fragen weniger verständlich“ oder „braucht selten Unterstützung bei der Anwendung neuer Lernmethoden“. Damit entstehen die Tokens nicht aus standardisierten Absprachen-Kategorien, sondern aus tatsächlich dokumentierten Rückmeldesätzen der Lehrkraftsicht, die im FRZK-Raum anschließend über die sieben Dimensionen Kognition, Sozialität, Affekt, Motivation, Methodik, Performanz und Regulation abgebildet werden.</w:t>
      </w:r>
    </w:p>
    <w:p w14:paraId="22B08217" w14:textId="77777777" w:rsidR="00DE7D45" w:rsidRPr="00E7358F" w:rsidRDefault="00DE7D45" w:rsidP="005D0B32">
      <w:r w:rsidRPr="00E7358F">
        <w:t xml:space="preserve">Entscheidend ist nun, dass die </w:t>
      </w:r>
      <w:proofErr w:type="spellStart"/>
      <w:r w:rsidRPr="00E7358F">
        <w:t>Tokenvektoren</w:t>
      </w:r>
      <w:proofErr w:type="spellEnd"/>
      <w:r w:rsidRPr="00E7358F">
        <w:t xml:space="preserve"> im FRZK nicht additiv summiert werden. Vor ihrer Integration in den Systemzustand werden sie zunächst durch semantische Moderatoren transformiert. Bestimmte Tokens besitzen keine direkte semantische Zustandsfunktion, sondern wirken als Operatoren auf nachfolgende Bedeutungen. Dazu gehören Negationen, Verstärker, Kontrastmarker oder kontextmodulierende Ausdrücke. In der Implementierung erscheinen diese Operatoren über die </w:t>
      </w:r>
      <w:proofErr w:type="spellStart"/>
      <w:r w:rsidRPr="00E7358F">
        <w:t>Scope</w:t>
      </w:r>
      <w:proofErr w:type="spellEnd"/>
      <w:r w:rsidRPr="00E7358F">
        <w:t xml:space="preserve">-Typen </w:t>
      </w:r>
      <w:proofErr w:type="spellStart"/>
      <w:r w:rsidRPr="00E7358F">
        <w:rPr>
          <w:rFonts w:ascii="Courier New" w:hAnsi="Courier New" w:cs="Courier New"/>
          <w:sz w:val="20"/>
          <w:szCs w:val="20"/>
        </w:rPr>
        <w:t>sentence</w:t>
      </w:r>
      <w:proofErr w:type="spellEnd"/>
      <w:r w:rsidRPr="00E7358F">
        <w:t xml:space="preserve">, </w:t>
      </w:r>
      <w:proofErr w:type="spellStart"/>
      <w:r w:rsidRPr="00E7358F">
        <w:rPr>
          <w:rFonts w:ascii="Courier New" w:hAnsi="Courier New" w:cs="Courier New"/>
          <w:sz w:val="20"/>
          <w:szCs w:val="20"/>
        </w:rPr>
        <w:t>next_token</w:t>
      </w:r>
      <w:proofErr w:type="spellEnd"/>
      <w:r w:rsidRPr="00E7358F">
        <w:t xml:space="preserve"> und </w:t>
      </w:r>
      <w:proofErr w:type="spellStart"/>
      <w:r w:rsidRPr="00E7358F">
        <w:rPr>
          <w:rFonts w:ascii="Courier New" w:hAnsi="Courier New" w:cs="Courier New"/>
          <w:sz w:val="20"/>
          <w:szCs w:val="20"/>
        </w:rPr>
        <w:t>left_context</w:t>
      </w:r>
      <w:proofErr w:type="spellEnd"/>
      <w:r w:rsidRPr="00E7358F">
        <w:t xml:space="preserve">. </w:t>
      </w:r>
    </w:p>
    <w:p w14:paraId="687B7B41" w14:textId="7545BFF4" w:rsidR="00DE7D45" w:rsidRPr="00E7358F" w:rsidRDefault="00DE7D45" w:rsidP="005D0B32">
      <w:r w:rsidRPr="00E7358F">
        <w:t xml:space="preserve">Formal wird der ursprüngliche </w:t>
      </w:r>
      <w:proofErr w:type="spellStart"/>
      <w:r w:rsidRPr="00E7358F">
        <w:t>Tokenvektor</w:t>
      </w:r>
      <w:proofErr w:type="spellEnd"/>
      <w:r w:rsidRPr="00E7358F">
        <w:t xml:space="preserve"> </w:t>
      </w:r>
      <w:proofErr w:type="spellStart"/>
      <w:r w:rsidRPr="00E7358F">
        <w:t>w</w:t>
      </w:r>
      <w:r w:rsidRPr="005D0B32">
        <w:rPr>
          <w:vertAlign w:val="subscript"/>
        </w:rPr>
        <w:t>i</w:t>
      </w:r>
      <w:proofErr w:type="spellEnd"/>
      <w:r w:rsidR="005D0B32" w:rsidRPr="00E7358F">
        <w:t xml:space="preserve"> </w:t>
      </w:r>
      <w:r w:rsidRPr="00E7358F">
        <w:t xml:space="preserve">​ daher zunächst durch einen </w:t>
      </w:r>
      <w:proofErr w:type="spellStart"/>
      <w:r w:rsidRPr="00E7358F">
        <w:t>Moderatoroperator</w:t>
      </w:r>
      <w:proofErr w:type="spellEnd"/>
      <w:r w:rsidRPr="00E7358F">
        <w:t xml:space="preserve"> M</w:t>
      </w:r>
      <w:r w:rsidRPr="005D0B32">
        <w:rPr>
          <w:vertAlign w:val="subscript"/>
        </w:rPr>
        <w:t>i</w:t>
      </w:r>
      <w:r w:rsidR="005D0B32" w:rsidRPr="00E7358F">
        <w:t xml:space="preserve"> </w:t>
      </w:r>
      <w:r w:rsidRPr="00E7358F">
        <w:t>​ transformiert:</w:t>
      </w:r>
    </w:p>
    <w:p w14:paraId="643450B7" w14:textId="3CB6CFEF" w:rsidR="00DE7D45" w:rsidRPr="00AB3FAF" w:rsidRDefault="00000000" w:rsidP="00AB3FAF">
      <w:pPr>
        <w:pStyle w:val="Formel"/>
        <w:rPr>
          <w:rFonts w:ascii="Times New Roman" w:hAnsi="Times New Roman"/>
        </w:rPr>
      </w:pPr>
      <m:oMath>
        <m:sSub>
          <m:sSubPr>
            <m:ctrlPr/>
          </m:sSubPr>
          <m:e>
            <m:r>
              <m:t>w</m:t>
            </m:r>
          </m:e>
          <m:sub>
            <m:r>
              <m:t>i</m:t>
            </m:r>
          </m:sub>
        </m:sSub>
        <m:r>
          <m:t xml:space="preserve">' = </m:t>
        </m:r>
        <m:sSub>
          <m:sSubPr>
            <m:ctrlPr/>
          </m:sSubPr>
          <m:e>
            <m:r>
              <m:t>M</m:t>
            </m:r>
          </m:e>
          <m:sub>
            <m:r>
              <m:t>i</m:t>
            </m:r>
          </m:sub>
        </m:sSub>
        <m:r>
          <m:t>(</m:t>
        </m:r>
        <m:sSub>
          <m:sSubPr>
            <m:ctrlPr/>
          </m:sSubPr>
          <m:e>
            <m:r>
              <m:t>w</m:t>
            </m:r>
          </m:e>
          <m:sub>
            <m:r>
              <m:t>i</m:t>
            </m:r>
          </m:sub>
        </m:sSub>
        <m:r>
          <m:t>)</m:t>
        </m:r>
      </m:oMath>
      <w:r w:rsidR="005D0B32" w:rsidRPr="00AB3FAF">
        <w:rPr>
          <w:rFonts w:ascii="Times New Roman" w:hAnsi="Times New Roman"/>
        </w:rPr>
        <w:tab/>
        <w:t>(4)</w:t>
      </w:r>
    </w:p>
    <w:p w14:paraId="46097018" w14:textId="77777777" w:rsidR="00DE7D45" w:rsidRPr="00E7358F" w:rsidRDefault="00DE7D45" w:rsidP="005D0B32">
      <w:r w:rsidRPr="00E7358F">
        <w:t xml:space="preserve">Der </w:t>
      </w:r>
      <w:proofErr w:type="spellStart"/>
      <w:r w:rsidRPr="00E7358F">
        <w:t>Moderatoroperator</w:t>
      </w:r>
      <w:proofErr w:type="spellEnd"/>
      <w:r w:rsidRPr="00E7358F">
        <w:t xml:space="preserve"> ergibt sich aus dem Produkt aller aktuell wirksamen Modulationsfaktoren:</w:t>
      </w:r>
    </w:p>
    <w:p w14:paraId="1A4319C0" w14:textId="72CB7158" w:rsidR="005D0B32" w:rsidRPr="001057DC" w:rsidRDefault="00000000" w:rsidP="001057DC">
      <w:pPr>
        <w:pStyle w:val="Formel"/>
      </w:pPr>
      <m:oMath>
        <m:sSub>
          <m:sSubPr>
            <m:ctrlPr/>
          </m:sSubPr>
          <m:e>
            <m:r>
              <m:t>M</m:t>
            </m:r>
          </m:e>
          <m:sub>
            <m:r>
              <m:t>i</m:t>
            </m:r>
          </m:sub>
        </m:sSub>
        <m:r>
          <m:t>=</m:t>
        </m:r>
        <m:nary>
          <m:naryPr>
            <m:chr m:val="∏"/>
            <m:limLoc m:val="undOvr"/>
            <m:ctrlPr/>
          </m:naryPr>
          <m:sub>
            <m:r>
              <m:t>k=1</m:t>
            </m:r>
          </m:sub>
          <m:sup>
            <m:r>
              <m:t>m</m:t>
            </m:r>
          </m:sup>
          <m:e>
            <m:r>
              <m:t>​αk</m:t>
            </m:r>
          </m:e>
        </m:nary>
      </m:oMath>
      <w:r w:rsidR="005D0B32" w:rsidRPr="001057DC">
        <w:tab/>
        <w:t>(5)</w:t>
      </w:r>
    </w:p>
    <w:p w14:paraId="67B027A5" w14:textId="77777777" w:rsidR="00DE7D45" w:rsidRPr="00E7358F" w:rsidRDefault="00DE7D45" w:rsidP="005D0B32">
      <w:r w:rsidRPr="00E7358F">
        <w:t xml:space="preserve">Dadurch entsteht der moderierte </w:t>
      </w:r>
      <w:proofErr w:type="spellStart"/>
      <w:r w:rsidRPr="00E7358F">
        <w:t>Tokenvektor</w:t>
      </w:r>
      <w:proofErr w:type="spellEnd"/>
    </w:p>
    <w:p w14:paraId="652D3767" w14:textId="1F8A5988" w:rsidR="005D2EDB" w:rsidRPr="00AB3FAF" w:rsidRDefault="00000000" w:rsidP="00AB3FAF">
      <w:pPr>
        <w:pStyle w:val="Formel"/>
        <w:rPr>
          <w:rFonts w:ascii="Times New Roman" w:hAnsi="Times New Roman"/>
        </w:rPr>
      </w:pPr>
      <m:oMath>
        <m:sSub>
          <m:sSubPr>
            <m:ctrlPr/>
          </m:sSubPr>
          <m:e>
            <m:r>
              <m:t>w'</m:t>
            </m:r>
          </m:e>
          <m:sub>
            <m:r>
              <m:t>i</m:t>
            </m:r>
          </m:sub>
        </m:sSub>
        <m:r>
          <m:t>=</m:t>
        </m:r>
        <m:sSub>
          <m:sSubPr>
            <m:ctrlPr/>
          </m:sSubPr>
          <m:e>
            <m:r>
              <m:t>w</m:t>
            </m:r>
          </m:e>
          <m:sub>
            <m:r>
              <m:t>i</m:t>
            </m:r>
          </m:sub>
        </m:sSub>
        <m:r>
          <m:t>⋅</m:t>
        </m:r>
        <m:nary>
          <m:naryPr>
            <m:chr m:val="∏"/>
            <m:limLoc m:val="undOvr"/>
            <m:ctrlPr>
              <w:rPr>
                <w:rFonts w:eastAsia="Times New Roman"/>
              </w:rPr>
            </m:ctrlPr>
          </m:naryPr>
          <m:sub>
            <m:r>
              <m:t>k=1</m:t>
            </m:r>
          </m:sub>
          <m:sup>
            <m:r>
              <m:t>m</m:t>
            </m:r>
          </m:sup>
          <m:e>
            <m:r>
              <m:t>​αk</m:t>
            </m:r>
          </m:e>
        </m:nary>
      </m:oMath>
      <w:r w:rsidR="005D2EDB" w:rsidRPr="00AB3FAF">
        <w:rPr>
          <w:rFonts w:ascii="Times New Roman" w:hAnsi="Times New Roman"/>
        </w:rPr>
        <w:tab/>
        <w:t>(6)</w:t>
      </w:r>
    </w:p>
    <w:p w14:paraId="1B130C73" w14:textId="77777777" w:rsidR="00DE7D45" w:rsidRPr="00E7358F" w:rsidRDefault="00DE7D45" w:rsidP="005D0B32">
      <w:r w:rsidRPr="00E7358F">
        <w:t>Dieser Schritt ist mathematisch zentral, weil dadurch gleiche Tokens in unterschiedlichen Kontexten unterschiedliche Zustandswirkungen erzeugen können. Ein Ausdruck wie „verstanden“ besitzt eine andere semantische Dynamik als „nicht verstanden“, obwohl beide denselben Kernbegriff enthalten. Ebenso verändert „sehr konzentriert“ die Zustandsintensität anders als „etwas konzentriert“. Die Operatoren wirken daher nicht additiv, sondern transformativ.</w:t>
      </w:r>
    </w:p>
    <w:p w14:paraId="2908C50D" w14:textId="0005EB62" w:rsidR="00DE7D45" w:rsidRPr="005D2EDB" w:rsidRDefault="00DE7D45" w:rsidP="005D2EDB">
      <w:r w:rsidRPr="00E7358F">
        <w:t xml:space="preserve">Erst der moderierte </w:t>
      </w:r>
      <w:proofErr w:type="spellStart"/>
      <w:r w:rsidRPr="00E7358F">
        <w:t>Tokenvektor</w:t>
      </w:r>
      <w:proofErr w:type="spellEnd"/>
      <w:r w:rsidRPr="00E7358F">
        <w:t xml:space="preserve"> </w:t>
      </w:r>
      <w:proofErr w:type="spellStart"/>
      <w:r w:rsidRPr="00E7358F">
        <w:t>w</w:t>
      </w:r>
      <w:r w:rsidRPr="005D2EDB">
        <w:rPr>
          <w:vertAlign w:val="subscript"/>
        </w:rPr>
        <w:t>i</w:t>
      </w:r>
      <w:proofErr w:type="spellEnd"/>
      <w:r w:rsidRPr="00E7358F">
        <w:t>′</w:t>
      </w:r>
      <w:r w:rsidR="005D2EDB" w:rsidRPr="00E7358F">
        <w:t xml:space="preserve"> </w:t>
      </w:r>
      <w:r w:rsidRPr="00E7358F">
        <w:t>​ wird anschließend in die rekursive Zustandsdynamik integriert. Der aktuelle semantische Zustand des Systems wird durch einen Zustandsvektor</w:t>
      </w:r>
      <w:r w:rsidR="005D2EDB">
        <w:t xml:space="preserv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5D2EDB">
        <w:t xml:space="preserve"> </w:t>
      </w:r>
      <w:r w:rsidRPr="005D2EDB">
        <w:t>beschrieben. Dieser repräsentiert den bereits aufgebauten semantischen Kontext aller vorherigen Tokens. Der Zustandsübergang erfolgt über die rekursive FRZK-Gleichung:</w:t>
      </w:r>
    </w:p>
    <w:p w14:paraId="507C4B5A" w14:textId="487CE38E" w:rsidR="00DE7D45" w:rsidRPr="00AB3FAF" w:rsidRDefault="00000000" w:rsidP="00AB3FAF">
      <w:pPr>
        <w:pStyle w:val="Formel"/>
      </w:pPr>
      <m:oMath>
        <m:sSub>
          <m:sSubPr>
            <m:ctrlPr/>
          </m:sSubPr>
          <m:e>
            <m:r>
              <m:t>V</m:t>
            </m:r>
          </m:e>
          <m:sub>
            <m:r>
              <m:t>t+1</m:t>
            </m:r>
          </m:sub>
        </m:sSub>
        <m:r>
          <m:t>=</m:t>
        </m:r>
        <m:sSub>
          <m:sSubPr>
            <m:ctrlPr/>
          </m:sSubPr>
          <m:e>
            <m:r>
              <m:t>V</m:t>
            </m:r>
          </m:e>
          <m:sub>
            <m:r>
              <m:t>t</m:t>
            </m:r>
          </m:sub>
        </m:sSub>
        <m:r>
          <m:t xml:space="preserve"> +( </m:t>
        </m:r>
        <m:sSubSup>
          <m:sSubSupPr>
            <m:ctrlPr/>
          </m:sSubSupPr>
          <m:e>
            <m:r>
              <m:t>w</m:t>
            </m:r>
          </m:e>
          <m:sub>
            <m:r>
              <m:t>t</m:t>
            </m:r>
          </m:sub>
          <m:sup>
            <m:r>
              <m:t>'</m:t>
            </m:r>
          </m:sup>
        </m:sSubSup>
        <m:r>
          <m:t xml:space="preserve">⋅ </m:t>
        </m:r>
        <m:sSup>
          <m:sSupPr>
            <m:ctrlPr/>
          </m:sSupPr>
          <m:e>
            <m:r>
              <m:t>e</m:t>
            </m:r>
          </m:e>
          <m:sup>
            <m:r>
              <m:t>-β</m:t>
            </m:r>
            <m:d>
              <m:dPr>
                <m:begChr m:val="|"/>
                <m:endChr m:val="|"/>
                <m:ctrlPr/>
              </m:dPr>
              <m:e>
                <m:r>
                  <m:t xml:space="preserve"> |</m:t>
                </m:r>
                <m:sSub>
                  <m:sSubPr>
                    <m:ctrlPr/>
                  </m:sSubPr>
                  <m:e>
                    <m:r>
                      <m:t>V</m:t>
                    </m:r>
                  </m:e>
                  <m:sub>
                    <m:r>
                      <m:t>t</m:t>
                    </m:r>
                  </m:sub>
                </m:sSub>
              </m:e>
            </m:d>
            <m:r>
              <m:t>|</m:t>
            </m:r>
          </m:sup>
        </m:sSup>
        <m:r>
          <m:t xml:space="preserve"> )-λ ( </m:t>
        </m:r>
        <m:sSub>
          <m:sSubPr>
            <m:ctrlPr/>
          </m:sSubPr>
          <m:e>
            <m:r>
              <m:t>V</m:t>
            </m:r>
          </m:e>
          <m:sub>
            <m:r>
              <m:t>t</m:t>
            </m:r>
          </m:sub>
        </m:sSub>
        <m:r>
          <m:t xml:space="preserve">⊙ </m:t>
        </m:r>
        <m:sSubSup>
          <m:sSubSupPr>
            <m:ctrlPr/>
          </m:sSubSupPr>
          <m:e>
            <m:r>
              <m:t>w</m:t>
            </m:r>
          </m:e>
          <m:sub>
            <m:r>
              <m:t>t</m:t>
            </m:r>
          </m:sub>
          <m:sup>
            <m:r>
              <m:t>'</m:t>
            </m:r>
          </m:sup>
        </m:sSubSup>
        <m:r>
          <m:t>)+δ cos</m:t>
        </m:r>
        <m:d>
          <m:dPr>
            <m:ctrlPr/>
          </m:dPr>
          <m:e>
            <m:sSub>
              <m:sSubPr>
                <m:ctrlPr/>
              </m:sSubPr>
              <m:e>
                <m:r>
                  <m:t>V</m:t>
                </m:r>
              </m:e>
              <m:sub>
                <m:r>
                  <m:t>t</m:t>
                </m:r>
              </m:sub>
            </m:sSub>
            <m:r>
              <m:t>,</m:t>
            </m:r>
            <m:sSubSup>
              <m:sSubSupPr>
                <m:ctrlPr/>
              </m:sSubSupPr>
              <m:e>
                <m:r>
                  <m:t>w</m:t>
                </m:r>
              </m:e>
              <m:sub>
                <m:r>
                  <m:t>t</m:t>
                </m:r>
              </m:sub>
              <m:sup>
                <m:r>
                  <m:t>'</m:t>
                </m:r>
              </m:sup>
            </m:sSubSup>
          </m:e>
        </m:d>
        <m:sSubSup>
          <m:sSubSupPr>
            <m:ctrlPr/>
          </m:sSubSupPr>
          <m:e>
            <m:r>
              <m:t>w</m:t>
            </m:r>
          </m:e>
          <m:sub>
            <m:r>
              <m:t>t</m:t>
            </m:r>
          </m:sub>
          <m:sup>
            <m:r>
              <m:t>'</m:t>
            </m:r>
          </m:sup>
        </m:sSubSup>
      </m:oMath>
      <w:r w:rsidR="00E21BA8" w:rsidRPr="00AB3FAF">
        <w:tab/>
      </w:r>
      <w:r w:rsidR="00A4149F">
        <w:tab/>
      </w:r>
      <w:r w:rsidR="00E21BA8" w:rsidRPr="00AB3FAF">
        <w:t>(7)</w:t>
      </w:r>
    </w:p>
    <w:p w14:paraId="4B63AE69" w14:textId="5326C5E0" w:rsidR="00DE7D45" w:rsidRPr="00E7358F" w:rsidRDefault="00DE7D45" w:rsidP="00E21BA8">
      <w:r w:rsidRPr="00E7358F">
        <w:lastRenderedPageBreak/>
        <w:t>Diese Gleichung bildet die eigentliche mathematische Kernstruktur des FRZK</w:t>
      </w:r>
      <w:r w:rsidR="00E21BA8">
        <w:t xml:space="preserve"> für die Auswertung der Lehrkraftsicht</w:t>
      </w:r>
      <w:r w:rsidRPr="00E7358F">
        <w:t>.</w:t>
      </w:r>
      <w:r w:rsidR="00E21BA8">
        <w:t xml:space="preserve"> Die Daten der Teilnehmersicht wurden grundlegend anders gewonnen und dementsprechend anders generiert.</w:t>
      </w:r>
    </w:p>
    <w:p w14:paraId="4A26CF81" w14:textId="77777777" w:rsidR="00DE7D45" w:rsidRPr="00E7358F" w:rsidRDefault="00DE7D45" w:rsidP="00E21BA8">
      <w:r w:rsidRPr="00E7358F">
        <w:t>Der erste Term</w:t>
      </w:r>
    </w:p>
    <w:p w14:paraId="4DF36E24" w14:textId="70553C96" w:rsidR="00DE7D45" w:rsidRPr="00AB3FAF" w:rsidRDefault="00000000" w:rsidP="00AB3FAF">
      <w:pPr>
        <w:pStyle w:val="Formel"/>
        <w:rPr>
          <w:rFonts w:ascii="Times New Roman" w:hAnsi="Times New Roman"/>
        </w:rPr>
      </w:pPr>
      <m:oMath>
        <m:sSub>
          <m:sSubPr>
            <m:ctrlPr/>
          </m:sSubPr>
          <m:e>
            <m:r>
              <m:t>V</m:t>
            </m:r>
          </m:e>
          <m:sub>
            <m:r>
              <m:t>t</m:t>
            </m:r>
          </m:sub>
        </m:sSub>
        <m:r>
          <m:t>​</m:t>
        </m:r>
      </m:oMath>
      <w:r w:rsidR="007A3141" w:rsidRPr="00AB3FAF">
        <w:rPr>
          <w:rFonts w:ascii="Times New Roman" w:hAnsi="Times New Roman"/>
        </w:rPr>
        <w:tab/>
        <w:t>(8)</w:t>
      </w:r>
    </w:p>
    <w:p w14:paraId="0ED53299" w14:textId="77777777" w:rsidR="00DE7D45" w:rsidRPr="00E7358F" w:rsidRDefault="00DE7D45" w:rsidP="007A3141">
      <w:r w:rsidRPr="00E7358F">
        <w:t>beschreibt den bereits vorhandenen semantischen Systemzustand. Der zweite Term</w:t>
      </w:r>
    </w:p>
    <w:p w14:paraId="378271A0" w14:textId="72F53DCB" w:rsidR="00BB2037" w:rsidRPr="00AB3FAF" w:rsidRDefault="00000000" w:rsidP="00AB3FAF">
      <w:pPr>
        <w:pStyle w:val="Formel"/>
        <w:rPr>
          <w:rFonts w:ascii="Times New Roman" w:hAnsi="Times New Roman"/>
        </w:rPr>
      </w:pPr>
      <m:oMath>
        <m:sSubSup>
          <m:sSubSupPr>
            <m:ctrlPr/>
          </m:sSubSupPr>
          <m:e>
            <m:r>
              <m:t>w</m:t>
            </m:r>
          </m:e>
          <m:sub>
            <m:r>
              <m:t>t</m:t>
            </m:r>
          </m:sub>
          <m:sup>
            <m:r>
              <m:t>'</m:t>
            </m:r>
          </m:sup>
        </m:sSubSup>
        <m:r>
          <m:t xml:space="preserve">⋅ </m:t>
        </m:r>
        <m:sSup>
          <m:sSupPr>
            <m:ctrlPr/>
          </m:sSupPr>
          <m:e>
            <m:r>
              <m:t>e</m:t>
            </m:r>
          </m:e>
          <m:sup>
            <m:r>
              <m:t>-β</m:t>
            </m:r>
            <m:d>
              <m:dPr>
                <m:begChr m:val="|"/>
                <m:endChr m:val="|"/>
                <m:ctrlPr/>
              </m:dPr>
              <m:e>
                <m:r>
                  <m:t xml:space="preserve"> |</m:t>
                </m:r>
                <m:sSub>
                  <m:sSubPr>
                    <m:ctrlPr/>
                  </m:sSubPr>
                  <m:e>
                    <m:r>
                      <m:t>V</m:t>
                    </m:r>
                  </m:e>
                  <m:sub>
                    <m:r>
                      <m:t>t</m:t>
                    </m:r>
                  </m:sub>
                </m:sSub>
              </m:e>
            </m:d>
            <m:r>
              <m:t>|</m:t>
            </m:r>
          </m:sup>
        </m:sSup>
      </m:oMath>
      <w:r w:rsidR="007A3141" w:rsidRPr="00AB3FAF">
        <w:rPr>
          <w:rFonts w:ascii="Times New Roman" w:hAnsi="Times New Roman"/>
        </w:rPr>
        <w:tab/>
        <w:t>(9)</w:t>
      </w:r>
    </w:p>
    <w:p w14:paraId="1B1AC5C7" w14:textId="6DCEF463" w:rsidR="00DE7D45" w:rsidRPr="00BB2037" w:rsidRDefault="00DE7D45" w:rsidP="007A3141">
      <w:r w:rsidRPr="00E7358F">
        <w:t>integriert den neuen semantischen Input unter Berücksichtigung einer rekursiven Dämpfung. Die Dämpfungsfunktion lautet:</w:t>
      </w:r>
    </w:p>
    <w:p w14:paraId="6D2225E7" w14:textId="0016D599" w:rsidR="00DE7D45" w:rsidRPr="00AB3FAF" w:rsidRDefault="00AB3FAF" w:rsidP="00AB3FAF">
      <w:pPr>
        <w:pStyle w:val="Formel"/>
        <w:rPr>
          <w:rFonts w:ascii="Times New Roman" w:hAnsi="Times New Roman"/>
        </w:rPr>
      </w:pPr>
      <m:oMath>
        <m:r>
          <m:t>d=</m:t>
        </m:r>
        <m:sSup>
          <m:sSupPr>
            <m:ctrlPr/>
          </m:sSupPr>
          <m:e>
            <m:r>
              <m:t>e</m:t>
            </m:r>
          </m:e>
          <m:sup>
            <m:r>
              <m:t>-β</m:t>
            </m:r>
            <m:r>
              <w:rPr>
                <w:rFonts w:cs="Cambria Math"/>
              </w:rPr>
              <m:t>∥</m:t>
            </m:r>
            <m:r>
              <m:t>Vt</m:t>
            </m:r>
            <m:r>
              <w:rPr>
                <w:rFonts w:cs="Cambria Math"/>
              </w:rPr>
              <m:t>∥</m:t>
            </m:r>
          </m:sup>
        </m:sSup>
      </m:oMath>
      <w:r w:rsidR="007A3141" w:rsidRPr="00AB3FAF">
        <w:rPr>
          <w:rFonts w:ascii="Times New Roman" w:hAnsi="Times New Roman"/>
        </w:rPr>
        <w:tab/>
        <w:t>(10)</w:t>
      </w:r>
    </w:p>
    <w:p w14:paraId="5214FB1D" w14:textId="2ADFC072" w:rsidR="00DE7D45" w:rsidRDefault="00DE7D45" w:rsidP="007A3141">
      <w:r w:rsidRPr="00E7358F">
        <w:t>mit dem Dämpfungsparameter β. Die Norm des Zustandsvektors wird euklidisch bestimmt:</w:t>
      </w:r>
    </w:p>
    <w:p w14:paraId="01373E48" w14:textId="11438B79" w:rsidR="00646728" w:rsidRPr="00AB3FAF" w:rsidRDefault="00000000" w:rsidP="00AB3FAF">
      <w:pPr>
        <w:pStyle w:val="Formel"/>
        <w:rPr>
          <w:rFonts w:ascii="Times New Roman" w:hAnsi="Times New Roman"/>
        </w:rPr>
      </w:pPr>
      <m:oMath>
        <m:sSub>
          <m:sSubPr>
            <m:ctrlPr/>
          </m:sSubPr>
          <m:e>
            <m:r>
              <m:t>V</m:t>
            </m:r>
          </m:e>
          <m:sub>
            <m:r>
              <m:t>t</m:t>
            </m:r>
          </m:sub>
        </m:sSub>
        <m:r>
          <m:t>=</m:t>
        </m:r>
        <m:rad>
          <m:radPr>
            <m:degHide m:val="1"/>
            <m:ctrlPr/>
          </m:radPr>
          <m:deg/>
          <m:e>
            <m:nary>
              <m:naryPr>
                <m:chr m:val="∑"/>
                <m:limLoc m:val="undOvr"/>
                <m:ctrlPr/>
              </m:naryPr>
              <m:sub>
                <m:r>
                  <m:t>i=1</m:t>
                </m:r>
              </m:sub>
              <m:sup>
                <m:r>
                  <m:t>7</m:t>
                </m:r>
              </m:sup>
              <m:e>
                <m:sSubSup>
                  <m:sSubSupPr>
                    <m:ctrlPr/>
                  </m:sSubSupPr>
                  <m:e>
                    <m:r>
                      <m:t>x</m:t>
                    </m:r>
                  </m:e>
                  <m:sub>
                    <m:r>
                      <m:t>i</m:t>
                    </m:r>
                  </m:sub>
                  <m:sup>
                    <m:r>
                      <m:t>2</m:t>
                    </m:r>
                  </m:sup>
                </m:sSubSup>
              </m:e>
            </m:nary>
          </m:e>
        </m:rad>
      </m:oMath>
      <w:r w:rsidR="007A3141" w:rsidRPr="00AB3FAF">
        <w:rPr>
          <w:rFonts w:ascii="Times New Roman" w:hAnsi="Times New Roman"/>
        </w:rPr>
        <w:tab/>
        <w:t>(11)</w:t>
      </w:r>
    </w:p>
    <w:p w14:paraId="3437DE68" w14:textId="77777777" w:rsidR="00DE7D45" w:rsidRPr="00E7358F" w:rsidRDefault="00DE7D45" w:rsidP="007A3141">
      <w:r w:rsidRPr="00E7358F">
        <w:t>Damit modelliert das FRZK semantische Sättigung. Je stärker ein semantischer Zustand bereits ausgeprägt ist, desto geringer wird der Einfluss neuer semantischer Ereignisse. Das System besitzt dadurch Stabilisierungstendenzen und verhindert unbegrenzte lineare Akkumulation.</w:t>
      </w:r>
    </w:p>
    <w:p w14:paraId="5E5C1911" w14:textId="77777777" w:rsidR="00DE7D45" w:rsidRPr="00E7358F" w:rsidRDefault="00DE7D45" w:rsidP="007A3141">
      <w:r w:rsidRPr="00E7358F">
        <w:t>Der dritte Term</w:t>
      </w:r>
    </w:p>
    <w:p w14:paraId="7F82EB7E" w14:textId="0F85D995" w:rsidR="007A3141" w:rsidRPr="00AB3FAF" w:rsidRDefault="00AB3FAF" w:rsidP="00AB3FAF">
      <w:pPr>
        <w:pStyle w:val="Formel"/>
        <w:rPr>
          <w:rFonts w:ascii="Times New Roman" w:eastAsia="Times New Roman" w:hAnsi="Times New Roman"/>
        </w:rPr>
      </w:pPr>
      <m:oMath>
        <m:r>
          <m:t xml:space="preserve">-λ </m:t>
        </m:r>
        <m:d>
          <m:dPr>
            <m:ctrlPr/>
          </m:dPr>
          <m:e>
            <m:r>
              <m:t xml:space="preserve"> </m:t>
            </m:r>
            <m:sSub>
              <m:sSubPr>
                <m:ctrlPr/>
              </m:sSubPr>
              <m:e>
                <m:r>
                  <m:t>V</m:t>
                </m:r>
              </m:e>
              <m:sub>
                <m:r>
                  <m:t>t</m:t>
                </m:r>
              </m:sub>
            </m:sSub>
            <m:r>
              <m:t xml:space="preserve">⊙ </m:t>
            </m:r>
            <m:sSubSup>
              <m:sSubSupPr>
                <m:ctrlPr/>
              </m:sSubSupPr>
              <m:e>
                <m:r>
                  <m:t>w</m:t>
                </m:r>
              </m:e>
              <m:sub>
                <m:r>
                  <m:t>t</m:t>
                </m:r>
              </m:sub>
              <m:sup>
                <m:r>
                  <m:t>'</m:t>
                </m:r>
              </m:sup>
            </m:sSubSup>
          </m:e>
        </m:d>
      </m:oMath>
      <w:r w:rsidR="007A3141" w:rsidRPr="00AB3FAF">
        <w:rPr>
          <w:rFonts w:ascii="Times New Roman" w:hAnsi="Times New Roman"/>
        </w:rPr>
        <w:tab/>
        <w:t>(12)</w:t>
      </w:r>
    </w:p>
    <w:p w14:paraId="755FF0AE" w14:textId="61B86FF2" w:rsidR="00DE7D45" w:rsidRPr="007A3141" w:rsidRDefault="00DE7D45" w:rsidP="007A3141">
      <w:r w:rsidRPr="00E7358F">
        <w:t xml:space="preserve">beschreibt die interdimensionale Wechselwirkung zwischen bestehendem Systemzustand und neuem Input. Dabei steht </w:t>
      </w:r>
      <w:r w:rsidRPr="00E7358F">
        <w:rPr>
          <w:rFonts w:ascii="Cambria Math" w:hAnsi="Cambria Math" w:cs="Cambria Math"/>
        </w:rPr>
        <w:t>⊙</w:t>
      </w:r>
      <w:r w:rsidRPr="00E7358F">
        <w:t xml:space="preserve"> für die komponentenweise Multiplikation. Bereits dominante Dimensionen erzeugen dadurch Rückkopplungseffekte. Semantische Dominanz kann sich stabilisieren, abschwächen oder gegenseitig hemmen. Der Parameter λ kontrolliert die Stärke dieser internen Systeminteraktion.</w:t>
      </w:r>
    </w:p>
    <w:p w14:paraId="7CA14908" w14:textId="77777777" w:rsidR="00DE7D45" w:rsidRDefault="00DE7D45" w:rsidP="007A3141">
      <w:r w:rsidRPr="00E7358F">
        <w:t>Der vierte Term</w:t>
      </w:r>
    </w:p>
    <w:p w14:paraId="00173C65" w14:textId="075F8231" w:rsidR="002238B0" w:rsidRPr="00AB3FAF" w:rsidRDefault="00AB3FAF" w:rsidP="00AB3FAF">
      <w:pPr>
        <w:pStyle w:val="Formel"/>
      </w:pPr>
      <m:oMath>
        <m:r>
          <m:t>δ cos</m:t>
        </m:r>
        <m:d>
          <m:dPr>
            <m:ctrlPr/>
          </m:dPr>
          <m:e>
            <m:sSub>
              <m:sSubPr>
                <m:ctrlPr/>
              </m:sSubPr>
              <m:e>
                <m:r>
                  <m:t>V</m:t>
                </m:r>
              </m:e>
              <m:sub>
                <m:r>
                  <m:t>t</m:t>
                </m:r>
              </m:sub>
            </m:sSub>
            <m:r>
              <m:t>,</m:t>
            </m:r>
            <m:sSubSup>
              <m:sSubSupPr>
                <m:ctrlPr/>
              </m:sSubSupPr>
              <m:e>
                <m:r>
                  <m:t>w</m:t>
                </m:r>
              </m:e>
              <m:sub>
                <m:r>
                  <m:t>t</m:t>
                </m:r>
              </m:sub>
              <m:sup>
                <m:r>
                  <m:t>'</m:t>
                </m:r>
              </m:sup>
            </m:sSubSup>
          </m:e>
        </m:d>
        <m:sSubSup>
          <m:sSubSupPr>
            <m:ctrlPr/>
          </m:sSubSupPr>
          <m:e>
            <m:r>
              <m:t>w</m:t>
            </m:r>
          </m:e>
          <m:sub>
            <m:r>
              <m:t>t</m:t>
            </m:r>
          </m:sub>
          <m:sup>
            <m:r>
              <m:t>'</m:t>
            </m:r>
          </m:sup>
        </m:sSubSup>
      </m:oMath>
      <w:r w:rsidR="00D31778" w:rsidRPr="00AB3FAF">
        <w:tab/>
        <w:t>(13)</w:t>
      </w:r>
    </w:p>
    <w:p w14:paraId="6BF482B7" w14:textId="77777777" w:rsidR="00DE7D45" w:rsidRPr="00E7358F" w:rsidRDefault="00DE7D45" w:rsidP="002238B0">
      <w:r w:rsidRPr="00E7358F">
        <w:t xml:space="preserve">beschreibt schließlich die Resonanzdynamik des Systems. Die Resonanz basiert auf der </w:t>
      </w:r>
      <w:proofErr w:type="spellStart"/>
      <w:r w:rsidRPr="00E7358F">
        <w:t>Kosinusähnlichkeit</w:t>
      </w:r>
      <w:proofErr w:type="spellEnd"/>
      <w:r w:rsidRPr="00E7358F">
        <w:t xml:space="preserve"> zwischen bestehendem Zustand und neuem Input:</w:t>
      </w:r>
    </w:p>
    <w:p w14:paraId="71B8B154" w14:textId="1ACD7E9E" w:rsidR="00AB3FAF" w:rsidRPr="00AB3FAF" w:rsidRDefault="00AB3FAF" w:rsidP="00AB3FAF">
      <w:pPr>
        <w:pStyle w:val="Formel"/>
        <w:rPr>
          <w:rFonts w:ascii="Times New Roman" w:hAnsi="Times New Roman"/>
        </w:rPr>
      </w:pPr>
      <m:oMath>
        <m:r>
          <m:t>cos(</m:t>
        </m:r>
        <m:sSub>
          <m:sSubPr>
            <m:ctrlPr/>
          </m:sSubPr>
          <m:e>
            <m:r>
              <m:t>V</m:t>
            </m:r>
          </m:e>
          <m:sub>
            <m:r>
              <m:t>t</m:t>
            </m:r>
          </m:sub>
        </m:sSub>
        <m:r>
          <m:t>​,</m:t>
        </m:r>
        <m:sSubSup>
          <m:sSubSupPr>
            <m:ctrlPr/>
          </m:sSubSupPr>
          <m:e>
            <m:r>
              <m:t>w</m:t>
            </m:r>
          </m:e>
          <m:sub>
            <m:r>
              <m:t>t</m:t>
            </m:r>
          </m:sub>
          <m:sup>
            <m:r>
              <m:t>'</m:t>
            </m:r>
          </m:sup>
        </m:sSubSup>
        <m:r>
          <m:t>​)=</m:t>
        </m:r>
        <m:f>
          <m:fPr>
            <m:ctrlPr>
              <w:rPr>
                <w:rFonts w:eastAsia="Times New Roman"/>
              </w:rPr>
            </m:ctrlPr>
          </m:fPr>
          <m:num>
            <m:sSub>
              <m:sSubPr>
                <m:ctrlPr/>
              </m:sSubPr>
              <m:e>
                <m:r>
                  <m:t>V</m:t>
                </m:r>
              </m:e>
              <m:sub>
                <m:r>
                  <m:t>t</m:t>
                </m:r>
              </m:sub>
            </m:sSub>
            <m:r>
              <m:t>​</m:t>
            </m:r>
            <m:r>
              <w:rPr>
                <w:rFonts w:cs="Cambria Math"/>
              </w:rPr>
              <m:t>⋅</m:t>
            </m:r>
            <m:sSubSup>
              <m:sSubSupPr>
                <m:ctrlPr/>
              </m:sSubSupPr>
              <m:e>
                <m:r>
                  <m:t>w</m:t>
                </m:r>
              </m:e>
              <m:sub>
                <m:r>
                  <m:t>t</m:t>
                </m:r>
              </m:sub>
              <m:sup>
                <m:r>
                  <m:t>'</m:t>
                </m:r>
              </m:sup>
            </m:sSubSup>
          </m:num>
          <m:den>
            <m:r>
              <w:rPr>
                <w:rFonts w:cs="Cambria Math"/>
              </w:rPr>
              <m:t>∥</m:t>
            </m:r>
            <m:sSub>
              <m:sSubPr>
                <m:ctrlPr/>
              </m:sSubPr>
              <m:e>
                <m:r>
                  <m:t>V</m:t>
                </m:r>
                <m:ctrlPr>
                  <w:rPr>
                    <w:rFonts w:cs="Cambria Math"/>
                  </w:rPr>
                </m:ctrlPr>
              </m:e>
              <m:sub>
                <m:r>
                  <m:t>t</m:t>
                </m:r>
              </m:sub>
            </m:sSub>
            <m:r>
              <m:t>​</m:t>
            </m:r>
            <m:r>
              <w:rPr>
                <w:rFonts w:cs="Cambria Math"/>
              </w:rPr>
              <m:t>∥⋅∥</m:t>
            </m:r>
            <m:sSubSup>
              <m:sSubSupPr>
                <m:ctrlPr/>
              </m:sSubSupPr>
              <m:e>
                <m:r>
                  <m:t>w</m:t>
                </m:r>
              </m:e>
              <m:sub>
                <m:r>
                  <m:t>t</m:t>
                </m:r>
              </m:sub>
              <m:sup>
                <m:r>
                  <m:t>'</m:t>
                </m:r>
              </m:sup>
            </m:sSubSup>
            <m:r>
              <m:t>​</m:t>
            </m:r>
            <m:r>
              <w:rPr>
                <w:rFonts w:cs="Cambria Math"/>
              </w:rPr>
              <m:t>∥</m:t>
            </m:r>
          </m:den>
        </m:f>
        <m:r>
          <m:t>​​</m:t>
        </m:r>
      </m:oMath>
      <w:r w:rsidRPr="00AB3FAF">
        <w:rPr>
          <w:rFonts w:ascii="Times New Roman" w:hAnsi="Times New Roman"/>
        </w:rPr>
        <w:tab/>
        <w:t>(14)</w:t>
      </w:r>
    </w:p>
    <w:p w14:paraId="493A3AA0" w14:textId="77777777" w:rsidR="00AB3FAF" w:rsidRPr="00E7358F" w:rsidRDefault="00AB3FAF" w:rsidP="00DE7D45">
      <w:pPr>
        <w:spacing w:after="0"/>
        <w:rPr>
          <w:rFonts w:ascii="Times New Roman" w:hAnsi="Times New Roman"/>
        </w:rPr>
      </w:pPr>
    </w:p>
    <w:p w14:paraId="3A5A215C" w14:textId="3D709590" w:rsidR="00DE7D45" w:rsidRPr="00E7358F" w:rsidRDefault="00DE7D45" w:rsidP="002238B0">
      <w:r w:rsidRPr="00E7358F">
        <w:t xml:space="preserve">Hohe positive </w:t>
      </w:r>
      <w:proofErr w:type="spellStart"/>
      <w:r w:rsidRPr="00E7358F">
        <w:t>Kosinuswerte</w:t>
      </w:r>
      <w:proofErr w:type="spellEnd"/>
      <w:r w:rsidRPr="00E7358F">
        <w:t xml:space="preserve"> bedeuten semantische Richtungsähnlichkeit. In diesem Fall verstärkt das System den neuen Input resonant. Negative Werte hingegen erzeugen semantische Gegenläufigkeit und wirken destabili</w:t>
      </w:r>
      <w:r w:rsidR="001057DC">
        <w:t>si</w:t>
      </w:r>
      <w:r w:rsidRPr="00E7358F">
        <w:t>er</w:t>
      </w:r>
      <w:r w:rsidR="001057DC">
        <w:t>end</w:t>
      </w:r>
      <w:r w:rsidRPr="00E7358F">
        <w:t>. Bedeutungen werden damit nicht nur über Intensität, sondern über strukturelle Richtungsähnlichkeit modelliert.</w:t>
      </w:r>
    </w:p>
    <w:p w14:paraId="2EBE8ECE" w14:textId="77777777" w:rsidR="00DE7D45" w:rsidRPr="00E7358F" w:rsidRDefault="00DE7D45" w:rsidP="002238B0">
      <w:r w:rsidRPr="00E7358F">
        <w:t xml:space="preserve">Die Implementierung dieser Gleichung erfolgt direkt innerhalb der Funktion </w:t>
      </w:r>
      <w:proofErr w:type="spellStart"/>
      <w:r w:rsidRPr="00E7358F">
        <w:rPr>
          <w:rFonts w:ascii="Courier New" w:hAnsi="Courier New" w:cs="Courier New"/>
          <w:sz w:val="20"/>
          <w:szCs w:val="20"/>
        </w:rPr>
        <w:t>updateFRZKState</w:t>
      </w:r>
      <w:proofErr w:type="spellEnd"/>
      <w:r w:rsidRPr="00E7358F">
        <w:rPr>
          <w:rFonts w:ascii="Courier New" w:hAnsi="Courier New" w:cs="Courier New"/>
          <w:sz w:val="20"/>
          <w:szCs w:val="20"/>
        </w:rPr>
        <w:t>()</w:t>
      </w:r>
      <w:r w:rsidRPr="00E7358F">
        <w:t xml:space="preserve">. Dort werden Dämpfung, Interaktion und Resonanz explizit berechnet und anschließend zum neuen Zustandsvektor aggregiert. </w:t>
      </w:r>
    </w:p>
    <w:p w14:paraId="5F793A25" w14:textId="77777777" w:rsidR="00DE7D45" w:rsidRPr="00E7358F" w:rsidRDefault="00DE7D45" w:rsidP="00AB3FAF">
      <w:r w:rsidRPr="00E7358F">
        <w:t>Nach Abschluss der rekursiven Verarbeitung wird der finale Zustandsvektor normiert:</w:t>
      </w:r>
    </w:p>
    <w:p w14:paraId="48B877F4" w14:textId="6CA0C0D3" w:rsidR="00DE7D45" w:rsidRPr="00E7358F" w:rsidRDefault="00000000" w:rsidP="00AB3FAF">
      <w:pPr>
        <w:pStyle w:val="Formel"/>
        <w:rPr>
          <w:rFonts w:ascii="Times New Roman" w:hAnsi="Times New Roman"/>
        </w:rPr>
      </w:pPr>
      <m:oMath>
        <m:sSub>
          <m:sSubPr>
            <m:ctrlPr/>
          </m:sSubPr>
          <m:e>
            <m:r>
              <m:t>V</m:t>
            </m:r>
          </m:e>
          <m:sub>
            <m:r>
              <m:t>norm</m:t>
            </m:r>
          </m:sub>
        </m:sSub>
        <m:r>
          <m:t>​</m:t>
        </m:r>
        <m:r>
          <m:rPr>
            <m:sty m:val="bi"/>
          </m:rPr>
          <m:t>=</m:t>
        </m:r>
        <m:f>
          <m:fPr>
            <m:ctrlPr>
              <w:rPr>
                <w:rFonts w:eastAsia="Times New Roman"/>
                <w:b/>
              </w:rPr>
            </m:ctrlPr>
          </m:fPr>
          <m:num>
            <m:r>
              <m:t>V</m:t>
            </m:r>
          </m:num>
          <m:den>
            <m:r>
              <m:t>∥V∥+ε</m:t>
            </m:r>
          </m:den>
        </m:f>
        <m:r>
          <m:t>​</m:t>
        </m:r>
      </m:oMath>
      <w:r w:rsidR="00AB3FAF">
        <w:rPr>
          <w:rFonts w:ascii="Times New Roman" w:hAnsi="Times New Roman"/>
        </w:rPr>
        <w:tab/>
        <w:t>(15)</w:t>
      </w:r>
    </w:p>
    <w:p w14:paraId="67DEB5A9" w14:textId="77777777" w:rsidR="00DE7D45" w:rsidRPr="00E7358F" w:rsidRDefault="00DE7D45" w:rsidP="00AB3FAF">
      <w:r w:rsidRPr="00E7358F">
        <w:t>Dadurch bleiben Zustände unterschiedlicher Satzlängen vergleichbar. Anschließend werden weitere diagnostische Größen bestimmt. Die semantische Dichte ergibt sich aus der Norm des Endzustands:</w:t>
      </w:r>
    </w:p>
    <w:p w14:paraId="65EC156B" w14:textId="1007E193" w:rsidR="00DE7D45" w:rsidRPr="00E7358F" w:rsidRDefault="00000000" w:rsidP="00AB3FAF">
      <w:pPr>
        <w:pStyle w:val="Formel"/>
        <w:rPr>
          <w:rFonts w:ascii="Times New Roman" w:hAnsi="Times New Roman"/>
        </w:rPr>
      </w:pPr>
      <m:oMath>
        <m:sSub>
          <m:sSubPr>
            <m:ctrlPr/>
          </m:sSubPr>
          <m:e>
            <m:r>
              <m:t>d</m:t>
            </m:r>
          </m:e>
          <m:sub>
            <m:r>
              <m:t>semantisch</m:t>
            </m:r>
          </m:sub>
        </m:sSub>
        <m:r>
          <m:t>=</m:t>
        </m:r>
        <m:r>
          <w:rPr>
            <w:rFonts w:cs="Cambria Math"/>
          </w:rPr>
          <m:t>∥</m:t>
        </m:r>
        <m:r>
          <m:t>V</m:t>
        </m:r>
        <m:r>
          <w:rPr>
            <w:rFonts w:cs="Cambria Math"/>
          </w:rPr>
          <m:t>∥</m:t>
        </m:r>
      </m:oMath>
      <w:r w:rsidR="00AB3FAF">
        <w:rPr>
          <w:rFonts w:ascii="Times New Roman" w:hAnsi="Times New Roman"/>
        </w:rPr>
        <w:tab/>
        <w:t>(16)</w:t>
      </w:r>
    </w:p>
    <w:p w14:paraId="2CFEA1D5" w14:textId="77777777" w:rsidR="00DE7D45" w:rsidRPr="00E7358F" w:rsidRDefault="00DE7D45" w:rsidP="00AB3FAF">
      <w:r w:rsidRPr="00E7358F">
        <w:t>Die dominante Dimension wird über den betragsmäßig größten Komponentenwert berechnet:</w:t>
      </w:r>
    </w:p>
    <w:p w14:paraId="3F933ACD" w14:textId="37305994" w:rsidR="00DE7D45" w:rsidRPr="00E7358F" w:rsidRDefault="00000000" w:rsidP="00AB3FAF">
      <w:pPr>
        <w:pStyle w:val="Formel"/>
        <w:rPr>
          <w:rFonts w:ascii="Times New Roman" w:hAnsi="Times New Roman"/>
        </w:rPr>
      </w:pPr>
      <m:oMath>
        <m:sSub>
          <m:sSubPr>
            <m:ctrlPr/>
          </m:sSubPr>
          <m:e>
            <m:r>
              <m:t>D</m:t>
            </m:r>
            <m:ctrlPr>
              <w:rPr>
                <w:rFonts w:cs="Cambria Math"/>
              </w:rPr>
            </m:ctrlPr>
          </m:e>
          <m:sub>
            <m:r>
              <m:t>max</m:t>
            </m:r>
          </m:sub>
        </m:sSub>
        <m:r>
          <m:t>=arg</m:t>
        </m:r>
        <m:func>
          <m:funcPr>
            <m:ctrlPr/>
          </m:funcPr>
          <m:fName>
            <m:limLow>
              <m:limLowPr>
                <m:ctrlPr/>
              </m:limLowPr>
              <m:e>
                <m:r>
                  <m:t>max</m:t>
                </m:r>
              </m:e>
              <m:lim>
                <m:r>
                  <m:t>i</m:t>
                </m:r>
              </m:lim>
            </m:limLow>
          </m:fName>
          <m:e>
            <m:r>
              <m:t>|</m:t>
            </m:r>
            <m:sSub>
              <m:sSubPr>
                <m:ctrlPr/>
              </m:sSubPr>
              <m:e>
                <m:r>
                  <m:t>x</m:t>
                </m:r>
              </m:e>
              <m:sub>
                <m:r>
                  <m:t>i</m:t>
                </m:r>
              </m:sub>
            </m:sSub>
            <m:r>
              <m:t>|</m:t>
            </m:r>
          </m:e>
        </m:func>
      </m:oMath>
      <w:r w:rsidR="00AB3FAF">
        <w:rPr>
          <w:rFonts w:ascii="Times New Roman" w:hAnsi="Times New Roman"/>
        </w:rPr>
        <w:tab/>
        <w:t>(17)</w:t>
      </w:r>
    </w:p>
    <w:p w14:paraId="0E439CD2" w14:textId="77777777" w:rsidR="00DE7D45" w:rsidRPr="00E7358F" w:rsidRDefault="00DE7D45" w:rsidP="00AB3FAF">
      <w:r w:rsidRPr="00E7358F">
        <w:t>Die Polarität ergibt sich aus der Gesamtvorzeichenstruktur des Zustandsvektors:</w:t>
      </w:r>
    </w:p>
    <w:p w14:paraId="52E3EFAB" w14:textId="7FE28F6F" w:rsidR="00DE7D45" w:rsidRDefault="00AB3FAF" w:rsidP="00AB3FAF">
      <w:pPr>
        <w:pStyle w:val="Formel"/>
        <w:rPr>
          <w:rFonts w:ascii="Times New Roman" w:hAnsi="Times New Roman"/>
        </w:rPr>
      </w:pPr>
      <m:oMath>
        <m:r>
          <m:t>P=sign</m:t>
        </m:r>
        <m:d>
          <m:dPr>
            <m:ctrlPr>
              <w:rPr>
                <w:rFonts w:eastAsia="Times New Roman"/>
              </w:rPr>
            </m:ctrlPr>
          </m:dPr>
          <m:e>
            <m:nary>
              <m:naryPr>
                <m:chr m:val="∑"/>
                <m:limLoc m:val="undOvr"/>
                <m:ctrlPr>
                  <w:rPr>
                    <w:rFonts w:eastAsia="Times New Roman"/>
                  </w:rPr>
                </m:ctrlPr>
              </m:naryPr>
              <m:sub>
                <m:r>
                  <m:t>i=1</m:t>
                </m:r>
              </m:sub>
              <m:sup>
                <m:r>
                  <m:t>7</m:t>
                </m:r>
              </m:sup>
              <m:e>
                <m:sSub>
                  <m:sSubPr>
                    <m:ctrlPr/>
                  </m:sSubPr>
                  <m:e>
                    <m:r>
                      <m:t>x</m:t>
                    </m:r>
                  </m:e>
                  <m:sub>
                    <m:r>
                      <m:t>i</m:t>
                    </m:r>
                  </m:sub>
                </m:sSub>
              </m:e>
            </m:nary>
          </m:e>
        </m:d>
      </m:oMath>
      <w:r>
        <w:rPr>
          <w:rFonts w:ascii="Times New Roman" w:hAnsi="Times New Roman"/>
        </w:rPr>
        <w:tab/>
        <w:t>(18)</w:t>
      </w:r>
    </w:p>
    <w:p w14:paraId="35DC8B05" w14:textId="77777777" w:rsidR="00AB3FAF" w:rsidRPr="00E7358F" w:rsidRDefault="00AB3FAF" w:rsidP="00DE7D45">
      <w:pPr>
        <w:spacing w:after="0"/>
        <w:rPr>
          <w:rFonts w:ascii="Times New Roman" w:hAnsi="Times New Roman"/>
        </w:rPr>
      </w:pPr>
    </w:p>
    <w:p w14:paraId="0D6E42A0" w14:textId="77777777" w:rsidR="00DE7D45" w:rsidRDefault="00DE7D45" w:rsidP="00AB3FAF">
      <w:r w:rsidRPr="00E7358F">
        <w:t xml:space="preserve">Damit wird jede Lehrkraftaussage zugleich hinsichtlich Intensität, Richtung, Stabilität, Dominanz und Resonanzfähigkeit beschreibbar. Die Speicherung dieser Werte erfolgt in </w:t>
      </w:r>
      <w:proofErr w:type="spellStart"/>
      <w:r w:rsidRPr="00092AF7">
        <w:rPr>
          <w:rStyle w:val="SQLTabelle"/>
        </w:rPr>
        <w:t>frzk_semantische_dichte_lehrer</w:t>
      </w:r>
      <w:proofErr w:type="spellEnd"/>
      <w:r w:rsidRPr="00E7358F">
        <w:t xml:space="preserve">. Dort werden normierte Zustandsvektoren, Summenwerte, </w:t>
      </w:r>
      <w:proofErr w:type="spellStart"/>
      <w:r w:rsidRPr="00E7358F">
        <w:t>Tokenanzahl</w:t>
      </w:r>
      <w:proofErr w:type="spellEnd"/>
      <w:r w:rsidRPr="00E7358F">
        <w:t xml:space="preserve">, dominante Dimension, dominante Dimensionsstärke, Polarität sowie semantische Dichte persistiert. </w:t>
      </w:r>
    </w:p>
    <w:p w14:paraId="14935FE4" w14:textId="69070CCB" w:rsidR="006F16BE" w:rsidRPr="00E7358F" w:rsidRDefault="006F16BE" w:rsidP="00AB3FAF">
      <w:r>
        <w:t>Das führt zur</w:t>
      </w:r>
      <w:r w:rsidRPr="006F16BE">
        <w:t xml:space="preserve"> vollständige</w:t>
      </w:r>
      <w:r>
        <w:t>n</w:t>
      </w:r>
      <w:r w:rsidRPr="006F16BE">
        <w:t xml:space="preserve"> Ableitung: Token werden zu siebendimensionalen Funktionsvektoren, diese werden durch Moderatoren transformiert, anschließend rekursiv in den bisherigen Systemzustand integriert, durch Dämpfung begrenzt, durch komponentenweise Wechselwirkung rückgekoppelt und durch </w:t>
      </w:r>
      <w:proofErr w:type="spellStart"/>
      <w:r w:rsidRPr="006F16BE">
        <w:t>Kosinusähnlichkeit</w:t>
      </w:r>
      <w:proofErr w:type="spellEnd"/>
      <w:r w:rsidRPr="006F16BE">
        <w:t xml:space="preserve"> resonanzsensitiv verstärkt oder abgeschwächt. Die diagnostischen Größen </w:t>
      </w:r>
      <m:oMath>
        <m:sSub>
          <m:sSubPr>
            <m:ctrlPr>
              <w:rPr>
                <w:rFonts w:ascii="Cambria Math" w:hAnsi="Cambria Math"/>
                <w:i/>
                <w:iCs/>
              </w:rPr>
            </m:ctrlPr>
          </m:sSubPr>
          <m:e>
            <m:r>
              <w:rPr>
                <w:rFonts w:ascii="Cambria Math" w:hAnsi="Cambria Math"/>
              </w:rPr>
              <m:t>d</m:t>
            </m:r>
          </m:e>
          <m:sub>
            <m:r>
              <w:rPr>
                <w:rFonts w:ascii="Cambria Math" w:hAnsi="Cambria Math"/>
              </w:rPr>
              <m:t>semantisch</m:t>
            </m:r>
          </m:sub>
        </m:sSub>
      </m:oMath>
      <w:r w:rsidRPr="006F16BE">
        <w:t xml:space="preserve">​, </w:t>
      </w:r>
      <m:oMath>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 xml:space="preserve"> </m:t>
        </m:r>
      </m:oMath>
      <w:r w:rsidRPr="006F16BE">
        <w:t>​ und P sind keine Zusatzformeln, sondern direkte Ausleitungen aus dem finalen FRZK-Zustandsvektor.</w:t>
      </w:r>
    </w:p>
    <w:p w14:paraId="59FE9CE2" w14:textId="77777777" w:rsidR="00DE7D45" w:rsidRPr="00AB3FAF" w:rsidRDefault="00DE7D45" w:rsidP="00AB3FAF">
      <w:r w:rsidRPr="00E7358F">
        <w:t xml:space="preserve">Mathematisch entsteht dadurch kein lineares NLP-Modell, sondern ein rekursives semantisches Zustandssystem. Unterricht wird im FRZK nicht als Sammlung isolierter Aussagen beschrieben, sondern als emergente Folge dynamischer Zustandsübergänge. Gleiche Aussagen können abhängig vom vorherigen Systemzustand unterschiedliche </w:t>
      </w:r>
      <w:r w:rsidRPr="00E7358F">
        <w:lastRenderedPageBreak/>
        <w:t xml:space="preserve">Wirkungen entfalten. Bedeutungen entstehen somit kontextabhängig, rekursiv und </w:t>
      </w:r>
      <w:r w:rsidRPr="00AB3FAF">
        <w:t>resonanzsensitiv. Gerade für die Lehrkraftsicht der Nachhilfe ist diese Dynamik zentral, weil Lernprozesse dort typischerweise hochgradig individuell, adaptiv und rückkopplungsabhängig verlaufen. Das FRZK übersetzt diese qualitative Dynamik in ein mathematisch rekonstruierbares System semantischer Zustände.</w:t>
      </w:r>
    </w:p>
    <w:p w14:paraId="17D5831D" w14:textId="77777777" w:rsidR="00DE7D45" w:rsidRPr="00E7358F" w:rsidRDefault="00DE7D45" w:rsidP="00DE7D45">
      <w:pPr>
        <w:spacing w:before="100" w:beforeAutospacing="1" w:after="100" w:afterAutospacing="1"/>
        <w:outlineLvl w:val="1"/>
        <w:rPr>
          <w:rFonts w:ascii="Times New Roman" w:hAnsi="Times New Roman"/>
          <w:b/>
          <w:bCs/>
          <w:sz w:val="36"/>
          <w:szCs w:val="36"/>
        </w:rPr>
      </w:pPr>
      <w:r w:rsidRPr="00E7358F">
        <w:rPr>
          <w:rFonts w:ascii="Times New Roman" w:hAnsi="Times New Roman"/>
          <w:b/>
          <w:bCs/>
          <w:sz w:val="36"/>
          <w:szCs w:val="36"/>
        </w:rPr>
        <w:t>Literaturverzeichnis</w:t>
      </w:r>
    </w:p>
    <w:p w14:paraId="7513B06C" w14:textId="77777777" w:rsidR="00DE7D45" w:rsidRPr="00E7358F" w:rsidRDefault="00DE7D45" w:rsidP="00DE7D45">
      <w:pPr>
        <w:spacing w:before="100" w:beforeAutospacing="1" w:after="100" w:afterAutospacing="1"/>
        <w:rPr>
          <w:rFonts w:ascii="Times New Roman" w:hAnsi="Times New Roman"/>
        </w:rPr>
      </w:pPr>
      <w:r w:rsidRPr="00E7358F">
        <w:rPr>
          <w:rFonts w:ascii="Times New Roman" w:hAnsi="Times New Roman"/>
        </w:rPr>
        <w:t xml:space="preserve">[1] Anderson, L. W., &amp; </w:t>
      </w:r>
      <w:proofErr w:type="spellStart"/>
      <w:r w:rsidRPr="00E7358F">
        <w:rPr>
          <w:rFonts w:ascii="Times New Roman" w:hAnsi="Times New Roman"/>
        </w:rPr>
        <w:t>Krathwohl</w:t>
      </w:r>
      <w:proofErr w:type="spellEnd"/>
      <w:r w:rsidRPr="00E7358F">
        <w:rPr>
          <w:rFonts w:ascii="Times New Roman" w:hAnsi="Times New Roman"/>
        </w:rPr>
        <w:t xml:space="preserve">, D. R. (2001). </w:t>
      </w:r>
      <w:r w:rsidRPr="00E7358F">
        <w:rPr>
          <w:rFonts w:ascii="Times New Roman" w:hAnsi="Times New Roman"/>
          <w:i/>
          <w:iCs/>
        </w:rPr>
        <w:t xml:space="preserve">A </w:t>
      </w:r>
      <w:proofErr w:type="spellStart"/>
      <w:r w:rsidRPr="00E7358F">
        <w:rPr>
          <w:rFonts w:ascii="Times New Roman" w:hAnsi="Times New Roman"/>
          <w:i/>
          <w:iCs/>
        </w:rPr>
        <w:t>Taxonomy</w:t>
      </w:r>
      <w:proofErr w:type="spellEnd"/>
      <w:r w:rsidRPr="00E7358F">
        <w:rPr>
          <w:rFonts w:ascii="Times New Roman" w:hAnsi="Times New Roman"/>
          <w:i/>
          <w:iCs/>
        </w:rPr>
        <w:t xml:space="preserve"> </w:t>
      </w:r>
      <w:proofErr w:type="spellStart"/>
      <w:r w:rsidRPr="00E7358F">
        <w:rPr>
          <w:rFonts w:ascii="Times New Roman" w:hAnsi="Times New Roman"/>
          <w:i/>
          <w:iCs/>
        </w:rPr>
        <w:t>for</w:t>
      </w:r>
      <w:proofErr w:type="spellEnd"/>
      <w:r w:rsidRPr="00E7358F">
        <w:rPr>
          <w:rFonts w:ascii="Times New Roman" w:hAnsi="Times New Roman"/>
          <w:i/>
          <w:iCs/>
        </w:rPr>
        <w:t xml:space="preserve"> Learning, Teaching, and </w:t>
      </w:r>
      <w:proofErr w:type="spellStart"/>
      <w:r w:rsidRPr="00E7358F">
        <w:rPr>
          <w:rFonts w:ascii="Times New Roman" w:hAnsi="Times New Roman"/>
          <w:i/>
          <w:iCs/>
        </w:rPr>
        <w:t>Assessing</w:t>
      </w:r>
      <w:proofErr w:type="spellEnd"/>
      <w:r w:rsidRPr="00E7358F">
        <w:rPr>
          <w:rFonts w:ascii="Times New Roman" w:hAnsi="Times New Roman"/>
        </w:rPr>
        <w:t>. New York: Longman.</w:t>
      </w:r>
    </w:p>
    <w:p w14:paraId="0F64049E" w14:textId="77777777" w:rsidR="00DE7D45" w:rsidRPr="00E7358F" w:rsidRDefault="00DE7D45" w:rsidP="00DE7D45">
      <w:pPr>
        <w:spacing w:before="100" w:beforeAutospacing="1" w:after="100" w:afterAutospacing="1"/>
        <w:rPr>
          <w:rFonts w:ascii="Times New Roman" w:hAnsi="Times New Roman"/>
        </w:rPr>
      </w:pPr>
      <w:r w:rsidRPr="00E7358F">
        <w:rPr>
          <w:rFonts w:ascii="Times New Roman" w:hAnsi="Times New Roman"/>
        </w:rPr>
        <w:t>[2] Deci, E. L., &amp; Ryan, R. M. (2000). The “</w:t>
      </w:r>
      <w:proofErr w:type="spellStart"/>
      <w:r w:rsidRPr="00E7358F">
        <w:rPr>
          <w:rFonts w:ascii="Times New Roman" w:hAnsi="Times New Roman"/>
        </w:rPr>
        <w:t>What</w:t>
      </w:r>
      <w:proofErr w:type="spellEnd"/>
      <w:r w:rsidRPr="00E7358F">
        <w:rPr>
          <w:rFonts w:ascii="Times New Roman" w:hAnsi="Times New Roman"/>
        </w:rPr>
        <w:t>” and “</w:t>
      </w:r>
      <w:proofErr w:type="spellStart"/>
      <w:r w:rsidRPr="00E7358F">
        <w:rPr>
          <w:rFonts w:ascii="Times New Roman" w:hAnsi="Times New Roman"/>
        </w:rPr>
        <w:t>Why</w:t>
      </w:r>
      <w:proofErr w:type="spellEnd"/>
      <w:r w:rsidRPr="00E7358F">
        <w:rPr>
          <w:rFonts w:ascii="Times New Roman" w:hAnsi="Times New Roman"/>
        </w:rPr>
        <w:t xml:space="preserve">” </w:t>
      </w:r>
      <w:proofErr w:type="spellStart"/>
      <w:r w:rsidRPr="00E7358F">
        <w:rPr>
          <w:rFonts w:ascii="Times New Roman" w:hAnsi="Times New Roman"/>
        </w:rPr>
        <w:t>of</w:t>
      </w:r>
      <w:proofErr w:type="spellEnd"/>
      <w:r w:rsidRPr="00E7358F">
        <w:rPr>
          <w:rFonts w:ascii="Times New Roman" w:hAnsi="Times New Roman"/>
        </w:rPr>
        <w:t xml:space="preserve"> Goal </w:t>
      </w:r>
      <w:proofErr w:type="spellStart"/>
      <w:r w:rsidRPr="00E7358F">
        <w:rPr>
          <w:rFonts w:ascii="Times New Roman" w:hAnsi="Times New Roman"/>
        </w:rPr>
        <w:t>Pursuits</w:t>
      </w:r>
      <w:proofErr w:type="spellEnd"/>
      <w:r w:rsidRPr="00E7358F">
        <w:rPr>
          <w:rFonts w:ascii="Times New Roman" w:hAnsi="Times New Roman"/>
        </w:rPr>
        <w:t xml:space="preserve">: Human Needs and </w:t>
      </w:r>
      <w:proofErr w:type="spellStart"/>
      <w:r w:rsidRPr="00E7358F">
        <w:rPr>
          <w:rFonts w:ascii="Times New Roman" w:hAnsi="Times New Roman"/>
        </w:rPr>
        <w:t>the</w:t>
      </w:r>
      <w:proofErr w:type="spellEnd"/>
      <w:r w:rsidRPr="00E7358F">
        <w:rPr>
          <w:rFonts w:ascii="Times New Roman" w:hAnsi="Times New Roman"/>
        </w:rPr>
        <w:t xml:space="preserve"> Self-Determination </w:t>
      </w:r>
      <w:proofErr w:type="spellStart"/>
      <w:r w:rsidRPr="00E7358F">
        <w:rPr>
          <w:rFonts w:ascii="Times New Roman" w:hAnsi="Times New Roman"/>
        </w:rPr>
        <w:t>of</w:t>
      </w:r>
      <w:proofErr w:type="spellEnd"/>
      <w:r w:rsidRPr="00E7358F">
        <w:rPr>
          <w:rFonts w:ascii="Times New Roman" w:hAnsi="Times New Roman"/>
        </w:rPr>
        <w:t xml:space="preserve"> </w:t>
      </w:r>
      <w:proofErr w:type="spellStart"/>
      <w:r w:rsidRPr="00E7358F">
        <w:rPr>
          <w:rFonts w:ascii="Times New Roman" w:hAnsi="Times New Roman"/>
        </w:rPr>
        <w:t>Behavior</w:t>
      </w:r>
      <w:proofErr w:type="spellEnd"/>
      <w:r w:rsidRPr="00E7358F">
        <w:rPr>
          <w:rFonts w:ascii="Times New Roman" w:hAnsi="Times New Roman"/>
        </w:rPr>
        <w:t xml:space="preserve">. </w:t>
      </w:r>
      <w:r w:rsidRPr="00E7358F">
        <w:rPr>
          <w:rFonts w:ascii="Times New Roman" w:hAnsi="Times New Roman"/>
          <w:i/>
          <w:iCs/>
        </w:rPr>
        <w:t xml:space="preserve">Psychological </w:t>
      </w:r>
      <w:proofErr w:type="spellStart"/>
      <w:r w:rsidRPr="00E7358F">
        <w:rPr>
          <w:rFonts w:ascii="Times New Roman" w:hAnsi="Times New Roman"/>
          <w:i/>
          <w:iCs/>
        </w:rPr>
        <w:t>Inquiry</w:t>
      </w:r>
      <w:proofErr w:type="spellEnd"/>
      <w:r w:rsidRPr="00E7358F">
        <w:rPr>
          <w:rFonts w:ascii="Times New Roman" w:hAnsi="Times New Roman"/>
          <w:i/>
          <w:iCs/>
        </w:rPr>
        <w:t>, 11</w:t>
      </w:r>
      <w:r w:rsidRPr="00E7358F">
        <w:rPr>
          <w:rFonts w:ascii="Times New Roman" w:hAnsi="Times New Roman"/>
        </w:rPr>
        <w:t>(4), 227–268.</w:t>
      </w:r>
    </w:p>
    <w:p w14:paraId="0B11CBBD" w14:textId="77777777" w:rsidR="00DE7D45" w:rsidRPr="00E7358F" w:rsidRDefault="00DE7D45" w:rsidP="00DE7D45">
      <w:pPr>
        <w:spacing w:before="100" w:beforeAutospacing="1" w:after="100" w:afterAutospacing="1"/>
        <w:rPr>
          <w:rFonts w:ascii="Times New Roman" w:hAnsi="Times New Roman"/>
        </w:rPr>
      </w:pPr>
      <w:r w:rsidRPr="00E7358F">
        <w:rPr>
          <w:rFonts w:ascii="Times New Roman" w:hAnsi="Times New Roman"/>
        </w:rPr>
        <w:t xml:space="preserve">[3] Zimmerman, B. J. (2002). </w:t>
      </w:r>
      <w:proofErr w:type="spellStart"/>
      <w:r w:rsidRPr="00E7358F">
        <w:rPr>
          <w:rFonts w:ascii="Times New Roman" w:hAnsi="Times New Roman"/>
        </w:rPr>
        <w:t>Becoming</w:t>
      </w:r>
      <w:proofErr w:type="spellEnd"/>
      <w:r w:rsidRPr="00E7358F">
        <w:rPr>
          <w:rFonts w:ascii="Times New Roman" w:hAnsi="Times New Roman"/>
        </w:rPr>
        <w:t xml:space="preserve"> a Self-</w:t>
      </w:r>
      <w:proofErr w:type="spellStart"/>
      <w:r w:rsidRPr="00E7358F">
        <w:rPr>
          <w:rFonts w:ascii="Times New Roman" w:hAnsi="Times New Roman"/>
        </w:rPr>
        <w:t>Regulated</w:t>
      </w:r>
      <w:proofErr w:type="spellEnd"/>
      <w:r w:rsidRPr="00E7358F">
        <w:rPr>
          <w:rFonts w:ascii="Times New Roman" w:hAnsi="Times New Roman"/>
        </w:rPr>
        <w:t xml:space="preserve"> </w:t>
      </w:r>
      <w:proofErr w:type="spellStart"/>
      <w:r w:rsidRPr="00E7358F">
        <w:rPr>
          <w:rFonts w:ascii="Times New Roman" w:hAnsi="Times New Roman"/>
        </w:rPr>
        <w:t>Learner</w:t>
      </w:r>
      <w:proofErr w:type="spellEnd"/>
      <w:r w:rsidRPr="00E7358F">
        <w:rPr>
          <w:rFonts w:ascii="Times New Roman" w:hAnsi="Times New Roman"/>
        </w:rPr>
        <w:t xml:space="preserve">: An </w:t>
      </w:r>
      <w:proofErr w:type="spellStart"/>
      <w:r w:rsidRPr="00E7358F">
        <w:rPr>
          <w:rFonts w:ascii="Times New Roman" w:hAnsi="Times New Roman"/>
        </w:rPr>
        <w:t>Overview</w:t>
      </w:r>
      <w:proofErr w:type="spellEnd"/>
      <w:r w:rsidRPr="00E7358F">
        <w:rPr>
          <w:rFonts w:ascii="Times New Roman" w:hAnsi="Times New Roman"/>
        </w:rPr>
        <w:t xml:space="preserve">. </w:t>
      </w:r>
      <w:r w:rsidRPr="00E7358F">
        <w:rPr>
          <w:rFonts w:ascii="Times New Roman" w:hAnsi="Times New Roman"/>
          <w:i/>
          <w:iCs/>
        </w:rPr>
        <w:t xml:space="preserve">Theory </w:t>
      </w:r>
      <w:proofErr w:type="spellStart"/>
      <w:r w:rsidRPr="00E7358F">
        <w:rPr>
          <w:rFonts w:ascii="Times New Roman" w:hAnsi="Times New Roman"/>
          <w:i/>
          <w:iCs/>
        </w:rPr>
        <w:t>Into</w:t>
      </w:r>
      <w:proofErr w:type="spellEnd"/>
      <w:r w:rsidRPr="00E7358F">
        <w:rPr>
          <w:rFonts w:ascii="Times New Roman" w:hAnsi="Times New Roman"/>
          <w:i/>
          <w:iCs/>
        </w:rPr>
        <w:t xml:space="preserve"> Practice, 41</w:t>
      </w:r>
      <w:r w:rsidRPr="00E7358F">
        <w:rPr>
          <w:rFonts w:ascii="Times New Roman" w:hAnsi="Times New Roman"/>
        </w:rPr>
        <w:t>(2), 64–70.</w:t>
      </w:r>
    </w:p>
    <w:p w14:paraId="44C1B6D3" w14:textId="77777777" w:rsidR="00DE7D45" w:rsidRPr="00E7358F" w:rsidRDefault="00DE7D45" w:rsidP="00DE7D45">
      <w:pPr>
        <w:spacing w:before="100" w:beforeAutospacing="1" w:after="100" w:afterAutospacing="1"/>
        <w:rPr>
          <w:rFonts w:ascii="Times New Roman" w:hAnsi="Times New Roman"/>
        </w:rPr>
      </w:pPr>
      <w:r w:rsidRPr="00E7358F">
        <w:rPr>
          <w:rFonts w:ascii="Times New Roman" w:hAnsi="Times New Roman"/>
        </w:rPr>
        <w:t xml:space="preserve">[4] Hattie, J. (2009). </w:t>
      </w:r>
      <w:r w:rsidRPr="00E7358F">
        <w:rPr>
          <w:rFonts w:ascii="Times New Roman" w:hAnsi="Times New Roman"/>
          <w:i/>
          <w:iCs/>
        </w:rPr>
        <w:t xml:space="preserve">Visible Learning: A Synthesis </w:t>
      </w:r>
      <w:proofErr w:type="spellStart"/>
      <w:r w:rsidRPr="00E7358F">
        <w:rPr>
          <w:rFonts w:ascii="Times New Roman" w:hAnsi="Times New Roman"/>
          <w:i/>
          <w:iCs/>
        </w:rPr>
        <w:t>of</w:t>
      </w:r>
      <w:proofErr w:type="spellEnd"/>
      <w:r w:rsidRPr="00E7358F">
        <w:rPr>
          <w:rFonts w:ascii="Times New Roman" w:hAnsi="Times New Roman"/>
          <w:i/>
          <w:iCs/>
        </w:rPr>
        <w:t xml:space="preserve"> Over 800 Meta-</w:t>
      </w:r>
      <w:proofErr w:type="spellStart"/>
      <w:r w:rsidRPr="00E7358F">
        <w:rPr>
          <w:rFonts w:ascii="Times New Roman" w:hAnsi="Times New Roman"/>
          <w:i/>
          <w:iCs/>
        </w:rPr>
        <w:t>Analyses</w:t>
      </w:r>
      <w:proofErr w:type="spellEnd"/>
      <w:r w:rsidRPr="00E7358F">
        <w:rPr>
          <w:rFonts w:ascii="Times New Roman" w:hAnsi="Times New Roman"/>
          <w:i/>
          <w:iCs/>
        </w:rPr>
        <w:t xml:space="preserve"> </w:t>
      </w:r>
      <w:proofErr w:type="spellStart"/>
      <w:r w:rsidRPr="00E7358F">
        <w:rPr>
          <w:rFonts w:ascii="Times New Roman" w:hAnsi="Times New Roman"/>
          <w:i/>
          <w:iCs/>
        </w:rPr>
        <w:t>Relating</w:t>
      </w:r>
      <w:proofErr w:type="spellEnd"/>
      <w:r w:rsidRPr="00E7358F">
        <w:rPr>
          <w:rFonts w:ascii="Times New Roman" w:hAnsi="Times New Roman"/>
          <w:i/>
          <w:iCs/>
        </w:rPr>
        <w:t xml:space="preserve"> </w:t>
      </w:r>
      <w:proofErr w:type="spellStart"/>
      <w:r w:rsidRPr="00E7358F">
        <w:rPr>
          <w:rFonts w:ascii="Times New Roman" w:hAnsi="Times New Roman"/>
          <w:i/>
          <w:iCs/>
        </w:rPr>
        <w:t>to</w:t>
      </w:r>
      <w:proofErr w:type="spellEnd"/>
      <w:r w:rsidRPr="00E7358F">
        <w:rPr>
          <w:rFonts w:ascii="Times New Roman" w:hAnsi="Times New Roman"/>
          <w:i/>
          <w:iCs/>
        </w:rPr>
        <w:t xml:space="preserve"> Achievement</w:t>
      </w:r>
      <w:r w:rsidRPr="00E7358F">
        <w:rPr>
          <w:rFonts w:ascii="Times New Roman" w:hAnsi="Times New Roman"/>
        </w:rPr>
        <w:t>. London: Routledge.</w:t>
      </w:r>
    </w:p>
    <w:p w14:paraId="568F9A16" w14:textId="77777777" w:rsidR="00DE7D45" w:rsidRPr="00E7358F" w:rsidRDefault="00DE7D45" w:rsidP="00DE7D45">
      <w:pPr>
        <w:spacing w:before="100" w:beforeAutospacing="1" w:after="100" w:afterAutospacing="1"/>
        <w:rPr>
          <w:rFonts w:ascii="Times New Roman" w:hAnsi="Times New Roman"/>
        </w:rPr>
      </w:pPr>
      <w:r w:rsidRPr="00E7358F">
        <w:rPr>
          <w:rFonts w:ascii="Times New Roman" w:hAnsi="Times New Roman"/>
        </w:rPr>
        <w:t xml:space="preserve">[5] </w:t>
      </w:r>
      <w:proofErr w:type="spellStart"/>
      <w:r w:rsidRPr="00E7358F">
        <w:rPr>
          <w:rFonts w:ascii="Times New Roman" w:hAnsi="Times New Roman"/>
        </w:rPr>
        <w:t>Maton</w:t>
      </w:r>
      <w:proofErr w:type="spellEnd"/>
      <w:r w:rsidRPr="00E7358F">
        <w:rPr>
          <w:rFonts w:ascii="Times New Roman" w:hAnsi="Times New Roman"/>
        </w:rPr>
        <w:t xml:space="preserve">, K. (2013). Making </w:t>
      </w:r>
      <w:proofErr w:type="spellStart"/>
      <w:r w:rsidRPr="00E7358F">
        <w:rPr>
          <w:rFonts w:ascii="Times New Roman" w:hAnsi="Times New Roman"/>
        </w:rPr>
        <w:t>Semantic</w:t>
      </w:r>
      <w:proofErr w:type="spellEnd"/>
      <w:r w:rsidRPr="00E7358F">
        <w:rPr>
          <w:rFonts w:ascii="Times New Roman" w:hAnsi="Times New Roman"/>
        </w:rPr>
        <w:t xml:space="preserve"> Waves: A Key </w:t>
      </w:r>
      <w:proofErr w:type="spellStart"/>
      <w:r w:rsidRPr="00E7358F">
        <w:rPr>
          <w:rFonts w:ascii="Times New Roman" w:hAnsi="Times New Roman"/>
        </w:rPr>
        <w:t>to</w:t>
      </w:r>
      <w:proofErr w:type="spellEnd"/>
      <w:r w:rsidRPr="00E7358F">
        <w:rPr>
          <w:rFonts w:ascii="Times New Roman" w:hAnsi="Times New Roman"/>
        </w:rPr>
        <w:t xml:space="preserve"> </w:t>
      </w:r>
      <w:proofErr w:type="spellStart"/>
      <w:r w:rsidRPr="00E7358F">
        <w:rPr>
          <w:rFonts w:ascii="Times New Roman" w:hAnsi="Times New Roman"/>
        </w:rPr>
        <w:t>Cumulative</w:t>
      </w:r>
      <w:proofErr w:type="spellEnd"/>
      <w:r w:rsidRPr="00E7358F">
        <w:rPr>
          <w:rFonts w:ascii="Times New Roman" w:hAnsi="Times New Roman"/>
        </w:rPr>
        <w:t xml:space="preserve"> Knowledge-Building. </w:t>
      </w:r>
      <w:proofErr w:type="spellStart"/>
      <w:r w:rsidRPr="00E7358F">
        <w:rPr>
          <w:rFonts w:ascii="Times New Roman" w:hAnsi="Times New Roman"/>
          <w:i/>
          <w:iCs/>
        </w:rPr>
        <w:t>Linguistics</w:t>
      </w:r>
      <w:proofErr w:type="spellEnd"/>
      <w:r w:rsidRPr="00E7358F">
        <w:rPr>
          <w:rFonts w:ascii="Times New Roman" w:hAnsi="Times New Roman"/>
          <w:i/>
          <w:iCs/>
        </w:rPr>
        <w:t xml:space="preserve"> and Education, 24</w:t>
      </w:r>
      <w:r w:rsidRPr="00E7358F">
        <w:rPr>
          <w:rFonts w:ascii="Times New Roman" w:hAnsi="Times New Roman"/>
        </w:rPr>
        <w:t>(1), 8–22.</w:t>
      </w:r>
    </w:p>
    <w:bookmarkEnd w:id="0"/>
    <w:p w14:paraId="52D43CEC"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4743F2"/>
    <w:multiLevelType w:val="multilevel"/>
    <w:tmpl w:val="C834F6BA"/>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74856894">
    <w:abstractNumId w:val="0"/>
  </w:num>
  <w:num w:numId="2" w16cid:durableId="455565854">
    <w:abstractNumId w:val="1"/>
  </w:num>
  <w:num w:numId="3" w16cid:durableId="1631091123">
    <w:abstractNumId w:val="2"/>
  </w:num>
  <w:num w:numId="4" w16cid:durableId="1860583452">
    <w:abstractNumId w:val="3"/>
  </w:num>
  <w:num w:numId="5" w16cid:durableId="9911824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D45"/>
    <w:rsid w:val="00003048"/>
    <w:rsid w:val="000467F2"/>
    <w:rsid w:val="00082214"/>
    <w:rsid w:val="00092AF7"/>
    <w:rsid w:val="00103784"/>
    <w:rsid w:val="001057DC"/>
    <w:rsid w:val="00106528"/>
    <w:rsid w:val="001830F2"/>
    <w:rsid w:val="0019229D"/>
    <w:rsid w:val="002008C4"/>
    <w:rsid w:val="002238B0"/>
    <w:rsid w:val="002B03D4"/>
    <w:rsid w:val="002D20FA"/>
    <w:rsid w:val="002D4202"/>
    <w:rsid w:val="00324306"/>
    <w:rsid w:val="00433ECB"/>
    <w:rsid w:val="00436FC4"/>
    <w:rsid w:val="0044266C"/>
    <w:rsid w:val="00446557"/>
    <w:rsid w:val="00500020"/>
    <w:rsid w:val="005454E6"/>
    <w:rsid w:val="00560B17"/>
    <w:rsid w:val="005B5EFD"/>
    <w:rsid w:val="005D0B32"/>
    <w:rsid w:val="005D2EDB"/>
    <w:rsid w:val="005E4CED"/>
    <w:rsid w:val="006016DC"/>
    <w:rsid w:val="006370C7"/>
    <w:rsid w:val="00641D74"/>
    <w:rsid w:val="00646728"/>
    <w:rsid w:val="006F16BE"/>
    <w:rsid w:val="00706409"/>
    <w:rsid w:val="007A3141"/>
    <w:rsid w:val="007A3369"/>
    <w:rsid w:val="007B7DE7"/>
    <w:rsid w:val="007E333F"/>
    <w:rsid w:val="008444FA"/>
    <w:rsid w:val="008871CF"/>
    <w:rsid w:val="008B0C43"/>
    <w:rsid w:val="008C4935"/>
    <w:rsid w:val="009032D7"/>
    <w:rsid w:val="00997246"/>
    <w:rsid w:val="009E2067"/>
    <w:rsid w:val="00A307C9"/>
    <w:rsid w:val="00A4149F"/>
    <w:rsid w:val="00AA4222"/>
    <w:rsid w:val="00AB3FAF"/>
    <w:rsid w:val="00AF6392"/>
    <w:rsid w:val="00B04313"/>
    <w:rsid w:val="00B53EE0"/>
    <w:rsid w:val="00B873C2"/>
    <w:rsid w:val="00BA664A"/>
    <w:rsid w:val="00BB2037"/>
    <w:rsid w:val="00C2343F"/>
    <w:rsid w:val="00C6537C"/>
    <w:rsid w:val="00CD2089"/>
    <w:rsid w:val="00D31778"/>
    <w:rsid w:val="00D33BDA"/>
    <w:rsid w:val="00D44FE7"/>
    <w:rsid w:val="00D542C6"/>
    <w:rsid w:val="00D67542"/>
    <w:rsid w:val="00D80CC8"/>
    <w:rsid w:val="00DE7D45"/>
    <w:rsid w:val="00E21BA8"/>
    <w:rsid w:val="00E6450A"/>
    <w:rsid w:val="00EA1CC2"/>
    <w:rsid w:val="00EC35D8"/>
    <w:rsid w:val="00EE2879"/>
    <w:rsid w:val="00F63881"/>
    <w:rsid w:val="00F74A0F"/>
    <w:rsid w:val="00F86B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71ECB"/>
  <w15:chartTrackingRefBased/>
  <w15:docId w15:val="{9245DC6D-10AD-4594-8429-044778EB6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E7D45"/>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1057DC"/>
    <w:pPr>
      <w:tabs>
        <w:tab w:val="left" w:pos="7088"/>
      </w:tabs>
      <w:spacing w:before="360" w:after="360"/>
      <w:ind w:left="1418" w:firstLine="709"/>
    </w:pPr>
    <w:rPr>
      <w:rFonts w:ascii="Cambria Math" w:eastAsia="Calibri" w:hAnsi="Cambria Math"/>
      <w:bCs/>
      <w:i/>
      <w:iCs/>
    </w:rPr>
  </w:style>
  <w:style w:type="character" w:customStyle="1" w:styleId="FormelZchn">
    <w:name w:val="Formel Zchn"/>
    <w:link w:val="Formel"/>
    <w:rsid w:val="001057DC"/>
    <w:rPr>
      <w:rFonts w:ascii="Cambria Math" w:hAnsi="Cambria Math"/>
      <w:bCs/>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basedOn w:val="Standard"/>
    <w:link w:val="SQLTabellennamenZchn"/>
    <w:autoRedefine/>
    <w:rsid w:val="008444FA"/>
    <w:rPr>
      <w:b/>
      <w:bCs/>
      <w:sz w:val="20"/>
      <w:szCs w:val="20"/>
    </w:rPr>
  </w:style>
  <w:style w:type="character" w:customStyle="1" w:styleId="SQLTabellennamenZchn">
    <w:name w:val="SQLTabellennamen Zchn"/>
    <w:link w:val="SQLTabellennamen"/>
    <w:rsid w:val="008444FA"/>
    <w:rPr>
      <w:rFonts w:eastAsia="Times New Roman"/>
      <w:b/>
      <w:bCs/>
    </w:rPr>
  </w:style>
  <w:style w:type="character" w:styleId="Hyperlink">
    <w:name w:val="Hyperlink"/>
    <w:basedOn w:val="Absatz-Standardschriftart"/>
    <w:uiPriority w:val="99"/>
    <w:unhideWhenUsed/>
    <w:rsid w:val="002008C4"/>
    <w:rPr>
      <w:color w:val="467886" w:themeColor="hyperlink"/>
      <w:u w:val="single"/>
    </w:rPr>
  </w:style>
  <w:style w:type="character" w:styleId="NichtaufgelsteErwhnung">
    <w:name w:val="Unresolved Mention"/>
    <w:basedOn w:val="Absatz-Standardschriftart"/>
    <w:uiPriority w:val="99"/>
    <w:semiHidden/>
    <w:unhideWhenUsed/>
    <w:rsid w:val="002008C4"/>
    <w:rPr>
      <w:color w:val="605E5C"/>
      <w:shd w:val="clear" w:color="auto" w:fill="E1DFDD"/>
    </w:rPr>
  </w:style>
  <w:style w:type="paragraph" w:customStyle="1" w:styleId="test">
    <w:name w:val="test"/>
    <w:basedOn w:val="Standard"/>
    <w:link w:val="testZchn"/>
    <w:rsid w:val="002008C4"/>
    <w:rPr>
      <w:rFonts w:ascii="Courier New" w:hAnsi="Courier New"/>
      <w:b/>
      <w:sz w:val="20"/>
    </w:rPr>
  </w:style>
  <w:style w:type="character" w:customStyle="1" w:styleId="testZchn">
    <w:name w:val="test Zchn"/>
    <w:basedOn w:val="Absatz-Standardschriftart"/>
    <w:link w:val="test"/>
    <w:rsid w:val="002008C4"/>
    <w:rPr>
      <w:rFonts w:ascii="Courier New" w:eastAsia="Times New Roman" w:hAnsi="Courier New"/>
      <w:b/>
      <w:szCs w:val="24"/>
    </w:rPr>
  </w:style>
  <w:style w:type="character" w:customStyle="1" w:styleId="SQLTabelle">
    <w:name w:val="SQLTabelle"/>
    <w:uiPriority w:val="1"/>
    <w:qFormat/>
    <w:rsid w:val="008444FA"/>
    <w:rPr>
      <w:rFonts w:ascii="Courier New" w:hAnsi="Courier New"/>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60739466">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93143015">
      <w:bodyDiv w:val="1"/>
      <w:marLeft w:val="0"/>
      <w:marRight w:val="0"/>
      <w:marTop w:val="0"/>
      <w:marBottom w:val="0"/>
      <w:divBdr>
        <w:top w:val="none" w:sz="0" w:space="0" w:color="auto"/>
        <w:left w:val="none" w:sz="0" w:space="0" w:color="auto"/>
        <w:bottom w:val="none" w:sz="0" w:space="0" w:color="auto"/>
        <w:right w:val="none" w:sz="0" w:space="0" w:color="auto"/>
      </w:divBdr>
    </w:div>
    <w:div w:id="1309243575">
      <w:bodyDiv w:val="1"/>
      <w:marLeft w:val="0"/>
      <w:marRight w:val="0"/>
      <w:marTop w:val="0"/>
      <w:marBottom w:val="0"/>
      <w:divBdr>
        <w:top w:val="none" w:sz="0" w:space="0" w:color="auto"/>
        <w:left w:val="none" w:sz="0" w:space="0" w:color="auto"/>
        <w:bottom w:val="none" w:sz="0" w:space="0" w:color="auto"/>
        <w:right w:val="none" w:sz="0" w:space="0" w:color="auto"/>
      </w:divBdr>
      <w:divsChild>
        <w:div w:id="112210339">
          <w:marLeft w:val="0"/>
          <w:marRight w:val="0"/>
          <w:marTop w:val="0"/>
          <w:marBottom w:val="0"/>
          <w:divBdr>
            <w:top w:val="none" w:sz="0" w:space="0" w:color="auto"/>
            <w:left w:val="none" w:sz="0" w:space="0" w:color="auto"/>
            <w:bottom w:val="none" w:sz="0" w:space="0" w:color="auto"/>
            <w:right w:val="none" w:sz="0" w:space="0" w:color="auto"/>
          </w:divBdr>
          <w:divsChild>
            <w:div w:id="878123947">
              <w:marLeft w:val="0"/>
              <w:marRight w:val="0"/>
              <w:marTop w:val="0"/>
              <w:marBottom w:val="0"/>
              <w:divBdr>
                <w:top w:val="none" w:sz="0" w:space="0" w:color="auto"/>
                <w:left w:val="none" w:sz="0" w:space="0" w:color="auto"/>
                <w:bottom w:val="none" w:sz="0" w:space="0" w:color="auto"/>
                <w:right w:val="none" w:sz="0" w:space="0" w:color="auto"/>
              </w:divBdr>
              <w:divsChild>
                <w:div w:id="456606272">
                  <w:marLeft w:val="0"/>
                  <w:marRight w:val="0"/>
                  <w:marTop w:val="0"/>
                  <w:marBottom w:val="0"/>
                  <w:divBdr>
                    <w:top w:val="none" w:sz="0" w:space="0" w:color="auto"/>
                    <w:left w:val="none" w:sz="0" w:space="0" w:color="auto"/>
                    <w:bottom w:val="none" w:sz="0" w:space="0" w:color="auto"/>
                    <w:right w:val="none" w:sz="0" w:space="0" w:color="auto"/>
                  </w:divBdr>
                  <w:divsChild>
                    <w:div w:id="601181313">
                      <w:marLeft w:val="0"/>
                      <w:marRight w:val="0"/>
                      <w:marTop w:val="0"/>
                      <w:marBottom w:val="0"/>
                      <w:divBdr>
                        <w:top w:val="none" w:sz="0" w:space="0" w:color="auto"/>
                        <w:left w:val="none" w:sz="0" w:space="0" w:color="auto"/>
                        <w:bottom w:val="none" w:sz="0" w:space="0" w:color="auto"/>
                        <w:right w:val="none" w:sz="0" w:space="0" w:color="auto"/>
                      </w:divBdr>
                      <w:divsChild>
                        <w:div w:id="2044743019">
                          <w:marLeft w:val="0"/>
                          <w:marRight w:val="0"/>
                          <w:marTop w:val="0"/>
                          <w:marBottom w:val="0"/>
                          <w:divBdr>
                            <w:top w:val="none" w:sz="0" w:space="0" w:color="auto"/>
                            <w:left w:val="none" w:sz="0" w:space="0" w:color="auto"/>
                            <w:bottom w:val="none" w:sz="0" w:space="0" w:color="auto"/>
                            <w:right w:val="none" w:sz="0" w:space="0" w:color="auto"/>
                          </w:divBdr>
                          <w:divsChild>
                            <w:div w:id="649940654">
                              <w:marLeft w:val="0"/>
                              <w:marRight w:val="0"/>
                              <w:marTop w:val="0"/>
                              <w:marBottom w:val="0"/>
                              <w:divBdr>
                                <w:top w:val="none" w:sz="0" w:space="0" w:color="auto"/>
                                <w:left w:val="none" w:sz="0" w:space="0" w:color="auto"/>
                                <w:bottom w:val="none" w:sz="0" w:space="0" w:color="auto"/>
                                <w:right w:val="none" w:sz="0" w:space="0" w:color="auto"/>
                              </w:divBdr>
                              <w:divsChild>
                                <w:div w:id="2079160266">
                                  <w:marLeft w:val="0"/>
                                  <w:marRight w:val="0"/>
                                  <w:marTop w:val="0"/>
                                  <w:marBottom w:val="0"/>
                                  <w:divBdr>
                                    <w:top w:val="none" w:sz="0" w:space="0" w:color="auto"/>
                                    <w:left w:val="none" w:sz="0" w:space="0" w:color="auto"/>
                                    <w:bottom w:val="none" w:sz="0" w:space="0" w:color="auto"/>
                                    <w:right w:val="none" w:sz="0" w:space="0" w:color="auto"/>
                                  </w:divBdr>
                                  <w:divsChild>
                                    <w:div w:id="5847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6583197">
      <w:bodyDiv w:val="1"/>
      <w:marLeft w:val="0"/>
      <w:marRight w:val="0"/>
      <w:marTop w:val="0"/>
      <w:marBottom w:val="0"/>
      <w:divBdr>
        <w:top w:val="none" w:sz="0" w:space="0" w:color="auto"/>
        <w:left w:val="none" w:sz="0" w:space="0" w:color="auto"/>
        <w:bottom w:val="none" w:sz="0" w:space="0" w:color="auto"/>
        <w:right w:val="none" w:sz="0" w:space="0" w:color="auto"/>
      </w:divBdr>
      <w:divsChild>
        <w:div w:id="85613974">
          <w:marLeft w:val="0"/>
          <w:marRight w:val="0"/>
          <w:marTop w:val="0"/>
          <w:marBottom w:val="0"/>
          <w:divBdr>
            <w:top w:val="none" w:sz="0" w:space="0" w:color="auto"/>
            <w:left w:val="none" w:sz="0" w:space="0" w:color="auto"/>
            <w:bottom w:val="none" w:sz="0" w:space="0" w:color="auto"/>
            <w:right w:val="none" w:sz="0" w:space="0" w:color="auto"/>
          </w:divBdr>
          <w:divsChild>
            <w:div w:id="1535382576">
              <w:marLeft w:val="0"/>
              <w:marRight w:val="0"/>
              <w:marTop w:val="0"/>
              <w:marBottom w:val="0"/>
              <w:divBdr>
                <w:top w:val="none" w:sz="0" w:space="0" w:color="auto"/>
                <w:left w:val="none" w:sz="0" w:space="0" w:color="auto"/>
                <w:bottom w:val="none" w:sz="0" w:space="0" w:color="auto"/>
                <w:right w:val="none" w:sz="0" w:space="0" w:color="auto"/>
              </w:divBdr>
              <w:divsChild>
                <w:div w:id="417141013">
                  <w:marLeft w:val="0"/>
                  <w:marRight w:val="0"/>
                  <w:marTop w:val="0"/>
                  <w:marBottom w:val="0"/>
                  <w:divBdr>
                    <w:top w:val="none" w:sz="0" w:space="0" w:color="auto"/>
                    <w:left w:val="none" w:sz="0" w:space="0" w:color="auto"/>
                    <w:bottom w:val="none" w:sz="0" w:space="0" w:color="auto"/>
                    <w:right w:val="none" w:sz="0" w:space="0" w:color="auto"/>
                  </w:divBdr>
                  <w:divsChild>
                    <w:div w:id="2063671058">
                      <w:marLeft w:val="0"/>
                      <w:marRight w:val="0"/>
                      <w:marTop w:val="0"/>
                      <w:marBottom w:val="0"/>
                      <w:divBdr>
                        <w:top w:val="none" w:sz="0" w:space="0" w:color="auto"/>
                        <w:left w:val="none" w:sz="0" w:space="0" w:color="auto"/>
                        <w:bottom w:val="none" w:sz="0" w:space="0" w:color="auto"/>
                        <w:right w:val="none" w:sz="0" w:space="0" w:color="auto"/>
                      </w:divBdr>
                      <w:divsChild>
                        <w:div w:id="636031754">
                          <w:marLeft w:val="0"/>
                          <w:marRight w:val="0"/>
                          <w:marTop w:val="0"/>
                          <w:marBottom w:val="0"/>
                          <w:divBdr>
                            <w:top w:val="none" w:sz="0" w:space="0" w:color="auto"/>
                            <w:left w:val="none" w:sz="0" w:space="0" w:color="auto"/>
                            <w:bottom w:val="none" w:sz="0" w:space="0" w:color="auto"/>
                            <w:right w:val="none" w:sz="0" w:space="0" w:color="auto"/>
                          </w:divBdr>
                          <w:divsChild>
                            <w:div w:id="1736854638">
                              <w:marLeft w:val="0"/>
                              <w:marRight w:val="0"/>
                              <w:marTop w:val="0"/>
                              <w:marBottom w:val="0"/>
                              <w:divBdr>
                                <w:top w:val="none" w:sz="0" w:space="0" w:color="auto"/>
                                <w:left w:val="none" w:sz="0" w:space="0" w:color="auto"/>
                                <w:bottom w:val="none" w:sz="0" w:space="0" w:color="auto"/>
                                <w:right w:val="none" w:sz="0" w:space="0" w:color="auto"/>
                              </w:divBdr>
                              <w:divsChild>
                                <w:div w:id="1236359450">
                                  <w:marLeft w:val="0"/>
                                  <w:marRight w:val="0"/>
                                  <w:marTop w:val="0"/>
                                  <w:marBottom w:val="0"/>
                                  <w:divBdr>
                                    <w:top w:val="none" w:sz="0" w:space="0" w:color="auto"/>
                                    <w:left w:val="none" w:sz="0" w:space="0" w:color="auto"/>
                                    <w:bottom w:val="none" w:sz="0" w:space="0" w:color="auto"/>
                                    <w:right w:val="none" w:sz="0" w:space="0" w:color="auto"/>
                                  </w:divBdr>
                                  <w:divsChild>
                                    <w:div w:id="197764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phpmyadmin/index.php?route=/sql&amp;pos=0&amp;db=icas_19_4_2&amp;table=sql_rueckkopplung_datenmaske_value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5</Pages>
  <Words>1428</Words>
  <Characters>9002</Characters>
  <Application>Microsoft Office Word</Application>
  <DocSecurity>0</DocSecurity>
  <Lines>75</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9</cp:revision>
  <dcterms:created xsi:type="dcterms:W3CDTF">2026-05-24T03:40:00Z</dcterms:created>
  <dcterms:modified xsi:type="dcterms:W3CDTF">2026-05-24T17:19:00Z</dcterms:modified>
</cp:coreProperties>
</file>