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4448E" w14:textId="59F8EB30" w:rsidR="00001A51" w:rsidRDefault="00001A51" w:rsidP="00A21A3B">
      <w:pPr>
        <w:pStyle w:val="berschrift2"/>
      </w:pPr>
      <w:r>
        <w:t>6.x Lehrkraftsicht und Teilnehmersicht</w:t>
      </w:r>
    </w:p>
    <w:p w14:paraId="291E0F24" w14:textId="22153C3A" w:rsidR="00001A51" w:rsidRPr="00001A51" w:rsidRDefault="00001A51" w:rsidP="00A21A3B">
      <w:pPr>
        <w:pStyle w:val="berschrift3"/>
      </w:pPr>
      <w:r w:rsidRPr="00001A51">
        <w:t xml:space="preserve">6.x.8 Einleitung zur kritischen Validierung des Lehrkraftvektors durch perspektivisches </w:t>
      </w:r>
      <w:proofErr w:type="spellStart"/>
      <w:r w:rsidRPr="00001A51">
        <w:t>Matching</w:t>
      </w:r>
      <w:proofErr w:type="spellEnd"/>
    </w:p>
    <w:p w14:paraId="0137905A" w14:textId="0E569A28" w:rsidR="00001A51" w:rsidRPr="00001A51" w:rsidRDefault="00001A51" w:rsidP="00001A51">
      <w:r w:rsidRPr="00001A51">
        <w:t xml:space="preserve">Mit der Erweiterung des FRZK um die Teilnehmersicht verändert sich die methodische Stellung des gesamten Verfahrens grundlegend. Während die bisherigen Analysen der Lehrkraftsicht primär innerhalb eines einzelnen semantischen Beobachtungssystems operierten, entsteht durch die zusätzlichen Zustandsdaten aus </w:t>
      </w:r>
      <w:r w:rsidRPr="00966E09">
        <w:rPr>
          <w:rStyle w:val="SQLTabellennamenZchn"/>
        </w:rPr>
        <w:t>frzk_semantische_dichte_teilnehmer</w:t>
      </w:r>
      <w:r w:rsidR="00966E09">
        <w:rPr>
          <w:rStyle w:val="SQLTabellennamenZchn"/>
        </w:rPr>
        <w:t>_</w:t>
      </w:r>
      <w:r w:rsidRPr="00966E09">
        <w:rPr>
          <w:rStyle w:val="SQLTabellennamenZchn"/>
        </w:rPr>
        <w:t>7d</w:t>
      </w:r>
      <w:r w:rsidR="00966E09">
        <w:rPr>
          <w:rStyle w:val="SQLTabellennamenZchn"/>
        </w:rPr>
        <w:t xml:space="preserve">, </w:t>
      </w:r>
      <w:proofErr w:type="spellStart"/>
      <w:r w:rsidR="00966E09" w:rsidRPr="00966E09">
        <w:rPr>
          <w:rStyle w:val="SQLTabellennamenZchn"/>
        </w:rPr>
        <w:t>mtr_rueckkopplung_teilnehmer</w:t>
      </w:r>
      <w:proofErr w:type="spellEnd"/>
      <w:r w:rsidR="00966E09">
        <w:rPr>
          <w:rStyle w:val="SQLTabellennamenZchn"/>
        </w:rPr>
        <w:t>,</w:t>
      </w:r>
      <w:r w:rsidR="00966E09" w:rsidRPr="00966E09">
        <w:t xml:space="preserve"> </w:t>
      </w:r>
      <w:r w:rsidR="00966E09" w:rsidRPr="00966E09">
        <w:t xml:space="preserve"> und </w:t>
      </w:r>
      <w:r w:rsidR="00966E09">
        <w:t>_</w:t>
      </w:r>
      <w:proofErr w:type="spellStart"/>
      <w:r w:rsidR="00966E09" w:rsidRPr="00DA3C0C">
        <w:rPr>
          <w:rStyle w:val="SQLTabellennamenZchn"/>
        </w:rPr>
        <w:t>frzk_emotion</w:t>
      </w:r>
      <w:r w:rsidR="00966E09">
        <w:rPr>
          <w:rStyle w:val="SQLTabellennamenZchn"/>
        </w:rPr>
        <w:t>en</w:t>
      </w:r>
      <w:proofErr w:type="spellEnd"/>
      <w:r w:rsidRPr="00001A51">
        <w:t xml:space="preserve"> erstmals die Möglichkeit einer relationalen Außenvalidierung des Modells. Die entscheidende Frage lautet damit nicht mehr ausschließlich, ob die mathematische Struktur des Lehrkraftvektorsystems intern konsistent ist, sondern ob sich durch</w:t>
      </w:r>
      <w:r w:rsidR="00966E09">
        <w:t xml:space="preserve"> die Analyse von</w:t>
      </w:r>
      <w:r w:rsidRPr="00001A51">
        <w:t xml:space="preserve"> </w:t>
      </w:r>
      <w:proofErr w:type="spellStart"/>
      <w:r w:rsidR="00A21A3B" w:rsidRPr="00DA3C0C">
        <w:rPr>
          <w:rStyle w:val="SQLTabellennamenZchn"/>
        </w:rPr>
        <w:t>frzk_semantische_dichte_lehrer_gesamt</w:t>
      </w:r>
      <w:proofErr w:type="spellEnd"/>
      <w:r w:rsidR="00A21A3B" w:rsidRPr="00DA3C0C">
        <w:rPr>
          <w:rStyle w:val="SQLTabellennamenZchn"/>
        </w:rPr>
        <w:t xml:space="preserve">, frzk_semantische_dichte_teilnehmer_7d, </w:t>
      </w:r>
      <w:proofErr w:type="spellStart"/>
      <w:r w:rsidR="00966E09" w:rsidRPr="00966E09">
        <w:rPr>
          <w:rStyle w:val="SQLTabellennamenZchn"/>
        </w:rPr>
        <w:t>mtr_rueckkopplung_teilnehmer</w:t>
      </w:r>
      <w:proofErr w:type="spellEnd"/>
      <w:r w:rsidR="00966E09">
        <w:rPr>
          <w:rStyle w:val="SQLTabellennamenZchn"/>
        </w:rPr>
        <w:t xml:space="preserve">, </w:t>
      </w:r>
      <w:proofErr w:type="spellStart"/>
      <w:r w:rsidR="00A21A3B" w:rsidRPr="00DA3C0C">
        <w:rPr>
          <w:rStyle w:val="SQLTabellennamenZchn"/>
        </w:rPr>
        <w:t>analyze_lehrkraftdaten</w:t>
      </w:r>
      <w:proofErr w:type="spellEnd"/>
      <w:r w:rsidR="00A21A3B" w:rsidRPr="00DA3C0C">
        <w:rPr>
          <w:rStyle w:val="SQLTabellennamenZchn"/>
        </w:rPr>
        <w:t xml:space="preserve">, </w:t>
      </w:r>
      <w:proofErr w:type="spellStart"/>
      <w:r w:rsidR="00A21A3B" w:rsidRPr="00DA3C0C">
        <w:rPr>
          <w:rStyle w:val="SQLTabellennamenZchn"/>
        </w:rPr>
        <w:t>frzk_group_emotion</w:t>
      </w:r>
      <w:proofErr w:type="spellEnd"/>
      <w:r w:rsidR="00A21A3B" w:rsidRPr="00DA3C0C">
        <w:t xml:space="preserve"> </w:t>
      </w:r>
      <w:r w:rsidR="00966E09">
        <w:t xml:space="preserve"> zusammen, </w:t>
      </w:r>
      <w:r w:rsidR="00AD5CEF">
        <w:t>Korrelationen zwischen Lehrkraft- und Teilnehmersicht ergeben und ob sich d</w:t>
      </w:r>
      <w:r w:rsidR="00A21A3B" w:rsidRPr="00DA3C0C">
        <w:t xml:space="preserve">ie semantischen </w:t>
      </w:r>
      <w:r w:rsidRPr="00001A51">
        <w:t>rekonstruierten Zustände</w:t>
      </w:r>
      <w:r w:rsidR="00AD5CEF">
        <w:t xml:space="preserve"> mithilfe des Vektorverfahrens</w:t>
      </w:r>
      <w:r w:rsidRPr="00001A51">
        <w:t xml:space="preserve"> tatsächlich in unabhängigen Teilnehmerbeobachtungen wiederfinden lassen.</w:t>
      </w:r>
    </w:p>
    <w:p w14:paraId="4BA98FFB" w14:textId="60274FC2" w:rsidR="00001A51" w:rsidRPr="00001A51" w:rsidRDefault="00001A51" w:rsidP="00001A51">
      <w:r w:rsidRPr="00001A51">
        <w:t xml:space="preserve">Gerade hierin sehe ich einen zentralen epistemologischen Wendepunkt des FRZK. Die bisherige Kritik am Verfahren bestand wesentlich darin, dass das System seine semantischen Ordnungen möglicherweise selbst erzeugt, weil die sieben Dimensionen bereits theoretisch vorstrukturiert wurden. Die Gefahr einer zirkulären </w:t>
      </w:r>
      <w:proofErr w:type="spellStart"/>
      <w:r w:rsidRPr="00001A51">
        <w:t>Ontologieproduktion</w:t>
      </w:r>
      <w:proofErr w:type="spellEnd"/>
      <w:r w:rsidRPr="00001A51">
        <w:t xml:space="preserve"> bleibt für theoriegeleitete Modelle grundsätzlich bestehen </w:t>
      </w:r>
      <w:r w:rsidR="002B1EB7">
        <w:t>[1]</w:t>
      </w:r>
      <w:r w:rsidRPr="00001A51">
        <w:t>[2]. Erst durch die Kopplung unabhängiger Beobachtungssysteme entsteht daher überhaupt die Möglichkeit, zwischen modellinterner Struktur und empirisch rekonstruierbarer Dynamik zu unterscheiden.</w:t>
      </w:r>
    </w:p>
    <w:p w14:paraId="43056E5F" w14:textId="77777777" w:rsidR="00001A51" w:rsidRPr="00001A51" w:rsidRDefault="00001A51" w:rsidP="00001A51">
      <w:r w:rsidRPr="00001A51">
        <w:t>Die moderne Learning-Analytics-Forschung betont zunehmend, dass pädagogische Datenmodelle nicht isoliert statistische Muster reproduzieren dürfen, sondern an reale Lern- und Interaktionsprozesse rückgebunden werden müssen [3][4]. Gleichzeitig zeigt die aktuelle Forschung zu linguistischer Alignment-Analyse, dass semantische und kommunikative Synchronisierungen zwischen Lernenden und Lehrenden tatsächlich messbare Dynamiken erzeugen können [5]. Genau an diesem Punkt eröffnet die Kombination aus Lehrkraft- und Teilnehmersicht für das FRZK erstmals einen empirischen Prüfraum, der über rein theoretische Modellkonsistenz hinausgeht.</w:t>
      </w:r>
    </w:p>
    <w:p w14:paraId="4267FDD1" w14:textId="77777777" w:rsidR="00001A51" w:rsidRPr="00001A51" w:rsidRDefault="00001A51" w:rsidP="00001A51">
      <w:r w:rsidRPr="00001A51">
        <w:t>Methodisch verschiebt sich die Validierung dadurch von einer klassischen NLP-Perspektive hin zu einer dynamischen Resonanzvalidierung. Moderne Sprachmodelle arbeiten überwiegend probabilistisch und hochdimensional [6][7]. Das FRZK verfolgt dagegen bewusst einen interpretierbaren, regelbasierten und geometrisch rekonstruierbaren Ansatz. Der wissenschaftliche Wert eines solchen Systems kann daher nicht primär über Sprachbenchmarks bestimmt werden, sondern über die Frage, ob die rekonstruierten Zustandsräume reale pädagogische Kopplungsprozesse sichtbar machen. Entscheidend wird damit, ob semantische Zustände der Lehrkraft mit zeitgleichen oder zeitversetzten Teilnehmerzuständen korrespondieren, ob Dominanzstrukturen übertragen werden, ob Resonanzfenster entstehen und ob sich rekursive Dynamiken zwischen beiden Perspektiven reproduzierbar beobachten lassen.</w:t>
      </w:r>
    </w:p>
    <w:p w14:paraId="2A810375" w14:textId="77777777" w:rsidR="00001A51" w:rsidRPr="00001A51" w:rsidRDefault="00001A51" w:rsidP="00001A51">
      <w:r w:rsidRPr="00001A51">
        <w:t xml:space="preserve">Besonders relevant erscheint mir dabei der Nachhilfekontext. Im Gegensatz zu hochstandardisierten Unterrichtssettings entstehen hier langfristige, interaktionsdichte und </w:t>
      </w:r>
      <w:r w:rsidRPr="00001A51">
        <w:lastRenderedPageBreak/>
        <w:t>stark individualisierte pädagogische Beziehungen. Dadurch bilden sich semantische Kopplungen häufig wesentlich deutlicher aus als in klassischen Klassenraumsituationen. Gerade diese hohe Resonanzdichte könnte dazu führen, dass rekursive Zustandsdynamiken zwischen Lehrkraft und Teilnehmer überhaupt erst empirisch sichtbar werden.</w:t>
      </w:r>
    </w:p>
    <w:p w14:paraId="326E72C0" w14:textId="77777777" w:rsidR="00001A51" w:rsidRDefault="00001A51" w:rsidP="00001A51">
      <w:r w:rsidRPr="00001A51">
        <w:t xml:space="preserve">Das perspektivische </w:t>
      </w:r>
      <w:proofErr w:type="spellStart"/>
      <w:r w:rsidRPr="00001A51">
        <w:t>Matching</w:t>
      </w:r>
      <w:proofErr w:type="spellEnd"/>
      <w:r w:rsidRPr="00001A51">
        <w:t xml:space="preserve"> stellt damit nicht nur eine zusätzliche Auswertungsmethode dar, sondern möglicherweise die erste echte Außenvalidierung des gesamten FRZK-Ansatzes. Wenn sich stabile semantische Kopplungen zwischen unabhängigen Beobachtungssystemen nachweisen lassen, würde dies die bisherige Kritik an </w:t>
      </w:r>
      <w:proofErr w:type="spellStart"/>
      <w:r w:rsidRPr="00001A51">
        <w:t>Artefaktbildung</w:t>
      </w:r>
      <w:proofErr w:type="spellEnd"/>
      <w:r w:rsidRPr="00001A51">
        <w:t>, Parametertuning und modellinterner Projektion erheblich relativieren. Scheitert diese Kopplung dagegen, wäre dies zugleich ein starkes Argument gegen die empirische Tragfähigkeit des Verfahrens. Die Teilnehmersicht wird dadurch faktisch zu einem unabhängigen Resonanz- und Validierungssystem des Lehrkraftvektors.</w:t>
      </w:r>
    </w:p>
    <w:p w14:paraId="662623A6" w14:textId="6F2213AF" w:rsidR="002B1EB7" w:rsidRDefault="00A21A3B" w:rsidP="00A21A3B">
      <w:pPr>
        <w:pStyle w:val="berschrift3"/>
      </w:pPr>
      <w:r>
        <w:t>M</w:t>
      </w:r>
      <w:r w:rsidRPr="00DA3C0C">
        <w:t>ethodi</w:t>
      </w:r>
      <w:r>
        <w:t>k</w:t>
      </w:r>
      <w:r w:rsidRPr="00DA3C0C">
        <w:t xml:space="preserve"> de</w:t>
      </w:r>
      <w:r>
        <w:t>r</w:t>
      </w:r>
      <w:r w:rsidRPr="00DA3C0C">
        <w:t xml:space="preserve"> Korrelationsanalysen</w:t>
      </w:r>
    </w:p>
    <w:p w14:paraId="4B269CEB" w14:textId="77777777" w:rsidR="00A21A3B" w:rsidRPr="00DA3C0C" w:rsidRDefault="00A21A3B" w:rsidP="00A21A3B">
      <w:r w:rsidRPr="00DA3C0C">
        <w:t>Die methodische Grundlage der folgenden Korrelationsanalysen besteht in der Annahme, dass pädagogische Prozesse nicht ausschließlich über isolierte Einzelvariablen beschrieben werden können, sondern als dynamische Kopplungen semantischer Zustandsräume verstanden werden müssen. Aus diesem Grund basiert das Korrelationsverfahren nicht auf klassischen eindimensionalen Bewertungsmodellen, sondern auf der Gegenüberstellung vollständig semantisch projizierter 7D-Vektorräume zwischen Lehrkraftsicht und Teilnehmersicht. Ziel des Verfahrens ist es, strukturelle, dynamische und emotionale Resonanzmuster innerhalb pädagogischer Interaktionen sichtbar zu machen.</w:t>
      </w:r>
    </w:p>
    <w:p w14:paraId="6219046D" w14:textId="77777777" w:rsidR="00966E09" w:rsidRPr="00966E09" w:rsidRDefault="00A21A3B" w:rsidP="00966E09">
      <w:r w:rsidRPr="00966E09">
        <w:t>Die Datengrundlage bilden</w:t>
      </w:r>
      <w:r w:rsidR="00AD5CEF" w:rsidRPr="00966E09">
        <w:t xml:space="preserve"> wie bereits ausgeführt</w:t>
      </w:r>
      <w:r w:rsidRPr="00966E09">
        <w:t xml:space="preserve"> die Tabellen</w:t>
      </w:r>
      <w:r w:rsidRPr="00DA3C0C">
        <w:t xml:space="preserve"> </w:t>
      </w:r>
      <w:proofErr w:type="spellStart"/>
      <w:r w:rsidRPr="00966E09">
        <w:rPr>
          <w:rStyle w:val="SQLTabellennamenZchn"/>
        </w:rPr>
        <w:t>frzk_semantische_dichte_lehrer_gesamt</w:t>
      </w:r>
      <w:proofErr w:type="spellEnd"/>
      <w:r w:rsidRPr="00966E09">
        <w:rPr>
          <w:b/>
        </w:rPr>
        <w:t xml:space="preserve">, </w:t>
      </w:r>
      <w:r w:rsidRPr="00966E09">
        <w:rPr>
          <w:rStyle w:val="SQLTabellennamenZchn"/>
        </w:rPr>
        <w:t xml:space="preserve">frzk_semantische_dichte_teilnehmer_7d, </w:t>
      </w:r>
      <w:proofErr w:type="spellStart"/>
      <w:r w:rsidRPr="00966E09">
        <w:rPr>
          <w:rStyle w:val="SQLTabellennamenZchn"/>
        </w:rPr>
        <w:t>analyze_lehrkraftdaten</w:t>
      </w:r>
      <w:proofErr w:type="spellEnd"/>
      <w:r w:rsidRPr="00966E09">
        <w:rPr>
          <w:rStyle w:val="SQLTabellennamenZchn"/>
        </w:rPr>
        <w:t xml:space="preserve">, </w:t>
      </w:r>
      <w:proofErr w:type="spellStart"/>
      <w:r w:rsidRPr="00966E09">
        <w:rPr>
          <w:rStyle w:val="SQLTabellennamenZchn"/>
        </w:rPr>
        <w:t>frzk_group_emotion</w:t>
      </w:r>
      <w:proofErr w:type="spellEnd"/>
      <w:r w:rsidRPr="00DA3C0C">
        <w:t xml:space="preserve"> sowie</w:t>
      </w:r>
      <w:r w:rsidR="00966E09">
        <w:t xml:space="preserve"> </w:t>
      </w:r>
      <w:proofErr w:type="spellStart"/>
      <w:r w:rsidR="00966E09" w:rsidRPr="00966E09">
        <w:rPr>
          <w:rStyle w:val="SQLTabellennamenZchn"/>
        </w:rPr>
        <w:t>mtr_rueckkopplung_teilnehmer</w:t>
      </w:r>
      <w:proofErr w:type="spellEnd"/>
      <w:r w:rsidR="00966E09" w:rsidRPr="00966E09">
        <w:rPr>
          <w:rStyle w:val="SQLTabellennamenZchn"/>
        </w:rPr>
        <w:t>.</w:t>
      </w:r>
    </w:p>
    <w:p w14:paraId="235EB1F9" w14:textId="2BB9F9D7" w:rsidR="00A21A3B" w:rsidRDefault="00966E09" w:rsidP="00966E09">
      <w:r w:rsidRPr="00966E09">
        <w:t>Diese Tabellen bzw. Views wurden in der</w:t>
      </w:r>
      <w:r w:rsidR="00A21A3B" w:rsidRPr="00966E09">
        <w:t xml:space="preserve"> kombinierte</w:t>
      </w:r>
      <w:r w:rsidRPr="00966E09">
        <w:t>n</w:t>
      </w:r>
      <w:r w:rsidR="00A21A3B" w:rsidRPr="00966E09">
        <w:t xml:space="preserve"> </w:t>
      </w:r>
      <w:proofErr w:type="spellStart"/>
      <w:r w:rsidR="00A21A3B" w:rsidRPr="00966E09">
        <w:t>Matching</w:t>
      </w:r>
      <w:proofErr w:type="spellEnd"/>
      <w:r w:rsidR="00A21A3B" w:rsidRPr="00966E09">
        <w:t xml:space="preserve">-View </w:t>
      </w:r>
      <w:proofErr w:type="spellStart"/>
      <w:r w:rsidR="00A21A3B" w:rsidRPr="00966E09">
        <w:t>match_tn_daten_analyze_lehrkraft</w:t>
      </w:r>
      <w:proofErr w:type="spellEnd"/>
      <w:r w:rsidRPr="00966E09">
        <w:t xml:space="preserve"> zusammengeführt</w:t>
      </w:r>
      <w:r w:rsidR="00A21A3B" w:rsidRPr="00966E09">
        <w:t>. Die semantischen Zustände werden dabei über die sieben FRZK-Hauptdimensionen Kognition, Sozial, Affektiv, Motivation, Methodik, Performanz und Regulation beschrieben. Zusätzlich fließen emotionale Zustandsprojektionen aus _</w:t>
      </w:r>
      <w:proofErr w:type="spellStart"/>
      <w:r w:rsidR="00A21A3B" w:rsidRPr="00966E09">
        <w:t>mtr_emotionen</w:t>
      </w:r>
      <w:proofErr w:type="spellEnd"/>
      <w:r w:rsidR="00A21A3B" w:rsidRPr="00966E09">
        <w:t xml:space="preserve"> in die Analysen ein, wodurch neben semantischen Hauptachsen auch affektive, aktivierungsbezogene und epistemische Übergangsprozesse untersucht werden können.</w:t>
      </w:r>
    </w:p>
    <w:p w14:paraId="3465506B" w14:textId="03DCDF88" w:rsidR="00AD5CEF" w:rsidRPr="00DA3C0C" w:rsidRDefault="00AD5CEF" w:rsidP="006F4019">
      <w:r>
        <w:t xml:space="preserve">Die für die Korrelationsuntersuchungen grundlegende View ist </w:t>
      </w:r>
      <w:proofErr w:type="spellStart"/>
      <w:r w:rsidRPr="00DA3C0C">
        <w:rPr>
          <w:rStyle w:val="SQLTabellennamenZchn"/>
        </w:rPr>
        <w:t>match_tn_daten_analyze_lehrkraft</w:t>
      </w:r>
      <w:proofErr w:type="spellEnd"/>
      <w:r>
        <w:rPr>
          <w:rStyle w:val="SQLTabellennamenZchn"/>
        </w:rPr>
        <w:t xml:space="preserve">. </w:t>
      </w:r>
      <w:r w:rsidRPr="00AD5CEF">
        <w:t xml:space="preserve">Diese View matcht über </w:t>
      </w:r>
      <w:proofErr w:type="spellStart"/>
      <w:r w:rsidRPr="006F4019">
        <w:rPr>
          <w:rStyle w:val="SQLTabellennamenZchn"/>
        </w:rPr>
        <w:t>erfasst_am</w:t>
      </w:r>
      <w:proofErr w:type="spellEnd"/>
      <w:r>
        <w:t xml:space="preserve"> </w:t>
      </w:r>
      <w:r w:rsidRPr="00AD5CEF">
        <w:t xml:space="preserve">und </w:t>
      </w:r>
      <w:proofErr w:type="spellStart"/>
      <w:r w:rsidRPr="006F4019">
        <w:rPr>
          <w:rStyle w:val="SQLTabellennamenZchn"/>
        </w:rPr>
        <w:t>teilnehmer_id</w:t>
      </w:r>
      <w:proofErr w:type="spellEnd"/>
      <w:r w:rsidRPr="00AD5CEF">
        <w:t xml:space="preserve"> die </w:t>
      </w:r>
      <w:r w:rsidR="006F4019">
        <w:t>T</w:t>
      </w:r>
      <w:r w:rsidRPr="00AD5CEF">
        <w:t xml:space="preserve">abellen </w:t>
      </w:r>
      <w:proofErr w:type="spellStart"/>
      <w:r w:rsidRPr="00AD5CEF">
        <w:rPr>
          <w:rStyle w:val="SQLTabellennamenZchn"/>
        </w:rPr>
        <w:t>mtr_rueckkopplung_teilnehmer</w:t>
      </w:r>
      <w:proofErr w:type="spellEnd"/>
      <w:r w:rsidRPr="00AD5CEF">
        <w:t xml:space="preserve"> mit </w:t>
      </w:r>
      <w:proofErr w:type="spellStart"/>
      <w:r w:rsidRPr="00DA3C0C">
        <w:rPr>
          <w:rStyle w:val="SQLTabellennamenZchn"/>
        </w:rPr>
        <w:t>frzk_semantische_dichte_lehrer_gesamt</w:t>
      </w:r>
      <w:proofErr w:type="spellEnd"/>
      <w:r>
        <w:rPr>
          <w:rStyle w:val="SQLTabellennamenZchn"/>
        </w:rPr>
        <w:t xml:space="preserve">. </w:t>
      </w:r>
      <w:r w:rsidRPr="00AD5CEF">
        <w:t>Zusätzlich erfolgt dann über</w:t>
      </w:r>
      <w:r w:rsidRPr="00AD5CEF">
        <w:rPr>
          <w:rFonts w:ascii="Arial" w:hAnsi="Arial" w:cs="Arial"/>
          <w:b/>
          <w:color w:val="000000"/>
          <w:sz w:val="20"/>
          <w:szCs w:val="20"/>
          <w:shd w:val="clear" w:color="auto" w:fill="FFFFFF"/>
        </w:rPr>
        <w:t xml:space="preserve"> </w:t>
      </w:r>
      <w:proofErr w:type="spellStart"/>
      <w:r w:rsidRPr="00AD5CEF">
        <w:rPr>
          <w:rFonts w:ascii="Courier New" w:hAnsi="Courier New"/>
          <w:b/>
          <w:sz w:val="22"/>
        </w:rPr>
        <w:t>id_mtr_rueckkopplung_datenmaske</w:t>
      </w:r>
      <w:proofErr w:type="spellEnd"/>
      <w:r w:rsidRPr="00AD5CEF">
        <w:t xml:space="preserve"> das </w:t>
      </w:r>
      <w:proofErr w:type="spellStart"/>
      <w:r w:rsidRPr="00AD5CEF">
        <w:t>Matching</w:t>
      </w:r>
      <w:proofErr w:type="spellEnd"/>
      <w:r w:rsidRPr="00AD5CEF">
        <w:t xml:space="preserve"> mit </w:t>
      </w:r>
      <w:r w:rsidRPr="00AD5CEF">
        <w:rPr>
          <w:rFonts w:ascii="Courier New" w:hAnsi="Courier New"/>
          <w:b/>
          <w:sz w:val="22"/>
        </w:rPr>
        <w:br/>
      </w:r>
      <w:proofErr w:type="spellStart"/>
      <w:r w:rsidRPr="00AD5CEF">
        <w:rPr>
          <w:rFonts w:ascii="Courier New" w:hAnsi="Courier New"/>
          <w:b/>
          <w:sz w:val="22"/>
        </w:rPr>
        <w:t>frzk_semantische_dichte_lehrer_gesamt</w:t>
      </w:r>
      <w:proofErr w:type="spellEnd"/>
      <w:r>
        <w:rPr>
          <w:rFonts w:ascii="Courier New" w:hAnsi="Courier New"/>
          <w:b/>
          <w:sz w:val="22"/>
        </w:rPr>
        <w:t xml:space="preserve">. </w:t>
      </w:r>
      <w:proofErr w:type="spellStart"/>
      <w:r w:rsidRPr="00AD5CEF">
        <w:rPr>
          <w:rStyle w:val="SQLTabellennamenZchn"/>
        </w:rPr>
        <w:t>mtr_rueckkopplung_teilnehmer</w:t>
      </w:r>
      <w:proofErr w:type="spellEnd"/>
      <w:r>
        <w:rPr>
          <w:rStyle w:val="SQLTabellennamenZchn"/>
        </w:rPr>
        <w:t xml:space="preserve"> </w:t>
      </w:r>
      <w:r w:rsidRPr="006F4019">
        <w:t>wird über die</w:t>
      </w:r>
      <w:r>
        <w:rPr>
          <w:rStyle w:val="SQLTabellennamenZchn"/>
        </w:rPr>
        <w:t xml:space="preserve"> </w:t>
      </w:r>
      <w:proofErr w:type="spellStart"/>
      <w:r>
        <w:rPr>
          <w:rStyle w:val="SQLTabellennamenZchn"/>
        </w:rPr>
        <w:t>id</w:t>
      </w:r>
      <w:proofErr w:type="spellEnd"/>
      <w:r>
        <w:rPr>
          <w:rStyle w:val="SQLTabellennamenZchn"/>
        </w:rPr>
        <w:t xml:space="preserve"> </w:t>
      </w:r>
      <w:r w:rsidRPr="006F4019">
        <w:t xml:space="preserve">mit </w:t>
      </w:r>
      <w:r w:rsidR="006F4019" w:rsidRPr="006F4019">
        <w:rPr>
          <w:rStyle w:val="SQLTabellennamenZchn"/>
        </w:rPr>
        <w:t>frzk_semantische_dichte_teilnehmer_7d</w:t>
      </w:r>
      <w:r w:rsidR="006F4019" w:rsidRPr="006F4019">
        <w:t xml:space="preserve"> verbunden.</w:t>
      </w:r>
      <w:r w:rsidR="006F4019">
        <w:t xml:space="preserve"> Damit entsteht eine View, die alle Daten der Teilnehmersicht und der Lehrkraftsicht in einer Quelle verbindet.</w:t>
      </w:r>
    </w:p>
    <w:p w14:paraId="02DE65B1" w14:textId="77777777" w:rsidR="00A21A3B" w:rsidRPr="00DA3C0C" w:rsidRDefault="00A21A3B" w:rsidP="00A21A3B">
      <w:r w:rsidRPr="00DA3C0C">
        <w:t xml:space="preserve">Im Unterschied zu klassischen Korrelationsverfahren erfolgt die Analyse nicht ausschließlich über lineare Pearson-Korrelationen einzelner Variablen. Stattdessen kombiniere ich unterschiedliche Ebenen der Zustandskopplung miteinander. Dazu gehören lineare Korrelationen, rangbasierte Spearman-Korrelationen, globale </w:t>
      </w:r>
      <w:proofErr w:type="spellStart"/>
      <w:r w:rsidRPr="00DA3C0C">
        <w:t>Kosinusähnlichkeiten</w:t>
      </w:r>
      <w:proofErr w:type="spellEnd"/>
      <w:r w:rsidRPr="00DA3C0C">
        <w:t xml:space="preserve"> zwischen Vektorräumen, Dominanzachsenvergleiche, Drift- und Varianzanalysen sowie emotionale </w:t>
      </w:r>
      <w:r w:rsidRPr="00DA3C0C">
        <w:lastRenderedPageBreak/>
        <w:t xml:space="preserve">Clusterkopplungen. Dadurch soll verhindert werden, dass komplexe pädagogische Dynamiken auf rein additive Zusammenhänge reduziert werden </w:t>
      </w:r>
      <w:r>
        <w:t>[9][10]</w:t>
      </w:r>
      <w:r w:rsidRPr="00DA3C0C">
        <w:t>.</w:t>
      </w:r>
    </w:p>
    <w:p w14:paraId="28EFEEAD" w14:textId="77777777" w:rsidR="00A21A3B" w:rsidRPr="00DA3C0C" w:rsidRDefault="00A21A3B" w:rsidP="00A21A3B">
      <w:r w:rsidRPr="00DA3C0C">
        <w:t xml:space="preserve">Die linearen Pearson-Korrelationen dienen vor allem der Untersuchung proportionaler Zusammenhänge zwischen einzelnen Zustandsdimensionen. Ergänzend dazu werden Spearman-Korrelationen verwendet, um monotone, aber nicht zwingend lineare Zusammenhänge sichtbar zu machen. Gerade im pädagogischen Kontext erscheinen diese Verfahren sinnvoll, da Unterrichtsprozesse typischerweise nicht streng linear organisiert sind </w:t>
      </w:r>
      <w:r>
        <w:t>[9]</w:t>
      </w:r>
      <w:r w:rsidRPr="00DA3C0C">
        <w:t xml:space="preserve">. Zusätzlich werden globale </w:t>
      </w:r>
      <w:proofErr w:type="spellStart"/>
      <w:r w:rsidRPr="00DA3C0C">
        <w:t>Kosinusähnlichkeiten</w:t>
      </w:r>
      <w:proofErr w:type="spellEnd"/>
      <w:r w:rsidRPr="00DA3C0C">
        <w:t xml:space="preserve"> zwischen den 7D-Vektoren berechnet, um die strukturelle Gesamtähnlichkeit semantischer Zustandsräume zu analysieren. Diese Vorgehensweise erlaubt eine deutlich robustere Bewertung semantischer Resonanz als isolierte Einzelkorrelationen </w:t>
      </w:r>
      <w:r>
        <w:t>[15]</w:t>
      </w:r>
      <w:r w:rsidRPr="00DA3C0C">
        <w:t>.</w:t>
      </w:r>
    </w:p>
    <w:p w14:paraId="17A41F3F" w14:textId="77777777" w:rsidR="00A21A3B" w:rsidRPr="00DA3C0C" w:rsidRDefault="00A21A3B" w:rsidP="00A21A3B">
      <w:r w:rsidRPr="00DA3C0C">
        <w:t xml:space="preserve">Besonders relevant erscheint mir dabei die Kombination aus globaler Zustandsähnlichkeit und lokaler Dynamikanalyse. Während hohe </w:t>
      </w:r>
      <w:proofErr w:type="spellStart"/>
      <w:r w:rsidRPr="00DA3C0C">
        <w:t>Kosinusähnlichkeiten</w:t>
      </w:r>
      <w:proofErr w:type="spellEnd"/>
      <w:r w:rsidRPr="00DA3C0C">
        <w:t xml:space="preserve"> auf gemeinsame semantische Organisationsräume hinweisen, ermöglichen Drift- und Varianzanalysen die Untersuchung instabiler Übergangsphasen, Attraktoren und semantischer Kipppunkte. Hohe Varianzwerte innerhalb einzelner Dimensionen werden dabei als Hinweise auf erhöhte semantische Instabilität interpretiert, während kohärente Dominanzachsen eher auf stabile Resonanzräume hindeuten. Diese Dynamiken passen aus meiner Sicht präzise zu Resonanzmodellen komplexer pädagogischer Systeme </w:t>
      </w:r>
      <w:r>
        <w:t>[11][12]</w:t>
      </w:r>
      <w:r w:rsidRPr="00DA3C0C">
        <w:t>.</w:t>
      </w:r>
    </w:p>
    <w:p w14:paraId="0E4F6771" w14:textId="77777777" w:rsidR="00A21A3B" w:rsidRPr="00DA3C0C" w:rsidRDefault="00A21A3B" w:rsidP="00A21A3B">
      <w:r w:rsidRPr="00DA3C0C">
        <w:t xml:space="preserve">Ein weiterer methodischer Schwerpunkt liegt auf der Analyse emotionaler Resonanzcluster. Die Emotionen werden nicht nur positiv oder negativ klassifiziert, sondern zusätzlich über Valenz- und Aktivierungsparameter operationalisiert. Dadurch können hybride emotionale Zustände sichtbar gemacht werden, die in klassischen Bewertungsmodellen häufig verloren gehen </w:t>
      </w:r>
      <w:r>
        <w:t>[13][14]</w:t>
      </w:r>
      <w:r w:rsidRPr="00DA3C0C">
        <w:t>. Gerade die Kombination widersprüchlicher Emotionen innerhalb einzelner Teilnehmerzustände erscheint mir für die Analyse nichtlinearer pädagogischer Dynamiken besonders bedeutsam. Die Daten zeigen mehrfach, dass emotionale Ambivalenz eng mit semantischer Breite, erhöhter Drift und instabilen Zustandsübergängen zusammenhängt.</w:t>
      </w:r>
    </w:p>
    <w:p w14:paraId="17400C55" w14:textId="77777777" w:rsidR="00A21A3B" w:rsidRPr="00DA3C0C" w:rsidRDefault="00A21A3B" w:rsidP="00A21A3B">
      <w:r w:rsidRPr="00DA3C0C">
        <w:t xml:space="preserve">Methodisch entscheidend ist zudem, dass das Korrelationsverfahren nicht auf den Nachweis einfacher Kausalitäten abzielt. Ziel ist vielmehr die Rekonstruktion semantischer Kopplungsstrukturen zwischen Lehrkraft- und Teilnehmerraum. Das Verfahren untersucht daher primär Resonanz-, Stabilisierungs- und Transformationsprozesse innerhalb gemeinsamer semantischer Zustandsfelder. Dadurch verschiebt sich die Perspektive der Unterrichtsanalyse grundlegend: Nicht einzelne Unterrichtsmerkmale stehen im Mittelpunkt, sondern die dynamische Organisation pädagogischer Zustandsräume </w:t>
      </w:r>
      <w:r>
        <w:t>[11]</w:t>
      </w:r>
      <w:r w:rsidRPr="00DA3C0C">
        <w:t>.</w:t>
      </w:r>
    </w:p>
    <w:p w14:paraId="0F25C7CA" w14:textId="77777777" w:rsidR="00A21A3B" w:rsidRPr="00DA3C0C" w:rsidRDefault="00A21A3B" w:rsidP="00A21A3B">
      <w:r w:rsidRPr="00DA3C0C">
        <w:t xml:space="preserve">Die statistische Bewertung erfolgt über Signifikanztests der jeweiligen Korrelationsverfahren. Dabei werden insbesondere p-Werte kleiner als 0.05, 0.01 und 0.001 berücksichtigt </w:t>
      </w:r>
      <w:r>
        <w:t>[9][10]</w:t>
      </w:r>
      <w:r w:rsidRPr="00DA3C0C">
        <w:t>. Gleichzeitig erscheint mir jedoch die rein lineare Effektstärke allein nicht ausreichend, um komplexe semantische Dynamiken zu bewerten. Aus diesem Grund werden die statistischen Ergebnisse stets gemeinsam mit strukturellen Resonanzmustern, Dominanzachsen, Driftphasen und emotionalen Übergangskonfigurationen interpretiert. Gerade die Kombination dieser Ebenen ermöglicht aus meiner Sicht eine wesentlich realistischere Analyse pädagogischer Prozesse als klassische eindimensionale Korrelationsmodelle.</w:t>
      </w:r>
    </w:p>
    <w:p w14:paraId="376E389F" w14:textId="77777777" w:rsidR="00A21A3B" w:rsidRPr="00DA3C0C" w:rsidRDefault="00A21A3B" w:rsidP="00A21A3B">
      <w:r w:rsidRPr="00DA3C0C">
        <w:t>Insgesamt verfolgt das Korrelationsverfahren somit einen mehrschichtigen Ansatz, der lineare Statistik, semantische Zustandsräume, emotionale Dynamik und gruppendynamische Resonanzprozesse miteinander verbindet. Ziel ist es, die empirische Tragfähigkeit des FRZK-</w:t>
      </w:r>
      <w:r w:rsidRPr="00DA3C0C">
        <w:lastRenderedPageBreak/>
        <w:t>Modells nicht nur über einzelne Korrelationen, sondern über die Rekonstruktion vollständiger semantischer Resonanzräume zu überprüfen.</w:t>
      </w:r>
    </w:p>
    <w:p w14:paraId="654AEED1" w14:textId="77777777" w:rsidR="009A0DD8" w:rsidRDefault="009A0DD8" w:rsidP="002B1EB7"/>
    <w:p w14:paraId="7575DE9D" w14:textId="77777777" w:rsidR="009A0DD8" w:rsidRPr="00AC4C5C" w:rsidRDefault="009A0DD8" w:rsidP="002B1EB7"/>
    <w:p w14:paraId="1E7EC4C2" w14:textId="77777777" w:rsidR="002B1EB7" w:rsidRPr="00AC4C5C" w:rsidRDefault="002B1EB7" w:rsidP="002B1EB7">
      <w:pPr>
        <w:rPr>
          <w:b/>
        </w:rPr>
      </w:pPr>
      <w:r w:rsidRPr="00AC4C5C">
        <w:rPr>
          <w:b/>
        </w:rPr>
        <w:t>Literaturverzeichnis</w:t>
      </w:r>
    </w:p>
    <w:p w14:paraId="569B6497" w14:textId="0ED657A7" w:rsidR="00001A51" w:rsidRPr="00001A51" w:rsidRDefault="002B1EB7" w:rsidP="00001A51">
      <w:r>
        <w:t>[1]</w:t>
      </w:r>
      <w:r w:rsidR="00001A51" w:rsidRPr="00001A51">
        <w:t xml:space="preserve"> Thomas S. Kuhn: </w:t>
      </w:r>
      <w:r w:rsidR="00001A51" w:rsidRPr="00001A51">
        <w:rPr>
          <w:i/>
          <w:iCs/>
        </w:rPr>
        <w:t xml:space="preserve">The </w:t>
      </w:r>
      <w:proofErr w:type="spellStart"/>
      <w:r w:rsidR="00001A51" w:rsidRPr="00001A51">
        <w:rPr>
          <w:i/>
          <w:iCs/>
        </w:rPr>
        <w:t>Structure</w:t>
      </w:r>
      <w:proofErr w:type="spellEnd"/>
      <w:r w:rsidR="00001A51" w:rsidRPr="00001A51">
        <w:rPr>
          <w:i/>
          <w:iCs/>
        </w:rPr>
        <w:t xml:space="preserve"> </w:t>
      </w:r>
      <w:proofErr w:type="spellStart"/>
      <w:r w:rsidR="00001A51" w:rsidRPr="00001A51">
        <w:rPr>
          <w:i/>
          <w:iCs/>
        </w:rPr>
        <w:t>of</w:t>
      </w:r>
      <w:proofErr w:type="spellEnd"/>
      <w:r w:rsidR="00001A51" w:rsidRPr="00001A51">
        <w:rPr>
          <w:i/>
          <w:iCs/>
        </w:rPr>
        <w:t xml:space="preserve"> Scientific </w:t>
      </w:r>
      <w:proofErr w:type="spellStart"/>
      <w:r w:rsidR="00001A51" w:rsidRPr="00001A51">
        <w:rPr>
          <w:i/>
          <w:iCs/>
        </w:rPr>
        <w:t>Revolutions</w:t>
      </w:r>
      <w:proofErr w:type="spellEnd"/>
      <w:r w:rsidR="00001A51" w:rsidRPr="00001A51">
        <w:t xml:space="preserve">. University </w:t>
      </w:r>
      <w:proofErr w:type="spellStart"/>
      <w:r w:rsidR="00001A51" w:rsidRPr="00001A51">
        <w:t>of</w:t>
      </w:r>
      <w:proofErr w:type="spellEnd"/>
      <w:r w:rsidR="00001A51" w:rsidRPr="00001A51">
        <w:t xml:space="preserve"> Chicago Press, 1962.</w:t>
      </w:r>
    </w:p>
    <w:p w14:paraId="226EC87A" w14:textId="77777777" w:rsidR="00001A51" w:rsidRPr="00001A51" w:rsidRDefault="00001A51" w:rsidP="00001A51">
      <w:r w:rsidRPr="00001A51">
        <w:t xml:space="preserve">[2] Niklas Luhmann: </w:t>
      </w:r>
      <w:proofErr w:type="spellStart"/>
      <w:r w:rsidRPr="00001A51">
        <w:rPr>
          <w:i/>
          <w:iCs/>
        </w:rPr>
        <w:t>Social</w:t>
      </w:r>
      <w:proofErr w:type="spellEnd"/>
      <w:r w:rsidRPr="00001A51">
        <w:rPr>
          <w:i/>
          <w:iCs/>
        </w:rPr>
        <w:t xml:space="preserve"> Systems</w:t>
      </w:r>
      <w:r w:rsidRPr="00001A51">
        <w:t>. Stanford University Press, 1995.</w:t>
      </w:r>
    </w:p>
    <w:p w14:paraId="0F0DBF13" w14:textId="77777777" w:rsidR="00001A51" w:rsidRPr="00001A51" w:rsidRDefault="00001A51" w:rsidP="00001A51">
      <w:r w:rsidRPr="00001A51">
        <w:t xml:space="preserve">[3] </w:t>
      </w:r>
      <w:proofErr w:type="spellStart"/>
      <w:r w:rsidRPr="00001A51">
        <w:t>Banihashem</w:t>
      </w:r>
      <w:proofErr w:type="spellEnd"/>
      <w:r w:rsidRPr="00001A51">
        <w:t xml:space="preserve">, S. K.; </w:t>
      </w:r>
      <w:proofErr w:type="spellStart"/>
      <w:r w:rsidRPr="00001A51">
        <w:t>Macfadyen</w:t>
      </w:r>
      <w:proofErr w:type="spellEnd"/>
      <w:r w:rsidRPr="00001A51">
        <w:t xml:space="preserve">, L. P.: </w:t>
      </w:r>
      <w:proofErr w:type="spellStart"/>
      <w:r w:rsidRPr="00001A51">
        <w:rPr>
          <w:i/>
          <w:iCs/>
        </w:rPr>
        <w:t>Pedagogical</w:t>
      </w:r>
      <w:proofErr w:type="spellEnd"/>
      <w:r w:rsidRPr="00001A51">
        <w:rPr>
          <w:i/>
          <w:iCs/>
        </w:rPr>
        <w:t xml:space="preserve"> Design: </w:t>
      </w:r>
      <w:proofErr w:type="spellStart"/>
      <w:r w:rsidRPr="00001A51">
        <w:rPr>
          <w:i/>
          <w:iCs/>
        </w:rPr>
        <w:t>Bridging</w:t>
      </w:r>
      <w:proofErr w:type="spellEnd"/>
      <w:r w:rsidRPr="00001A51">
        <w:rPr>
          <w:i/>
          <w:iCs/>
        </w:rPr>
        <w:t xml:space="preserve"> Learning Theory and Learning Analytics</w:t>
      </w:r>
      <w:r w:rsidRPr="00001A51">
        <w:t xml:space="preserve">. Canadian Journal </w:t>
      </w:r>
      <w:proofErr w:type="spellStart"/>
      <w:r w:rsidRPr="00001A51">
        <w:t>of</w:t>
      </w:r>
      <w:proofErr w:type="spellEnd"/>
      <w:r w:rsidRPr="00001A51">
        <w:t xml:space="preserve"> Learning and Technology, 2021. </w:t>
      </w:r>
    </w:p>
    <w:p w14:paraId="1D67EBB6" w14:textId="77777777" w:rsidR="00001A51" w:rsidRPr="00001A51" w:rsidRDefault="00001A51" w:rsidP="00001A51">
      <w:r w:rsidRPr="00001A51">
        <w:t xml:space="preserve">[4] Romero, C.; Ventura, S.: </w:t>
      </w:r>
      <w:r w:rsidRPr="00001A51">
        <w:rPr>
          <w:i/>
          <w:iCs/>
        </w:rPr>
        <w:t>Educational Data Mining and Learning Analytics: An Updated Survey</w:t>
      </w:r>
      <w:r w:rsidRPr="00001A51">
        <w:t xml:space="preserve">. 2024. </w:t>
      </w:r>
    </w:p>
    <w:p w14:paraId="36CA543F" w14:textId="77777777" w:rsidR="00001A51" w:rsidRPr="00001A51" w:rsidRDefault="00001A51" w:rsidP="00001A51">
      <w:r w:rsidRPr="00001A51">
        <w:t xml:space="preserve">[5] </w:t>
      </w:r>
      <w:proofErr w:type="spellStart"/>
      <w:r w:rsidRPr="00001A51">
        <w:t>Lämsä</w:t>
      </w:r>
      <w:proofErr w:type="spellEnd"/>
      <w:r w:rsidRPr="00001A51">
        <w:t xml:space="preserve">, J. et al.: </w:t>
      </w:r>
      <w:proofErr w:type="spellStart"/>
      <w:r w:rsidRPr="00001A51">
        <w:rPr>
          <w:i/>
          <w:iCs/>
        </w:rPr>
        <w:t>Learners</w:t>
      </w:r>
      <w:proofErr w:type="spellEnd"/>
      <w:r w:rsidRPr="00001A51">
        <w:rPr>
          <w:i/>
          <w:iCs/>
        </w:rPr>
        <w:t xml:space="preserve">’ </w:t>
      </w:r>
      <w:proofErr w:type="spellStart"/>
      <w:r w:rsidRPr="00001A51">
        <w:rPr>
          <w:i/>
          <w:iCs/>
        </w:rPr>
        <w:t>Linguistic</w:t>
      </w:r>
      <w:proofErr w:type="spellEnd"/>
      <w:r w:rsidRPr="00001A51">
        <w:rPr>
          <w:i/>
          <w:iCs/>
        </w:rPr>
        <w:t xml:space="preserve"> Alignment and Physiological </w:t>
      </w:r>
      <w:proofErr w:type="spellStart"/>
      <w:r w:rsidRPr="00001A51">
        <w:rPr>
          <w:i/>
          <w:iCs/>
        </w:rPr>
        <w:t>Synchrony</w:t>
      </w:r>
      <w:proofErr w:type="spellEnd"/>
      <w:r w:rsidRPr="00001A51">
        <w:t xml:space="preserve">. Journal </w:t>
      </w:r>
      <w:proofErr w:type="spellStart"/>
      <w:r w:rsidRPr="00001A51">
        <w:t>of</w:t>
      </w:r>
      <w:proofErr w:type="spellEnd"/>
      <w:r w:rsidRPr="00001A51">
        <w:t xml:space="preserve"> Learning Analytics, 2024. </w:t>
      </w:r>
    </w:p>
    <w:p w14:paraId="0B0ED865" w14:textId="77777777" w:rsidR="00001A51" w:rsidRPr="00001A51" w:rsidRDefault="00001A51" w:rsidP="00001A51">
      <w:r w:rsidRPr="00001A51">
        <w:t xml:space="preserve">[6] Christopher D. Manning; Hinrich Schütze: </w:t>
      </w:r>
      <w:r w:rsidRPr="00001A51">
        <w:rPr>
          <w:i/>
          <w:iCs/>
        </w:rPr>
        <w:t xml:space="preserve">Foundations </w:t>
      </w:r>
      <w:proofErr w:type="spellStart"/>
      <w:r w:rsidRPr="00001A51">
        <w:rPr>
          <w:i/>
          <w:iCs/>
        </w:rPr>
        <w:t>of</w:t>
      </w:r>
      <w:proofErr w:type="spellEnd"/>
      <w:r w:rsidRPr="00001A51">
        <w:rPr>
          <w:i/>
          <w:iCs/>
        </w:rPr>
        <w:t xml:space="preserve"> Statistical Natural Language Processing</w:t>
      </w:r>
      <w:r w:rsidRPr="00001A51">
        <w:t>. MIT Press, 1999.</w:t>
      </w:r>
    </w:p>
    <w:p w14:paraId="5390568F" w14:textId="77777777" w:rsidR="00001A51" w:rsidRPr="00001A51" w:rsidRDefault="00001A51" w:rsidP="00001A51">
      <w:r w:rsidRPr="00001A51">
        <w:t xml:space="preserve">[7] Beale, R.: </w:t>
      </w:r>
      <w:proofErr w:type="spellStart"/>
      <w:r w:rsidRPr="00001A51">
        <w:rPr>
          <w:i/>
          <w:iCs/>
        </w:rPr>
        <w:t>Dialogic</w:t>
      </w:r>
      <w:proofErr w:type="spellEnd"/>
      <w:r w:rsidRPr="00001A51">
        <w:rPr>
          <w:i/>
          <w:iCs/>
        </w:rPr>
        <w:t xml:space="preserve"> </w:t>
      </w:r>
      <w:proofErr w:type="spellStart"/>
      <w:r w:rsidRPr="00001A51">
        <w:rPr>
          <w:i/>
          <w:iCs/>
        </w:rPr>
        <w:t>Pedagogy</w:t>
      </w:r>
      <w:proofErr w:type="spellEnd"/>
      <w:r w:rsidRPr="00001A51">
        <w:rPr>
          <w:i/>
          <w:iCs/>
        </w:rPr>
        <w:t xml:space="preserve"> </w:t>
      </w:r>
      <w:proofErr w:type="spellStart"/>
      <w:r w:rsidRPr="00001A51">
        <w:rPr>
          <w:i/>
          <w:iCs/>
        </w:rPr>
        <w:t>for</w:t>
      </w:r>
      <w:proofErr w:type="spellEnd"/>
      <w:r w:rsidRPr="00001A51">
        <w:rPr>
          <w:i/>
          <w:iCs/>
        </w:rPr>
        <w:t xml:space="preserve"> Large Language Models: </w:t>
      </w:r>
      <w:proofErr w:type="spellStart"/>
      <w:r w:rsidRPr="00001A51">
        <w:rPr>
          <w:i/>
          <w:iCs/>
        </w:rPr>
        <w:t>Aligning</w:t>
      </w:r>
      <w:proofErr w:type="spellEnd"/>
      <w:r w:rsidRPr="00001A51">
        <w:rPr>
          <w:i/>
          <w:iCs/>
        </w:rPr>
        <w:t xml:space="preserve"> </w:t>
      </w:r>
      <w:proofErr w:type="spellStart"/>
      <w:r w:rsidRPr="00001A51">
        <w:rPr>
          <w:i/>
          <w:iCs/>
        </w:rPr>
        <w:t>Conversational</w:t>
      </w:r>
      <w:proofErr w:type="spellEnd"/>
      <w:r w:rsidRPr="00001A51">
        <w:rPr>
          <w:i/>
          <w:iCs/>
        </w:rPr>
        <w:t xml:space="preserve"> AI </w:t>
      </w:r>
      <w:proofErr w:type="spellStart"/>
      <w:r w:rsidRPr="00001A51">
        <w:rPr>
          <w:i/>
          <w:iCs/>
        </w:rPr>
        <w:t>with</w:t>
      </w:r>
      <w:proofErr w:type="spellEnd"/>
      <w:r w:rsidRPr="00001A51">
        <w:rPr>
          <w:i/>
          <w:iCs/>
        </w:rPr>
        <w:t xml:space="preserve"> </w:t>
      </w:r>
      <w:proofErr w:type="spellStart"/>
      <w:r w:rsidRPr="00001A51">
        <w:rPr>
          <w:i/>
          <w:iCs/>
        </w:rPr>
        <w:t>Proven</w:t>
      </w:r>
      <w:proofErr w:type="spellEnd"/>
      <w:r w:rsidRPr="00001A51">
        <w:rPr>
          <w:i/>
          <w:iCs/>
        </w:rPr>
        <w:t xml:space="preserve"> </w:t>
      </w:r>
      <w:proofErr w:type="spellStart"/>
      <w:r w:rsidRPr="00001A51">
        <w:rPr>
          <w:i/>
          <w:iCs/>
        </w:rPr>
        <w:t>Theories</w:t>
      </w:r>
      <w:proofErr w:type="spellEnd"/>
      <w:r w:rsidRPr="00001A51">
        <w:rPr>
          <w:i/>
          <w:iCs/>
        </w:rPr>
        <w:t xml:space="preserve"> </w:t>
      </w:r>
      <w:proofErr w:type="spellStart"/>
      <w:r w:rsidRPr="00001A51">
        <w:rPr>
          <w:i/>
          <w:iCs/>
        </w:rPr>
        <w:t>of</w:t>
      </w:r>
      <w:proofErr w:type="spellEnd"/>
      <w:r w:rsidRPr="00001A51">
        <w:rPr>
          <w:i/>
          <w:iCs/>
        </w:rPr>
        <w:t xml:space="preserve"> Learning</w:t>
      </w:r>
      <w:r w:rsidRPr="00001A51">
        <w:t xml:space="preserve">. 2025. </w:t>
      </w:r>
    </w:p>
    <w:p w14:paraId="24EAE5ED" w14:textId="07C57267" w:rsidR="009A0DD8" w:rsidRPr="003110C5" w:rsidRDefault="00001A51" w:rsidP="00A21A3B">
      <w:pPr>
        <w:rPr>
          <w:rStyle w:val="SQLTabellen"/>
          <w:rFonts w:ascii="Calibri" w:hAnsi="Calibri"/>
          <w:b w:val="0"/>
          <w:sz w:val="24"/>
        </w:rPr>
      </w:pPr>
      <w:r w:rsidRPr="00001A51">
        <w:t xml:space="preserve">[8] </w:t>
      </w:r>
      <w:proofErr w:type="spellStart"/>
      <w:r w:rsidRPr="00001A51">
        <w:t>Sucholutsky</w:t>
      </w:r>
      <w:proofErr w:type="spellEnd"/>
      <w:r w:rsidRPr="00001A51">
        <w:t xml:space="preserve">, I. et al.: </w:t>
      </w:r>
      <w:proofErr w:type="spellStart"/>
      <w:r w:rsidRPr="00001A51">
        <w:rPr>
          <w:i/>
          <w:iCs/>
        </w:rPr>
        <w:t>Representational</w:t>
      </w:r>
      <w:proofErr w:type="spellEnd"/>
      <w:r w:rsidRPr="00001A51">
        <w:rPr>
          <w:i/>
          <w:iCs/>
        </w:rPr>
        <w:t xml:space="preserve"> Alignment Supports </w:t>
      </w:r>
      <w:proofErr w:type="spellStart"/>
      <w:r w:rsidRPr="00001A51">
        <w:rPr>
          <w:i/>
          <w:iCs/>
        </w:rPr>
        <w:t>Effective</w:t>
      </w:r>
      <w:proofErr w:type="spellEnd"/>
      <w:r w:rsidRPr="00001A51">
        <w:rPr>
          <w:i/>
          <w:iCs/>
        </w:rPr>
        <w:t xml:space="preserve"> </w:t>
      </w:r>
      <w:proofErr w:type="spellStart"/>
      <w:r w:rsidRPr="00001A51">
        <w:rPr>
          <w:i/>
          <w:iCs/>
        </w:rPr>
        <w:t>Machine</w:t>
      </w:r>
      <w:proofErr w:type="spellEnd"/>
      <w:r w:rsidRPr="00001A51">
        <w:rPr>
          <w:i/>
          <w:iCs/>
        </w:rPr>
        <w:t xml:space="preserve"> Teaching</w:t>
      </w:r>
      <w:r w:rsidRPr="00001A51">
        <w:t xml:space="preserve">. </w:t>
      </w:r>
    </w:p>
    <w:p w14:paraId="29462B59" w14:textId="77777777" w:rsidR="00AD5CEF" w:rsidRPr="00DA3C0C" w:rsidRDefault="00AD5CEF" w:rsidP="00AD5CEF">
      <w:r>
        <w:t>[9]</w:t>
      </w:r>
      <w:r w:rsidRPr="00DA3C0C">
        <w:t xml:space="preserve"> Cohen, Jacob: Statistical Power Analysis </w:t>
      </w:r>
      <w:proofErr w:type="spellStart"/>
      <w:r w:rsidRPr="00DA3C0C">
        <w:t>for</w:t>
      </w:r>
      <w:proofErr w:type="spellEnd"/>
      <w:r w:rsidRPr="00DA3C0C">
        <w:t xml:space="preserve"> </w:t>
      </w:r>
      <w:proofErr w:type="spellStart"/>
      <w:r w:rsidRPr="00DA3C0C">
        <w:t>the</w:t>
      </w:r>
      <w:proofErr w:type="spellEnd"/>
      <w:r w:rsidRPr="00DA3C0C">
        <w:t xml:space="preserve"> Behavioral Sciences. 2. Auflage. </w:t>
      </w:r>
      <w:proofErr w:type="spellStart"/>
      <w:r w:rsidRPr="00DA3C0C">
        <w:t>Hillsdale</w:t>
      </w:r>
      <w:proofErr w:type="spellEnd"/>
      <w:r w:rsidRPr="00DA3C0C">
        <w:t>: Lawrence Erlbaum Associates, 1988.</w:t>
      </w:r>
    </w:p>
    <w:p w14:paraId="03F9C643" w14:textId="77777777" w:rsidR="00AD5CEF" w:rsidRPr="00DA3C0C" w:rsidRDefault="00AD5CEF" w:rsidP="00AD5CEF">
      <w:r>
        <w:t>[10]</w:t>
      </w:r>
      <w:r w:rsidRPr="00DA3C0C">
        <w:t xml:space="preserve"> Field, Andy: </w:t>
      </w:r>
      <w:proofErr w:type="spellStart"/>
      <w:r w:rsidRPr="00DA3C0C">
        <w:t>Discovering</w:t>
      </w:r>
      <w:proofErr w:type="spellEnd"/>
      <w:r w:rsidRPr="00DA3C0C">
        <w:t xml:space="preserve"> </w:t>
      </w:r>
      <w:proofErr w:type="spellStart"/>
      <w:r w:rsidRPr="00DA3C0C">
        <w:t>Statistics</w:t>
      </w:r>
      <w:proofErr w:type="spellEnd"/>
      <w:r w:rsidRPr="00DA3C0C">
        <w:t xml:space="preserve"> </w:t>
      </w:r>
      <w:proofErr w:type="spellStart"/>
      <w:r w:rsidRPr="00DA3C0C">
        <w:t>Using</w:t>
      </w:r>
      <w:proofErr w:type="spellEnd"/>
      <w:r w:rsidRPr="00DA3C0C">
        <w:t xml:space="preserve"> IBM SPSS </w:t>
      </w:r>
      <w:proofErr w:type="spellStart"/>
      <w:r w:rsidRPr="00DA3C0C">
        <w:t>Statistics</w:t>
      </w:r>
      <w:proofErr w:type="spellEnd"/>
      <w:r w:rsidRPr="00DA3C0C">
        <w:t>. London: Sage Publications, 2018.</w:t>
      </w:r>
    </w:p>
    <w:p w14:paraId="2037A30D" w14:textId="77777777" w:rsidR="00AD5CEF" w:rsidRPr="00DA3C0C" w:rsidRDefault="00AD5CEF" w:rsidP="00AD5CEF">
      <w:r>
        <w:t>[11]</w:t>
      </w:r>
      <w:r w:rsidRPr="00DA3C0C">
        <w:t xml:space="preserve"> Rosa, Hartmut: Resonanz. Eine Soziologie der Weltbeziehung. Berlin: Suhrkamp, 2016.</w:t>
      </w:r>
    </w:p>
    <w:p w14:paraId="1176F1BB" w14:textId="77777777" w:rsidR="00AD5CEF" w:rsidRPr="00DA3C0C" w:rsidRDefault="00AD5CEF" w:rsidP="00AD5CEF">
      <w:r>
        <w:t>[12]</w:t>
      </w:r>
      <w:r w:rsidRPr="00DA3C0C">
        <w:t xml:space="preserve"> Hattie, John: Visible Learning. A Synthesis </w:t>
      </w:r>
      <w:proofErr w:type="spellStart"/>
      <w:r w:rsidRPr="00DA3C0C">
        <w:t>of</w:t>
      </w:r>
      <w:proofErr w:type="spellEnd"/>
      <w:r w:rsidRPr="00DA3C0C">
        <w:t xml:space="preserve"> Over 800 Meta-</w:t>
      </w:r>
      <w:proofErr w:type="spellStart"/>
      <w:r w:rsidRPr="00DA3C0C">
        <w:t>Analyses</w:t>
      </w:r>
      <w:proofErr w:type="spellEnd"/>
      <w:r w:rsidRPr="00DA3C0C">
        <w:t xml:space="preserve"> </w:t>
      </w:r>
      <w:proofErr w:type="spellStart"/>
      <w:r w:rsidRPr="00DA3C0C">
        <w:t>Relating</w:t>
      </w:r>
      <w:proofErr w:type="spellEnd"/>
      <w:r w:rsidRPr="00DA3C0C">
        <w:t xml:space="preserve"> </w:t>
      </w:r>
      <w:proofErr w:type="spellStart"/>
      <w:r w:rsidRPr="00DA3C0C">
        <w:t>to</w:t>
      </w:r>
      <w:proofErr w:type="spellEnd"/>
      <w:r w:rsidRPr="00DA3C0C">
        <w:t xml:space="preserve"> Achievement. London: Routledge, 2009.</w:t>
      </w:r>
    </w:p>
    <w:p w14:paraId="1B245BC4" w14:textId="77777777" w:rsidR="00AD5CEF" w:rsidRPr="00DA3C0C" w:rsidRDefault="00AD5CEF" w:rsidP="00AD5CEF">
      <w:r>
        <w:t>[13]</w:t>
      </w:r>
      <w:r w:rsidRPr="00DA3C0C">
        <w:t xml:space="preserve"> Pekrun, Reinhard: Emotion and Achievement </w:t>
      </w:r>
      <w:proofErr w:type="spellStart"/>
      <w:r w:rsidRPr="00DA3C0C">
        <w:t>During</w:t>
      </w:r>
      <w:proofErr w:type="spellEnd"/>
      <w:r w:rsidRPr="00DA3C0C">
        <w:t xml:space="preserve"> </w:t>
      </w:r>
      <w:proofErr w:type="spellStart"/>
      <w:r w:rsidRPr="00DA3C0C">
        <w:t>Adolescence</w:t>
      </w:r>
      <w:proofErr w:type="spellEnd"/>
      <w:r w:rsidRPr="00DA3C0C">
        <w:t xml:space="preserve">. Child Development </w:t>
      </w:r>
      <w:proofErr w:type="spellStart"/>
      <w:r w:rsidRPr="00DA3C0C">
        <w:t>Perspectives</w:t>
      </w:r>
      <w:proofErr w:type="spellEnd"/>
      <w:r w:rsidRPr="00DA3C0C">
        <w:t>, 2017.</w:t>
      </w:r>
    </w:p>
    <w:p w14:paraId="5CE136F5" w14:textId="77777777" w:rsidR="00AD5CEF" w:rsidRPr="00DA3C0C" w:rsidRDefault="00AD5CEF" w:rsidP="00AD5CEF">
      <w:r>
        <w:t>[14]</w:t>
      </w:r>
      <w:r w:rsidRPr="00DA3C0C">
        <w:t xml:space="preserve"> </w:t>
      </w:r>
      <w:proofErr w:type="spellStart"/>
      <w:r w:rsidRPr="00DA3C0C">
        <w:t>Tyng</w:t>
      </w:r>
      <w:proofErr w:type="spellEnd"/>
      <w:r w:rsidRPr="00DA3C0C">
        <w:t xml:space="preserve">, C. M. et al.: The </w:t>
      </w:r>
      <w:proofErr w:type="spellStart"/>
      <w:r w:rsidRPr="00DA3C0C">
        <w:t>Influences</w:t>
      </w:r>
      <w:proofErr w:type="spellEnd"/>
      <w:r w:rsidRPr="00DA3C0C">
        <w:t xml:space="preserve"> </w:t>
      </w:r>
      <w:proofErr w:type="spellStart"/>
      <w:r w:rsidRPr="00DA3C0C">
        <w:t>of</w:t>
      </w:r>
      <w:proofErr w:type="spellEnd"/>
      <w:r w:rsidRPr="00DA3C0C">
        <w:t xml:space="preserve"> Emotion on Learning and Memory. Frontiers in </w:t>
      </w:r>
      <w:proofErr w:type="spellStart"/>
      <w:r w:rsidRPr="00DA3C0C">
        <w:t>Psychology</w:t>
      </w:r>
      <w:proofErr w:type="spellEnd"/>
      <w:r w:rsidRPr="00DA3C0C">
        <w:t>, 2017.</w:t>
      </w:r>
    </w:p>
    <w:p w14:paraId="47063D27" w14:textId="77777777" w:rsidR="00AD5CEF" w:rsidRPr="00DA3C0C" w:rsidRDefault="00AD5CEF" w:rsidP="00AD5CEF">
      <w:r>
        <w:t>[15]</w:t>
      </w:r>
      <w:r w:rsidRPr="00DA3C0C">
        <w:t xml:space="preserve"> </w:t>
      </w:r>
      <w:proofErr w:type="spellStart"/>
      <w:r w:rsidRPr="00DA3C0C">
        <w:t>Vakulenko</w:t>
      </w:r>
      <w:proofErr w:type="spellEnd"/>
      <w:r w:rsidRPr="00DA3C0C">
        <w:t xml:space="preserve">, Svitlana et al.: </w:t>
      </w:r>
      <w:proofErr w:type="spellStart"/>
      <w:r w:rsidRPr="00DA3C0C">
        <w:t>Measuring</w:t>
      </w:r>
      <w:proofErr w:type="spellEnd"/>
      <w:r w:rsidRPr="00DA3C0C">
        <w:t xml:space="preserve"> </w:t>
      </w:r>
      <w:proofErr w:type="spellStart"/>
      <w:r w:rsidRPr="00DA3C0C">
        <w:t>Semantic</w:t>
      </w:r>
      <w:proofErr w:type="spellEnd"/>
      <w:r w:rsidRPr="00DA3C0C">
        <w:t xml:space="preserve"> </w:t>
      </w:r>
      <w:proofErr w:type="spellStart"/>
      <w:r w:rsidRPr="00DA3C0C">
        <w:t>Coherence</w:t>
      </w:r>
      <w:proofErr w:type="spellEnd"/>
      <w:r w:rsidRPr="00DA3C0C">
        <w:t xml:space="preserve"> </w:t>
      </w:r>
      <w:proofErr w:type="spellStart"/>
      <w:r w:rsidRPr="00DA3C0C">
        <w:t>of</w:t>
      </w:r>
      <w:proofErr w:type="spellEnd"/>
      <w:r w:rsidRPr="00DA3C0C">
        <w:t xml:space="preserve"> a </w:t>
      </w:r>
      <w:proofErr w:type="spellStart"/>
      <w:r w:rsidRPr="00DA3C0C">
        <w:t>Conversation</w:t>
      </w:r>
      <w:proofErr w:type="spellEnd"/>
      <w:r w:rsidRPr="00DA3C0C">
        <w:t xml:space="preserve">. </w:t>
      </w:r>
      <w:proofErr w:type="spellStart"/>
      <w:r w:rsidRPr="00DA3C0C">
        <w:t>arXiv</w:t>
      </w:r>
      <w:proofErr w:type="spellEnd"/>
      <w:r w:rsidRPr="00DA3C0C">
        <w:t>, 2018.</w:t>
      </w:r>
    </w:p>
    <w:p w14:paraId="5564ED70" w14:textId="77777777" w:rsidR="00AD5CEF" w:rsidRPr="00DA3C0C" w:rsidRDefault="00AD5CEF" w:rsidP="00AD5CEF">
      <w:r>
        <w:t>[16]</w:t>
      </w:r>
      <w:r w:rsidRPr="00DA3C0C">
        <w:t xml:space="preserve"> Zimmerman, Barry J.: Self-</w:t>
      </w:r>
      <w:proofErr w:type="spellStart"/>
      <w:r w:rsidRPr="00DA3C0C">
        <w:t>Regulated</w:t>
      </w:r>
      <w:proofErr w:type="spellEnd"/>
      <w:r w:rsidRPr="00DA3C0C">
        <w:t xml:space="preserve"> Learning and Academic Achievement. New York: Springer, 1989.</w:t>
      </w:r>
    </w:p>
    <w:p w14:paraId="0B8606EC"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E312C"/>
    <w:multiLevelType w:val="multilevel"/>
    <w:tmpl w:val="59C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77233ED"/>
    <w:multiLevelType w:val="multilevel"/>
    <w:tmpl w:val="894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A3D18"/>
    <w:multiLevelType w:val="multilevel"/>
    <w:tmpl w:val="252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57E1B"/>
    <w:multiLevelType w:val="multilevel"/>
    <w:tmpl w:val="4A5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C7065"/>
    <w:multiLevelType w:val="multilevel"/>
    <w:tmpl w:val="307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C5054"/>
    <w:multiLevelType w:val="multilevel"/>
    <w:tmpl w:val="BC0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733F3"/>
    <w:multiLevelType w:val="multilevel"/>
    <w:tmpl w:val="53E2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0710F"/>
    <w:multiLevelType w:val="multilevel"/>
    <w:tmpl w:val="29C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25186"/>
    <w:multiLevelType w:val="multilevel"/>
    <w:tmpl w:val="83C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C7C67"/>
    <w:multiLevelType w:val="multilevel"/>
    <w:tmpl w:val="A9B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C0DB2"/>
    <w:multiLevelType w:val="multilevel"/>
    <w:tmpl w:val="3F2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16439"/>
    <w:multiLevelType w:val="multilevel"/>
    <w:tmpl w:val="540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F5933"/>
    <w:multiLevelType w:val="multilevel"/>
    <w:tmpl w:val="656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257CD"/>
    <w:multiLevelType w:val="multilevel"/>
    <w:tmpl w:val="253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67638"/>
    <w:multiLevelType w:val="multilevel"/>
    <w:tmpl w:val="06B2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A7C0B"/>
    <w:multiLevelType w:val="multilevel"/>
    <w:tmpl w:val="2FF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337B0"/>
    <w:multiLevelType w:val="multilevel"/>
    <w:tmpl w:val="2F0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F29DA"/>
    <w:multiLevelType w:val="multilevel"/>
    <w:tmpl w:val="92F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E9C1E89"/>
    <w:multiLevelType w:val="multilevel"/>
    <w:tmpl w:val="2B7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909B9"/>
    <w:multiLevelType w:val="multilevel"/>
    <w:tmpl w:val="38768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F7410"/>
    <w:multiLevelType w:val="multilevel"/>
    <w:tmpl w:val="B58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77CFB"/>
    <w:multiLevelType w:val="multilevel"/>
    <w:tmpl w:val="DE9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46ADB"/>
    <w:multiLevelType w:val="multilevel"/>
    <w:tmpl w:val="497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B44CF"/>
    <w:multiLevelType w:val="multilevel"/>
    <w:tmpl w:val="056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41F49"/>
    <w:multiLevelType w:val="multilevel"/>
    <w:tmpl w:val="CCE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20DB2"/>
    <w:multiLevelType w:val="multilevel"/>
    <w:tmpl w:val="424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2"/>
  </w:num>
  <w:num w:numId="3" w16cid:durableId="66727205">
    <w:abstractNumId w:val="12"/>
  </w:num>
  <w:num w:numId="4" w16cid:durableId="998769572">
    <w:abstractNumId w:val="21"/>
  </w:num>
  <w:num w:numId="5" w16cid:durableId="15216999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262949">
    <w:abstractNumId w:val="26"/>
  </w:num>
  <w:num w:numId="7" w16cid:durableId="361248634">
    <w:abstractNumId w:val="25"/>
  </w:num>
  <w:num w:numId="8" w16cid:durableId="501774603">
    <w:abstractNumId w:val="27"/>
  </w:num>
  <w:num w:numId="9" w16cid:durableId="1044790923">
    <w:abstractNumId w:val="10"/>
  </w:num>
  <w:num w:numId="10" w16cid:durableId="462315383">
    <w:abstractNumId w:val="11"/>
  </w:num>
  <w:num w:numId="11" w16cid:durableId="2065324726">
    <w:abstractNumId w:val="7"/>
  </w:num>
  <w:num w:numId="12" w16cid:durableId="2086563654">
    <w:abstractNumId w:val="13"/>
  </w:num>
  <w:num w:numId="13" w16cid:durableId="48499468">
    <w:abstractNumId w:val="8"/>
  </w:num>
  <w:num w:numId="14" w16cid:durableId="897203431">
    <w:abstractNumId w:val="24"/>
  </w:num>
  <w:num w:numId="15" w16cid:durableId="1988822156">
    <w:abstractNumId w:val="5"/>
  </w:num>
  <w:num w:numId="16" w16cid:durableId="950673687">
    <w:abstractNumId w:val="4"/>
  </w:num>
  <w:num w:numId="17" w16cid:durableId="2103988677">
    <w:abstractNumId w:val="3"/>
  </w:num>
  <w:num w:numId="18" w16cid:durableId="2109041055">
    <w:abstractNumId w:val="15"/>
  </w:num>
  <w:num w:numId="19" w16cid:durableId="2122726374">
    <w:abstractNumId w:val="16"/>
  </w:num>
  <w:num w:numId="20" w16cid:durableId="1403874572">
    <w:abstractNumId w:val="6"/>
  </w:num>
  <w:num w:numId="21" w16cid:durableId="1874801910">
    <w:abstractNumId w:val="9"/>
  </w:num>
  <w:num w:numId="22" w16cid:durableId="960766383">
    <w:abstractNumId w:val="14"/>
  </w:num>
  <w:num w:numId="23" w16cid:durableId="1905798759">
    <w:abstractNumId w:val="22"/>
  </w:num>
  <w:num w:numId="24" w16cid:durableId="542444260">
    <w:abstractNumId w:val="19"/>
  </w:num>
  <w:num w:numId="25" w16cid:durableId="150417019">
    <w:abstractNumId w:val="1"/>
  </w:num>
  <w:num w:numId="26" w16cid:durableId="1948846543">
    <w:abstractNumId w:val="18"/>
  </w:num>
  <w:num w:numId="27" w16cid:durableId="888883264">
    <w:abstractNumId w:val="17"/>
  </w:num>
  <w:num w:numId="28" w16cid:durableId="1628245065">
    <w:abstractNumId w:val="28"/>
  </w:num>
  <w:num w:numId="29" w16cid:durableId="44838944">
    <w:abstractNumId w:val="29"/>
  </w:num>
  <w:num w:numId="30" w16cid:durableId="2113238607">
    <w:abstractNumId w:val="23"/>
  </w:num>
  <w:num w:numId="31" w16cid:durableId="171647725">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51"/>
    <w:rsid w:val="00001A51"/>
    <w:rsid w:val="00003048"/>
    <w:rsid w:val="000467F2"/>
    <w:rsid w:val="00082214"/>
    <w:rsid w:val="000B0C44"/>
    <w:rsid w:val="00103784"/>
    <w:rsid w:val="00106528"/>
    <w:rsid w:val="001830F2"/>
    <w:rsid w:val="0019229D"/>
    <w:rsid w:val="002B03D4"/>
    <w:rsid w:val="002B1EB7"/>
    <w:rsid w:val="002D20FA"/>
    <w:rsid w:val="002D4202"/>
    <w:rsid w:val="00324306"/>
    <w:rsid w:val="00433ECB"/>
    <w:rsid w:val="00436FC4"/>
    <w:rsid w:val="0044266C"/>
    <w:rsid w:val="00446557"/>
    <w:rsid w:val="00500020"/>
    <w:rsid w:val="005454E6"/>
    <w:rsid w:val="00560B17"/>
    <w:rsid w:val="005B5EFD"/>
    <w:rsid w:val="005D6FD2"/>
    <w:rsid w:val="005E4CED"/>
    <w:rsid w:val="006016DC"/>
    <w:rsid w:val="006B3395"/>
    <w:rsid w:val="006F4019"/>
    <w:rsid w:val="00706409"/>
    <w:rsid w:val="007115B7"/>
    <w:rsid w:val="00795695"/>
    <w:rsid w:val="007A3369"/>
    <w:rsid w:val="007B7DE7"/>
    <w:rsid w:val="007E333F"/>
    <w:rsid w:val="00805BC9"/>
    <w:rsid w:val="00873182"/>
    <w:rsid w:val="008871CF"/>
    <w:rsid w:val="008B0C43"/>
    <w:rsid w:val="008C4935"/>
    <w:rsid w:val="009032D7"/>
    <w:rsid w:val="00966E09"/>
    <w:rsid w:val="00997246"/>
    <w:rsid w:val="009A0DD8"/>
    <w:rsid w:val="00A21A3B"/>
    <w:rsid w:val="00A307C9"/>
    <w:rsid w:val="00A3671C"/>
    <w:rsid w:val="00AA4222"/>
    <w:rsid w:val="00AD5CEF"/>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2012"/>
  <w15:chartTrackingRefBased/>
  <w15:docId w15:val="{E6A12605-AC70-4415-8A79-D7A677DA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AD5CEF"/>
    <w:rPr>
      <w:rFonts w:ascii="Courier New" w:eastAsia="Times New Roman" w:hAnsi="Courier New"/>
      <w:b/>
      <w:sz w:val="22"/>
      <w:szCs w:val="24"/>
    </w:rPr>
  </w:style>
  <w:style w:type="character" w:customStyle="1" w:styleId="SQLTabellennamenZchn">
    <w:name w:val="SQLTabellennamen Zchn"/>
    <w:link w:val="SQLTabellennamen"/>
    <w:rsid w:val="00AD5CEF"/>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unhideWhenUsed/>
    <w:rsid w:val="00AD5CEF"/>
    <w:rPr>
      <w:color w:val="467886" w:themeColor="hyperlink"/>
      <w:u w:val="single"/>
    </w:rPr>
  </w:style>
  <w:style w:type="character" w:styleId="NichtaufgelsteErwhnung">
    <w:name w:val="Unresolved Mention"/>
    <w:basedOn w:val="Absatz-Standardschriftart"/>
    <w:uiPriority w:val="99"/>
    <w:semiHidden/>
    <w:unhideWhenUsed/>
    <w:rsid w:val="00AD5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98698328">
      <w:bodyDiv w:val="1"/>
      <w:marLeft w:val="0"/>
      <w:marRight w:val="0"/>
      <w:marTop w:val="0"/>
      <w:marBottom w:val="0"/>
      <w:divBdr>
        <w:top w:val="none" w:sz="0" w:space="0" w:color="auto"/>
        <w:left w:val="none" w:sz="0" w:space="0" w:color="auto"/>
        <w:bottom w:val="none" w:sz="0" w:space="0" w:color="auto"/>
        <w:right w:val="none" w:sz="0" w:space="0" w:color="auto"/>
      </w:divBdr>
      <w:divsChild>
        <w:div w:id="1576932719">
          <w:marLeft w:val="0"/>
          <w:marRight w:val="0"/>
          <w:marTop w:val="0"/>
          <w:marBottom w:val="0"/>
          <w:divBdr>
            <w:top w:val="none" w:sz="0" w:space="0" w:color="auto"/>
            <w:left w:val="none" w:sz="0" w:space="0" w:color="auto"/>
            <w:bottom w:val="none" w:sz="0" w:space="0" w:color="auto"/>
            <w:right w:val="none" w:sz="0" w:space="0" w:color="auto"/>
          </w:divBdr>
          <w:divsChild>
            <w:div w:id="1706441434">
              <w:marLeft w:val="0"/>
              <w:marRight w:val="0"/>
              <w:marTop w:val="0"/>
              <w:marBottom w:val="0"/>
              <w:divBdr>
                <w:top w:val="none" w:sz="0" w:space="0" w:color="auto"/>
                <w:left w:val="none" w:sz="0" w:space="0" w:color="auto"/>
                <w:bottom w:val="none" w:sz="0" w:space="0" w:color="auto"/>
                <w:right w:val="none" w:sz="0" w:space="0" w:color="auto"/>
              </w:divBdr>
            </w:div>
          </w:divsChild>
        </w:div>
        <w:div w:id="1161776934">
          <w:marLeft w:val="0"/>
          <w:marRight w:val="0"/>
          <w:marTop w:val="0"/>
          <w:marBottom w:val="0"/>
          <w:divBdr>
            <w:top w:val="none" w:sz="0" w:space="0" w:color="auto"/>
            <w:left w:val="none" w:sz="0" w:space="0" w:color="auto"/>
            <w:bottom w:val="none" w:sz="0" w:space="0" w:color="auto"/>
            <w:right w:val="none" w:sz="0" w:space="0" w:color="auto"/>
          </w:divBdr>
          <w:divsChild>
            <w:div w:id="170411235">
              <w:marLeft w:val="0"/>
              <w:marRight w:val="0"/>
              <w:marTop w:val="0"/>
              <w:marBottom w:val="0"/>
              <w:divBdr>
                <w:top w:val="none" w:sz="0" w:space="0" w:color="auto"/>
                <w:left w:val="none" w:sz="0" w:space="0" w:color="auto"/>
                <w:bottom w:val="none" w:sz="0" w:space="0" w:color="auto"/>
                <w:right w:val="none" w:sz="0" w:space="0" w:color="auto"/>
              </w:divBdr>
            </w:div>
          </w:divsChild>
        </w:div>
        <w:div w:id="429621239">
          <w:marLeft w:val="0"/>
          <w:marRight w:val="0"/>
          <w:marTop w:val="0"/>
          <w:marBottom w:val="0"/>
          <w:divBdr>
            <w:top w:val="none" w:sz="0" w:space="0" w:color="auto"/>
            <w:left w:val="none" w:sz="0" w:space="0" w:color="auto"/>
            <w:bottom w:val="none" w:sz="0" w:space="0" w:color="auto"/>
            <w:right w:val="none" w:sz="0" w:space="0" w:color="auto"/>
          </w:divBdr>
          <w:divsChild>
            <w:div w:id="13970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5139523">
      <w:bodyDiv w:val="1"/>
      <w:marLeft w:val="0"/>
      <w:marRight w:val="0"/>
      <w:marTop w:val="0"/>
      <w:marBottom w:val="0"/>
      <w:divBdr>
        <w:top w:val="none" w:sz="0" w:space="0" w:color="auto"/>
        <w:left w:val="none" w:sz="0" w:space="0" w:color="auto"/>
        <w:bottom w:val="none" w:sz="0" w:space="0" w:color="auto"/>
        <w:right w:val="none" w:sz="0" w:space="0" w:color="auto"/>
      </w:divBdr>
    </w:div>
    <w:div w:id="1218736060">
      <w:bodyDiv w:val="1"/>
      <w:marLeft w:val="0"/>
      <w:marRight w:val="0"/>
      <w:marTop w:val="0"/>
      <w:marBottom w:val="0"/>
      <w:divBdr>
        <w:top w:val="none" w:sz="0" w:space="0" w:color="auto"/>
        <w:left w:val="none" w:sz="0" w:space="0" w:color="auto"/>
        <w:bottom w:val="none" w:sz="0" w:space="0" w:color="auto"/>
        <w:right w:val="none" w:sz="0" w:space="0" w:color="auto"/>
      </w:divBdr>
    </w:div>
    <w:div w:id="1250820311">
      <w:bodyDiv w:val="1"/>
      <w:marLeft w:val="0"/>
      <w:marRight w:val="0"/>
      <w:marTop w:val="0"/>
      <w:marBottom w:val="0"/>
      <w:divBdr>
        <w:top w:val="none" w:sz="0" w:space="0" w:color="auto"/>
        <w:left w:val="none" w:sz="0" w:space="0" w:color="auto"/>
        <w:bottom w:val="none" w:sz="0" w:space="0" w:color="auto"/>
        <w:right w:val="none" w:sz="0" w:space="0" w:color="auto"/>
      </w:divBdr>
      <w:divsChild>
        <w:div w:id="1187869021">
          <w:marLeft w:val="0"/>
          <w:marRight w:val="0"/>
          <w:marTop w:val="0"/>
          <w:marBottom w:val="0"/>
          <w:divBdr>
            <w:top w:val="none" w:sz="0" w:space="0" w:color="auto"/>
            <w:left w:val="none" w:sz="0" w:space="0" w:color="auto"/>
            <w:bottom w:val="none" w:sz="0" w:space="0" w:color="auto"/>
            <w:right w:val="none" w:sz="0" w:space="0" w:color="auto"/>
          </w:divBdr>
          <w:divsChild>
            <w:div w:id="790321770">
              <w:marLeft w:val="0"/>
              <w:marRight w:val="0"/>
              <w:marTop w:val="0"/>
              <w:marBottom w:val="0"/>
              <w:divBdr>
                <w:top w:val="none" w:sz="0" w:space="0" w:color="auto"/>
                <w:left w:val="none" w:sz="0" w:space="0" w:color="auto"/>
                <w:bottom w:val="none" w:sz="0" w:space="0" w:color="auto"/>
                <w:right w:val="none" w:sz="0" w:space="0" w:color="auto"/>
              </w:divBdr>
            </w:div>
          </w:divsChild>
        </w:div>
        <w:div w:id="259410687">
          <w:marLeft w:val="0"/>
          <w:marRight w:val="0"/>
          <w:marTop w:val="0"/>
          <w:marBottom w:val="0"/>
          <w:divBdr>
            <w:top w:val="none" w:sz="0" w:space="0" w:color="auto"/>
            <w:left w:val="none" w:sz="0" w:space="0" w:color="auto"/>
            <w:bottom w:val="none" w:sz="0" w:space="0" w:color="auto"/>
            <w:right w:val="none" w:sz="0" w:space="0" w:color="auto"/>
          </w:divBdr>
          <w:divsChild>
            <w:div w:id="1108820316">
              <w:marLeft w:val="0"/>
              <w:marRight w:val="0"/>
              <w:marTop w:val="0"/>
              <w:marBottom w:val="0"/>
              <w:divBdr>
                <w:top w:val="none" w:sz="0" w:space="0" w:color="auto"/>
                <w:left w:val="none" w:sz="0" w:space="0" w:color="auto"/>
                <w:bottom w:val="none" w:sz="0" w:space="0" w:color="auto"/>
                <w:right w:val="none" w:sz="0" w:space="0" w:color="auto"/>
              </w:divBdr>
            </w:div>
          </w:divsChild>
        </w:div>
        <w:div w:id="925500713">
          <w:marLeft w:val="0"/>
          <w:marRight w:val="0"/>
          <w:marTop w:val="0"/>
          <w:marBottom w:val="0"/>
          <w:divBdr>
            <w:top w:val="none" w:sz="0" w:space="0" w:color="auto"/>
            <w:left w:val="none" w:sz="0" w:space="0" w:color="auto"/>
            <w:bottom w:val="none" w:sz="0" w:space="0" w:color="auto"/>
            <w:right w:val="none" w:sz="0" w:space="0" w:color="auto"/>
          </w:divBdr>
          <w:divsChild>
            <w:div w:id="8347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6539">
      <w:bodyDiv w:val="1"/>
      <w:marLeft w:val="0"/>
      <w:marRight w:val="0"/>
      <w:marTop w:val="0"/>
      <w:marBottom w:val="0"/>
      <w:divBdr>
        <w:top w:val="none" w:sz="0" w:space="0" w:color="auto"/>
        <w:left w:val="none" w:sz="0" w:space="0" w:color="auto"/>
        <w:bottom w:val="none" w:sz="0" w:space="0" w:color="auto"/>
        <w:right w:val="none" w:sz="0" w:space="0" w:color="auto"/>
      </w:divBdr>
    </w:div>
    <w:div w:id="201845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4</Pages>
  <Words>1706</Words>
  <Characters>10749</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2026-05-28T05:02:00Z</dcterms:created>
  <dcterms:modified xsi:type="dcterms:W3CDTF">2026-05-28T06:15:00Z</dcterms:modified>
</cp:coreProperties>
</file>