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54292" w14:textId="77777777" w:rsidR="006F604D" w:rsidRPr="006F604D" w:rsidRDefault="006F604D" w:rsidP="006F604D">
      <w:r w:rsidRPr="006F604D">
        <w:t>Die bisherigen Korrelationen zwischen Lehrkraftsicht und Teilnehmersicht sprechen aus meiner Sicht deutlich dafür, dass das verwendete semantische Vektorverfahren reale pädagogische Dynamiken erfasst und nicht lediglich mathematische Artefakte produziert. Besonders relevant erscheint mir dabei, dass sich die Validierung des FRZK nicht auf einzelne lineare Korrelationen reduziert, sondern auf mehreren strukturellen Ebenen gleichzeitig sichtbar wird. Die Daten zeigen sowohl globale semantische Resonanzkopplungen als auch dynamische Stabilisierungs- und Driftprozesse zwischen den Zustandsräumen von Lehrkraft und Teilnehmenden.</w:t>
      </w:r>
    </w:p>
    <w:p w14:paraId="4057A239" w14:textId="77777777" w:rsidR="006F604D" w:rsidRPr="006F604D" w:rsidRDefault="006F604D" w:rsidP="006F604D">
      <w:r w:rsidRPr="006F604D">
        <w:t xml:space="preserve">Ein zentraler Befund ist die hohe strukturelle Ähnlichkeit der semantischen 7D-Vektorräume zwischen </w:t>
      </w:r>
      <w:proofErr w:type="spellStart"/>
      <w:r w:rsidRPr="006F604D">
        <w:t>frzk_semantische_dichte_lehrer_gesamt</w:t>
      </w:r>
      <w:proofErr w:type="spellEnd"/>
      <w:r w:rsidRPr="006F604D">
        <w:t xml:space="preserve"> und frzk_semantische_dichte_teilnehmer_7d. Die berechneten </w:t>
      </w:r>
      <w:proofErr w:type="spellStart"/>
      <w:r w:rsidRPr="006F604D">
        <w:t>Kosinusähnlichkeiten</w:t>
      </w:r>
      <w:proofErr w:type="spellEnd"/>
      <w:r w:rsidRPr="006F604D">
        <w:t xml:space="preserve"> lagen mehrfach im Bereich von 0.93 bis über 0.95 und deuten damit auf eine außergewöhnlich starke semantische Zustandskopplung hin. Gerade vor dem Hintergrund, dass pädagogische Prozesse hochkomplexe, nichtlineare Systeme darstellen, erscheint diese strukturelle Übereinstimmung bemerkenswert. In klassischen sozialwissenschaftlichen Modellen gelten bereits Korrelationen um r = 0.5 als stark [1]. Die hier beobachteten globalen Vektorähnlichkeiten liegen deutlich darüber und sprechen dafür, dass sich die Teilnehmerzustände tatsächlich innerhalb desselben semantischen Resonanzraumes organisieren wie die Lehrkraftzustände.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254"/>
        <w:gridCol w:w="2930"/>
      </w:tblGrid>
      <w:tr w:rsidR="006F604D" w:rsidRPr="006F604D" w14:paraId="23E40683" w14:textId="77777777" w:rsidTr="006F604D">
        <w:trPr>
          <w:tblHeader/>
          <w:tblCellSpacing w:w="15" w:type="dxa"/>
        </w:trPr>
        <w:tc>
          <w:tcPr>
            <w:tcW w:w="0" w:type="auto"/>
            <w:vAlign w:val="center"/>
            <w:hideMark/>
          </w:tcPr>
          <w:p w14:paraId="7CF72D9C" w14:textId="77777777" w:rsidR="006F604D" w:rsidRPr="006F604D" w:rsidRDefault="006F604D" w:rsidP="006F604D">
            <w:pPr>
              <w:rPr>
                <w:b/>
              </w:rPr>
            </w:pPr>
            <w:r w:rsidRPr="006F604D">
              <w:rPr>
                <w:b/>
              </w:rPr>
              <w:t>Auswertungsbereich</w:t>
            </w:r>
          </w:p>
        </w:tc>
        <w:tc>
          <w:tcPr>
            <w:tcW w:w="0" w:type="auto"/>
            <w:vAlign w:val="center"/>
            <w:hideMark/>
          </w:tcPr>
          <w:p w14:paraId="319DAFC3" w14:textId="77777777" w:rsidR="006F604D" w:rsidRPr="006F604D" w:rsidRDefault="006F604D" w:rsidP="006F604D">
            <w:pPr>
              <w:rPr>
                <w:b/>
              </w:rPr>
            </w:pPr>
            <w:r w:rsidRPr="006F604D">
              <w:rPr>
                <w:b/>
              </w:rPr>
              <w:t>Beobachtung</w:t>
            </w:r>
          </w:p>
        </w:tc>
        <w:tc>
          <w:tcPr>
            <w:tcW w:w="0" w:type="auto"/>
            <w:vAlign w:val="center"/>
            <w:hideMark/>
          </w:tcPr>
          <w:p w14:paraId="096C8982" w14:textId="77777777" w:rsidR="006F604D" w:rsidRPr="006F604D" w:rsidRDefault="006F604D" w:rsidP="006F604D">
            <w:pPr>
              <w:rPr>
                <w:b/>
              </w:rPr>
            </w:pPr>
            <w:r w:rsidRPr="006F604D">
              <w:rPr>
                <w:b/>
              </w:rPr>
              <w:t>Interpretation</w:t>
            </w:r>
          </w:p>
        </w:tc>
      </w:tr>
      <w:tr w:rsidR="006F604D" w:rsidRPr="006F604D" w14:paraId="54AEDA45" w14:textId="77777777" w:rsidTr="006F604D">
        <w:trPr>
          <w:tblCellSpacing w:w="15" w:type="dxa"/>
        </w:trPr>
        <w:tc>
          <w:tcPr>
            <w:tcW w:w="0" w:type="auto"/>
            <w:vAlign w:val="center"/>
            <w:hideMark/>
          </w:tcPr>
          <w:p w14:paraId="7DDA9199" w14:textId="77777777" w:rsidR="006F604D" w:rsidRPr="006F604D" w:rsidRDefault="006F604D" w:rsidP="006F604D">
            <w:proofErr w:type="spellStart"/>
            <w:r w:rsidRPr="006F604D">
              <w:t>Kosinusähnlichkeit</w:t>
            </w:r>
            <w:proofErr w:type="spellEnd"/>
            <w:r w:rsidRPr="006F604D">
              <w:t xml:space="preserve"> Lehrkraft ↔ Teilnehmer</w:t>
            </w:r>
          </w:p>
        </w:tc>
        <w:tc>
          <w:tcPr>
            <w:tcW w:w="0" w:type="auto"/>
            <w:vAlign w:val="center"/>
            <w:hideMark/>
          </w:tcPr>
          <w:p w14:paraId="45109BC2" w14:textId="77777777" w:rsidR="006F604D" w:rsidRPr="006F604D" w:rsidRDefault="006F604D" w:rsidP="006F604D">
            <w:r w:rsidRPr="006F604D">
              <w:t>~0.93–0.95</w:t>
            </w:r>
          </w:p>
        </w:tc>
        <w:tc>
          <w:tcPr>
            <w:tcW w:w="0" w:type="auto"/>
            <w:vAlign w:val="center"/>
            <w:hideMark/>
          </w:tcPr>
          <w:p w14:paraId="29344103" w14:textId="77777777" w:rsidR="006F604D" w:rsidRPr="006F604D" w:rsidRDefault="006F604D" w:rsidP="006F604D">
            <w:r w:rsidRPr="006F604D">
              <w:t>sehr hohe strukturelle Resonanz</w:t>
            </w:r>
          </w:p>
        </w:tc>
      </w:tr>
      <w:tr w:rsidR="006F604D" w:rsidRPr="006F604D" w14:paraId="3EB037E2" w14:textId="77777777" w:rsidTr="006F604D">
        <w:trPr>
          <w:tblCellSpacing w:w="15" w:type="dxa"/>
        </w:trPr>
        <w:tc>
          <w:tcPr>
            <w:tcW w:w="0" w:type="auto"/>
            <w:vAlign w:val="center"/>
            <w:hideMark/>
          </w:tcPr>
          <w:p w14:paraId="52F85C29" w14:textId="77777777" w:rsidR="006F604D" w:rsidRPr="006F604D" w:rsidRDefault="006F604D" w:rsidP="006F604D">
            <w:r w:rsidRPr="006F604D">
              <w:t>Dominanzachsen</w:t>
            </w:r>
          </w:p>
        </w:tc>
        <w:tc>
          <w:tcPr>
            <w:tcW w:w="0" w:type="auto"/>
            <w:vAlign w:val="center"/>
            <w:hideMark/>
          </w:tcPr>
          <w:p w14:paraId="1CF47B98" w14:textId="77777777" w:rsidR="006F604D" w:rsidRPr="006F604D" w:rsidRDefault="006F604D" w:rsidP="006F604D">
            <w:r w:rsidRPr="006F604D">
              <w:t>häufig ähnliche Dominanzdimensionen</w:t>
            </w:r>
          </w:p>
        </w:tc>
        <w:tc>
          <w:tcPr>
            <w:tcW w:w="0" w:type="auto"/>
            <w:vAlign w:val="center"/>
            <w:hideMark/>
          </w:tcPr>
          <w:p w14:paraId="6A3642DE" w14:textId="77777777" w:rsidR="006F604D" w:rsidRPr="006F604D" w:rsidRDefault="006F604D" w:rsidP="006F604D">
            <w:r w:rsidRPr="006F604D">
              <w:t>gemeinsame semantische Organisationsräume</w:t>
            </w:r>
          </w:p>
        </w:tc>
      </w:tr>
      <w:tr w:rsidR="006F604D" w:rsidRPr="006F604D" w14:paraId="0753175D" w14:textId="77777777" w:rsidTr="006F604D">
        <w:trPr>
          <w:tblCellSpacing w:w="15" w:type="dxa"/>
        </w:trPr>
        <w:tc>
          <w:tcPr>
            <w:tcW w:w="0" w:type="auto"/>
            <w:vAlign w:val="center"/>
            <w:hideMark/>
          </w:tcPr>
          <w:p w14:paraId="095CAEE6" w14:textId="77777777" w:rsidR="006F604D" w:rsidRPr="006F604D" w:rsidRDefault="006F604D" w:rsidP="006F604D">
            <w:r w:rsidRPr="006F604D">
              <w:t>Regulation ↔ Stabilisierung</w:t>
            </w:r>
          </w:p>
        </w:tc>
        <w:tc>
          <w:tcPr>
            <w:tcW w:w="0" w:type="auto"/>
            <w:vAlign w:val="center"/>
            <w:hideMark/>
          </w:tcPr>
          <w:p w14:paraId="43AE6035" w14:textId="77777777" w:rsidR="006F604D" w:rsidRPr="006F604D" w:rsidRDefault="006F604D" w:rsidP="006F604D">
            <w:r w:rsidRPr="006F604D">
              <w:t>hohe Regulation reduziert Drift</w:t>
            </w:r>
          </w:p>
        </w:tc>
        <w:tc>
          <w:tcPr>
            <w:tcW w:w="0" w:type="auto"/>
            <w:vAlign w:val="center"/>
            <w:hideMark/>
          </w:tcPr>
          <w:p w14:paraId="13ADA301" w14:textId="77777777" w:rsidR="006F604D" w:rsidRPr="006F604D" w:rsidRDefault="006F604D" w:rsidP="006F604D">
            <w:r w:rsidRPr="006F604D">
              <w:t>regulatorische Kohärenz</w:t>
            </w:r>
          </w:p>
        </w:tc>
      </w:tr>
      <w:tr w:rsidR="006F604D" w:rsidRPr="006F604D" w14:paraId="75F4C053" w14:textId="77777777" w:rsidTr="006F604D">
        <w:trPr>
          <w:tblCellSpacing w:w="15" w:type="dxa"/>
        </w:trPr>
        <w:tc>
          <w:tcPr>
            <w:tcW w:w="0" w:type="auto"/>
            <w:vAlign w:val="center"/>
            <w:hideMark/>
          </w:tcPr>
          <w:p w14:paraId="19B3EE87" w14:textId="77777777" w:rsidR="006F604D" w:rsidRPr="006F604D" w:rsidRDefault="006F604D" w:rsidP="006F604D">
            <w:r w:rsidRPr="006F604D">
              <w:t>Varianz ↔ Drift</w:t>
            </w:r>
          </w:p>
        </w:tc>
        <w:tc>
          <w:tcPr>
            <w:tcW w:w="0" w:type="auto"/>
            <w:vAlign w:val="center"/>
            <w:hideMark/>
          </w:tcPr>
          <w:p w14:paraId="26D27D2C" w14:textId="77777777" w:rsidR="006F604D" w:rsidRPr="006F604D" w:rsidRDefault="006F604D" w:rsidP="006F604D">
            <w:r w:rsidRPr="006F604D">
              <w:t>hohe Varianz erzeugt Instabilität</w:t>
            </w:r>
          </w:p>
        </w:tc>
        <w:tc>
          <w:tcPr>
            <w:tcW w:w="0" w:type="auto"/>
            <w:vAlign w:val="center"/>
            <w:hideMark/>
          </w:tcPr>
          <w:p w14:paraId="7418C970" w14:textId="77777777" w:rsidR="006F604D" w:rsidRPr="006F604D" w:rsidRDefault="006F604D" w:rsidP="006F604D">
            <w:r w:rsidRPr="006F604D">
              <w:t>semantische Kipppunkte</w:t>
            </w:r>
          </w:p>
        </w:tc>
      </w:tr>
      <w:tr w:rsidR="006F604D" w:rsidRPr="006F604D" w14:paraId="3FADE659" w14:textId="77777777" w:rsidTr="006F604D">
        <w:trPr>
          <w:tblCellSpacing w:w="15" w:type="dxa"/>
        </w:trPr>
        <w:tc>
          <w:tcPr>
            <w:tcW w:w="0" w:type="auto"/>
            <w:vAlign w:val="center"/>
            <w:hideMark/>
          </w:tcPr>
          <w:p w14:paraId="49832D0F" w14:textId="77777777" w:rsidR="006F604D" w:rsidRPr="006F604D" w:rsidRDefault="006F604D" w:rsidP="006F604D">
            <w:r w:rsidRPr="006F604D">
              <w:t>semantische Breite ↔ Ambivalenz</w:t>
            </w:r>
          </w:p>
        </w:tc>
        <w:tc>
          <w:tcPr>
            <w:tcW w:w="0" w:type="auto"/>
            <w:vAlign w:val="center"/>
            <w:hideMark/>
          </w:tcPr>
          <w:p w14:paraId="48646A7F" w14:textId="77777777" w:rsidR="006F604D" w:rsidRPr="006F604D" w:rsidRDefault="006F604D" w:rsidP="006F604D">
            <w:r w:rsidRPr="006F604D">
              <w:t>breite Zustandsräume erzeugen hybride Emotionen</w:t>
            </w:r>
          </w:p>
        </w:tc>
        <w:tc>
          <w:tcPr>
            <w:tcW w:w="0" w:type="auto"/>
            <w:vAlign w:val="center"/>
            <w:hideMark/>
          </w:tcPr>
          <w:p w14:paraId="4F566001" w14:textId="77777777" w:rsidR="006F604D" w:rsidRPr="006F604D" w:rsidRDefault="006F604D" w:rsidP="006F604D">
            <w:r w:rsidRPr="006F604D">
              <w:t>nichtlineare Dynamik</w:t>
            </w:r>
          </w:p>
        </w:tc>
      </w:tr>
    </w:tbl>
    <w:p w14:paraId="0D6AB1F6" w14:textId="77777777" w:rsidR="006F604D" w:rsidRPr="006F604D" w:rsidRDefault="006F604D" w:rsidP="006F604D">
      <w:r w:rsidRPr="006F604D">
        <w:t>Besonders bedeutsam erscheint mir dabei, dass die Daten keine einfache lineare Spiegelung einzelner Dimensionen zeigen. Das FRZK geht gerade nicht davon aus, dass beispielsweise eine hohe kognitive Aktivität der Lehrkraft automatisch dieselbe kognitive Aktivität auf Teilnehmerseite erzeugt. Vielmehr zeigen die Analysen transformatorische Kopplungsprozesse, innerhalb derer bestimmte semantische Lehrkraftkonfigurationen emergente Teilnehmerzustände hervorbringen. Genau diese nichtlinearen Dynamiken erscheinen aus meiner Sicht als entscheidender Hinweis darauf, dass das Vektorverfahren reale semantische Zustandsprozesse modelliert.</w:t>
      </w:r>
    </w:p>
    <w:p w14:paraId="5139E4BC" w14:textId="77777777" w:rsidR="006F604D" w:rsidRPr="006F604D" w:rsidRDefault="006F604D" w:rsidP="006F604D">
      <w:r w:rsidRPr="006F604D">
        <w:t>Die stärksten linearen Einzelkorrelationen lagen im Bereich von r ≈ 0.15–0.20 bei gleichzeitig hoher statistischer Signifikanz (teilweise p &lt; 0.001). Rein oberflächlich betrachtet wirken diese Werte zunächst moderat. Innerhalb komplexer pädagogischer Systeme besitzen sie jedoch eine hohe Aussagekraft, da Unterrichtsdynamiken typischerweise nicht monokausal organisiert sind [2][3]. Gerade die Kombination aus moderaten linearen Einzelkorrelationen und gleichzeitig sehr hoher globaler Zustandsähnlichkeit spricht dafür, dass das FRZK keine triviale Redundanz modelliert, sondern komplexe semantische Resonanzstrukturen erfasst.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606"/>
        <w:gridCol w:w="1127"/>
        <w:gridCol w:w="2973"/>
      </w:tblGrid>
      <w:tr w:rsidR="006F604D" w:rsidRPr="006F604D" w14:paraId="3469015E" w14:textId="77777777" w:rsidTr="006F604D">
        <w:trPr>
          <w:tblHeader/>
          <w:tblCellSpacing w:w="15" w:type="dxa"/>
        </w:trPr>
        <w:tc>
          <w:tcPr>
            <w:tcW w:w="0" w:type="auto"/>
            <w:vAlign w:val="center"/>
            <w:hideMark/>
          </w:tcPr>
          <w:p w14:paraId="3508ED3E" w14:textId="77777777" w:rsidR="006F604D" w:rsidRPr="006F604D" w:rsidRDefault="006F604D" w:rsidP="006F604D">
            <w:pPr>
              <w:rPr>
                <w:b/>
              </w:rPr>
            </w:pPr>
            <w:r w:rsidRPr="006F604D">
              <w:rPr>
                <w:b/>
              </w:rPr>
              <w:lastRenderedPageBreak/>
              <w:t>Korrelation</w:t>
            </w:r>
          </w:p>
        </w:tc>
        <w:tc>
          <w:tcPr>
            <w:tcW w:w="0" w:type="auto"/>
            <w:vAlign w:val="center"/>
            <w:hideMark/>
          </w:tcPr>
          <w:p w14:paraId="32824169" w14:textId="77777777" w:rsidR="006F604D" w:rsidRPr="006F604D" w:rsidRDefault="006F604D" w:rsidP="006F604D">
            <w:pPr>
              <w:rPr>
                <w:b/>
              </w:rPr>
            </w:pPr>
            <w:r w:rsidRPr="006F604D">
              <w:rPr>
                <w:b/>
              </w:rPr>
              <w:t>r</w:t>
            </w:r>
          </w:p>
        </w:tc>
        <w:tc>
          <w:tcPr>
            <w:tcW w:w="0" w:type="auto"/>
            <w:vAlign w:val="center"/>
            <w:hideMark/>
          </w:tcPr>
          <w:p w14:paraId="4A142379" w14:textId="77777777" w:rsidR="006F604D" w:rsidRPr="006F604D" w:rsidRDefault="006F604D" w:rsidP="006F604D">
            <w:pPr>
              <w:rPr>
                <w:b/>
              </w:rPr>
            </w:pPr>
            <w:r w:rsidRPr="006F604D">
              <w:rPr>
                <w:b/>
              </w:rPr>
              <w:t>Signifikanz</w:t>
            </w:r>
          </w:p>
        </w:tc>
        <w:tc>
          <w:tcPr>
            <w:tcW w:w="0" w:type="auto"/>
            <w:vAlign w:val="center"/>
            <w:hideMark/>
          </w:tcPr>
          <w:p w14:paraId="01A1B9FE" w14:textId="77777777" w:rsidR="006F604D" w:rsidRPr="006F604D" w:rsidRDefault="006F604D" w:rsidP="006F604D">
            <w:pPr>
              <w:rPr>
                <w:b/>
              </w:rPr>
            </w:pPr>
            <w:r w:rsidRPr="006F604D">
              <w:rPr>
                <w:b/>
              </w:rPr>
              <w:t>Interpretation</w:t>
            </w:r>
          </w:p>
        </w:tc>
      </w:tr>
      <w:tr w:rsidR="006F604D" w:rsidRPr="006F604D" w14:paraId="54C62F2C" w14:textId="77777777" w:rsidTr="006F604D">
        <w:trPr>
          <w:tblCellSpacing w:w="15" w:type="dxa"/>
        </w:trPr>
        <w:tc>
          <w:tcPr>
            <w:tcW w:w="0" w:type="auto"/>
            <w:vAlign w:val="center"/>
            <w:hideMark/>
          </w:tcPr>
          <w:p w14:paraId="3B66408D" w14:textId="77777777" w:rsidR="006F604D" w:rsidRPr="006F604D" w:rsidRDefault="006F604D" w:rsidP="006F604D">
            <w:r w:rsidRPr="006F604D">
              <w:t>Methodenqualität ↔ Lehrkraft-Performanz</w:t>
            </w:r>
          </w:p>
        </w:tc>
        <w:tc>
          <w:tcPr>
            <w:tcW w:w="0" w:type="auto"/>
            <w:vAlign w:val="center"/>
            <w:hideMark/>
          </w:tcPr>
          <w:p w14:paraId="5CC7388D" w14:textId="77777777" w:rsidR="006F604D" w:rsidRPr="006F604D" w:rsidRDefault="006F604D" w:rsidP="006F604D">
            <w:r w:rsidRPr="006F604D">
              <w:t>~0.20</w:t>
            </w:r>
          </w:p>
        </w:tc>
        <w:tc>
          <w:tcPr>
            <w:tcW w:w="0" w:type="auto"/>
            <w:vAlign w:val="center"/>
            <w:hideMark/>
          </w:tcPr>
          <w:p w14:paraId="61D15AC7" w14:textId="77777777" w:rsidR="006F604D" w:rsidRPr="006F604D" w:rsidRDefault="006F604D" w:rsidP="006F604D">
            <w:r w:rsidRPr="006F604D">
              <w:t>p &lt; 0.001</w:t>
            </w:r>
          </w:p>
        </w:tc>
        <w:tc>
          <w:tcPr>
            <w:tcW w:w="0" w:type="auto"/>
            <w:vAlign w:val="center"/>
            <w:hideMark/>
          </w:tcPr>
          <w:p w14:paraId="3794712A" w14:textId="77777777" w:rsidR="006F604D" w:rsidRPr="006F604D" w:rsidRDefault="006F604D" w:rsidP="006F604D">
            <w:r w:rsidRPr="006F604D">
              <w:t>performative Resonanz</w:t>
            </w:r>
          </w:p>
        </w:tc>
      </w:tr>
      <w:tr w:rsidR="006F604D" w:rsidRPr="006F604D" w14:paraId="440C80CC" w14:textId="77777777" w:rsidTr="006F604D">
        <w:trPr>
          <w:tblCellSpacing w:w="15" w:type="dxa"/>
        </w:trPr>
        <w:tc>
          <w:tcPr>
            <w:tcW w:w="0" w:type="auto"/>
            <w:vAlign w:val="center"/>
            <w:hideMark/>
          </w:tcPr>
          <w:p w14:paraId="520C9FCC" w14:textId="77777777" w:rsidR="006F604D" w:rsidRPr="006F604D" w:rsidRDefault="006F604D" w:rsidP="006F604D">
            <w:r w:rsidRPr="006F604D">
              <w:t>Individualisierung ↔ semantische Dichte</w:t>
            </w:r>
          </w:p>
        </w:tc>
        <w:tc>
          <w:tcPr>
            <w:tcW w:w="0" w:type="auto"/>
            <w:vAlign w:val="center"/>
            <w:hideMark/>
          </w:tcPr>
          <w:p w14:paraId="495B35C4" w14:textId="77777777" w:rsidR="006F604D" w:rsidRPr="006F604D" w:rsidRDefault="006F604D" w:rsidP="006F604D">
            <w:r w:rsidRPr="006F604D">
              <w:t>~0.18</w:t>
            </w:r>
          </w:p>
        </w:tc>
        <w:tc>
          <w:tcPr>
            <w:tcW w:w="0" w:type="auto"/>
            <w:vAlign w:val="center"/>
            <w:hideMark/>
          </w:tcPr>
          <w:p w14:paraId="4B2A862E" w14:textId="77777777" w:rsidR="006F604D" w:rsidRPr="006F604D" w:rsidRDefault="006F604D" w:rsidP="006F604D">
            <w:r w:rsidRPr="006F604D">
              <w:t>p &lt; 0.01</w:t>
            </w:r>
          </w:p>
        </w:tc>
        <w:tc>
          <w:tcPr>
            <w:tcW w:w="0" w:type="auto"/>
            <w:vAlign w:val="center"/>
            <w:hideMark/>
          </w:tcPr>
          <w:p w14:paraId="396A74B8" w14:textId="77777777" w:rsidR="006F604D" w:rsidRPr="006F604D" w:rsidRDefault="006F604D" w:rsidP="006F604D">
            <w:r w:rsidRPr="006F604D">
              <w:t>semantische Passung</w:t>
            </w:r>
          </w:p>
        </w:tc>
      </w:tr>
      <w:tr w:rsidR="006F604D" w:rsidRPr="006F604D" w14:paraId="688102D9" w14:textId="77777777" w:rsidTr="006F604D">
        <w:trPr>
          <w:tblCellSpacing w:w="15" w:type="dxa"/>
        </w:trPr>
        <w:tc>
          <w:tcPr>
            <w:tcW w:w="0" w:type="auto"/>
            <w:vAlign w:val="center"/>
            <w:hideMark/>
          </w:tcPr>
          <w:p w14:paraId="2EB5F6AA" w14:textId="77777777" w:rsidR="006F604D" w:rsidRPr="006F604D" w:rsidRDefault="006F604D" w:rsidP="006F604D">
            <w:r w:rsidRPr="006F604D">
              <w:t>Regulation ↔ emotionale Stabilisierung</w:t>
            </w:r>
          </w:p>
        </w:tc>
        <w:tc>
          <w:tcPr>
            <w:tcW w:w="0" w:type="auto"/>
            <w:vAlign w:val="center"/>
            <w:hideMark/>
          </w:tcPr>
          <w:p w14:paraId="15C4A875" w14:textId="77777777" w:rsidR="006F604D" w:rsidRPr="006F604D" w:rsidRDefault="006F604D" w:rsidP="006F604D">
            <w:r w:rsidRPr="006F604D">
              <w:t>~0.17</w:t>
            </w:r>
          </w:p>
        </w:tc>
        <w:tc>
          <w:tcPr>
            <w:tcW w:w="0" w:type="auto"/>
            <w:vAlign w:val="center"/>
            <w:hideMark/>
          </w:tcPr>
          <w:p w14:paraId="347F5C08" w14:textId="77777777" w:rsidR="006F604D" w:rsidRPr="006F604D" w:rsidRDefault="006F604D" w:rsidP="006F604D">
            <w:r w:rsidRPr="006F604D">
              <w:t>p &lt; 0.01</w:t>
            </w:r>
          </w:p>
        </w:tc>
        <w:tc>
          <w:tcPr>
            <w:tcW w:w="0" w:type="auto"/>
            <w:vAlign w:val="center"/>
            <w:hideMark/>
          </w:tcPr>
          <w:p w14:paraId="14FA7C58" w14:textId="77777777" w:rsidR="006F604D" w:rsidRPr="006F604D" w:rsidRDefault="006F604D" w:rsidP="006F604D">
            <w:r w:rsidRPr="006F604D">
              <w:t>Spannungsreduktion</w:t>
            </w:r>
          </w:p>
        </w:tc>
      </w:tr>
      <w:tr w:rsidR="006F604D" w:rsidRPr="006F604D" w14:paraId="3D830A50" w14:textId="77777777" w:rsidTr="006F604D">
        <w:trPr>
          <w:tblCellSpacing w:w="15" w:type="dxa"/>
        </w:trPr>
        <w:tc>
          <w:tcPr>
            <w:tcW w:w="0" w:type="auto"/>
            <w:vAlign w:val="center"/>
            <w:hideMark/>
          </w:tcPr>
          <w:p w14:paraId="38573897" w14:textId="77777777" w:rsidR="006F604D" w:rsidRPr="006F604D" w:rsidRDefault="006F604D" w:rsidP="006F604D">
            <w:r w:rsidRPr="006F604D">
              <w:t>Varianz ↔ emotionale Ambivalenz</w:t>
            </w:r>
          </w:p>
        </w:tc>
        <w:tc>
          <w:tcPr>
            <w:tcW w:w="0" w:type="auto"/>
            <w:vAlign w:val="center"/>
            <w:hideMark/>
          </w:tcPr>
          <w:p w14:paraId="0522D911" w14:textId="77777777" w:rsidR="006F604D" w:rsidRPr="006F604D" w:rsidRDefault="006F604D" w:rsidP="006F604D">
            <w:r w:rsidRPr="006F604D">
              <w:t>~0.19</w:t>
            </w:r>
          </w:p>
        </w:tc>
        <w:tc>
          <w:tcPr>
            <w:tcW w:w="0" w:type="auto"/>
            <w:vAlign w:val="center"/>
            <w:hideMark/>
          </w:tcPr>
          <w:p w14:paraId="24EE1D58" w14:textId="77777777" w:rsidR="006F604D" w:rsidRPr="006F604D" w:rsidRDefault="006F604D" w:rsidP="006F604D">
            <w:r w:rsidRPr="006F604D">
              <w:t>p &lt; 0.01</w:t>
            </w:r>
          </w:p>
        </w:tc>
        <w:tc>
          <w:tcPr>
            <w:tcW w:w="0" w:type="auto"/>
            <w:vAlign w:val="center"/>
            <w:hideMark/>
          </w:tcPr>
          <w:p w14:paraId="5DE88D56" w14:textId="77777777" w:rsidR="006F604D" w:rsidRPr="006F604D" w:rsidRDefault="006F604D" w:rsidP="006F604D">
            <w:r w:rsidRPr="006F604D">
              <w:t>Übergangs- und Driftprozesse</w:t>
            </w:r>
          </w:p>
        </w:tc>
      </w:tr>
      <w:tr w:rsidR="006F604D" w:rsidRPr="006F604D" w14:paraId="6F71C32F" w14:textId="77777777" w:rsidTr="006F604D">
        <w:trPr>
          <w:tblCellSpacing w:w="15" w:type="dxa"/>
        </w:trPr>
        <w:tc>
          <w:tcPr>
            <w:tcW w:w="0" w:type="auto"/>
            <w:vAlign w:val="center"/>
            <w:hideMark/>
          </w:tcPr>
          <w:p w14:paraId="672F7261" w14:textId="77777777" w:rsidR="006F604D" w:rsidRPr="006F604D" w:rsidRDefault="006F604D" w:rsidP="006F604D">
            <w:r w:rsidRPr="006F604D">
              <w:t>Kognition ↔ epistemische Emotionen</w:t>
            </w:r>
          </w:p>
        </w:tc>
        <w:tc>
          <w:tcPr>
            <w:tcW w:w="0" w:type="auto"/>
            <w:vAlign w:val="center"/>
            <w:hideMark/>
          </w:tcPr>
          <w:p w14:paraId="2243F2D8" w14:textId="77777777" w:rsidR="006F604D" w:rsidRPr="006F604D" w:rsidRDefault="006F604D" w:rsidP="006F604D">
            <w:r w:rsidRPr="006F604D">
              <w:t>~0.15</w:t>
            </w:r>
          </w:p>
        </w:tc>
        <w:tc>
          <w:tcPr>
            <w:tcW w:w="0" w:type="auto"/>
            <w:vAlign w:val="center"/>
            <w:hideMark/>
          </w:tcPr>
          <w:p w14:paraId="23C808C2" w14:textId="77777777" w:rsidR="006F604D" w:rsidRPr="006F604D" w:rsidRDefault="006F604D" w:rsidP="006F604D">
            <w:r w:rsidRPr="006F604D">
              <w:t>p &lt; 0.05</w:t>
            </w:r>
          </w:p>
        </w:tc>
        <w:tc>
          <w:tcPr>
            <w:tcW w:w="0" w:type="auto"/>
            <w:vAlign w:val="center"/>
            <w:hideMark/>
          </w:tcPr>
          <w:p w14:paraId="4C04CE79" w14:textId="77777777" w:rsidR="006F604D" w:rsidRPr="006F604D" w:rsidRDefault="006F604D" w:rsidP="006F604D">
            <w:r w:rsidRPr="006F604D">
              <w:t>epistemische Aktivierung</w:t>
            </w:r>
          </w:p>
        </w:tc>
      </w:tr>
    </w:tbl>
    <w:p w14:paraId="7A59C9FF" w14:textId="77777777" w:rsidR="006F604D" w:rsidRPr="006F604D" w:rsidRDefault="006F604D" w:rsidP="006F604D">
      <w:r w:rsidRPr="006F604D">
        <w:t xml:space="preserve">Gerade die Drift- und Varianzkorrelationen erscheinen mir theoretisch besonders wichtig. Hohe semantische Breite sowie erhöhte Zustandsvarianz korrelieren auffällig mit emotionalen </w:t>
      </w:r>
      <w:proofErr w:type="spellStart"/>
      <w:r w:rsidRPr="006F604D">
        <w:t>Ambivalenzzuständen</w:t>
      </w:r>
      <w:proofErr w:type="spellEnd"/>
      <w:r w:rsidRPr="006F604D">
        <w:t>, hybriden Emotionsclustern und instabilen Teilnehmerkonfigurationen. Diese Muster passen sehr präzise zu den theoretischen Grundannahmen des FRZK über Attraktoren, Kipppunkte und semantische Übergangsprozesse. Ein rein zufälliges oder künstlich erzeugtes Vektorverfahren würde typischerweise keine konsistenten Kopplungen zwischen semantischer Varianz, emotionaler Instabilität und gruppendynamischer Drift erzeugen.</w:t>
      </w:r>
    </w:p>
    <w:p w14:paraId="61A73971" w14:textId="77777777" w:rsidR="006F604D" w:rsidRPr="006F604D" w:rsidRDefault="006F604D" w:rsidP="006F604D">
      <w:r w:rsidRPr="006F604D">
        <w:t>Methodisch besonders relevant erscheint mir zudem die regulatorische Dimension. Hohe regulatorische Lehrkraftzustände korrelieren häufig mit emotionaler Stabilisierung, reduzierter Drift und erhöhter Kohärenz auf Teilnehmerseite. Daraus ergibt sich erstmals die Möglichkeit, regulatorische Unterrichtsstrukturen nicht nur qualitativ zu beschreiben, sondern als messbare Stabilisierungskräfte innerhalb semantischer Zustandsräume zu analysieren. Gerade für die Bildungsforschung könnte dies langfristig bedeutsam werden, da klassische Unterrichtsmodelle regulatorische Dynamiken häufig nur indirekt erfassen [4][5].</w:t>
      </w:r>
    </w:p>
    <w:p w14:paraId="67537CFD" w14:textId="77777777" w:rsidR="006F604D" w:rsidRPr="006F604D" w:rsidRDefault="006F604D" w:rsidP="006F604D">
      <w:r w:rsidRPr="006F604D">
        <w:t>Insgesamt bestätigen die bisherigen Korrelationen daher aus meiner Sicht die strukturelle und dynamische Tragfähigkeit des FRZK-Vektorverfahrens. Die Ergebnisse beweisen zwar keine absolute Fehlerfreiheit oder vollständige Kausalität, sie sprechen jedoch deutlich dafür, dass das Modell reale semantische Resonanz- und Transformationsprozesse innerhalb pädagogischer Systeme sichtbar macht. Besonders die Kombination aus globaler Zustandsähnlichkeit, semantischen Driftmustern, Dominanzachsen, regulatorischen Stabilisierungseffekten sowie emotionalen Übergangsprozessen deutet darauf hin, dass das FRZK tatsächlich dynamische pädagogische Resonanzräume rekonstruiert und nicht lediglich statistische Artefakte erzeugt.</w:t>
      </w:r>
    </w:p>
    <w:p w14:paraId="08EEE70E" w14:textId="77777777" w:rsidR="006F604D" w:rsidRPr="006F604D" w:rsidRDefault="006F604D" w:rsidP="006F604D">
      <w:r w:rsidRPr="006F604D">
        <w:t>Literaturverzeichnis</w:t>
      </w:r>
    </w:p>
    <w:p w14:paraId="5022C233" w14:textId="77777777" w:rsidR="006F604D" w:rsidRPr="006F604D" w:rsidRDefault="006F604D" w:rsidP="006F604D">
      <w:r w:rsidRPr="006F604D">
        <w:t xml:space="preserve">[1] Cohen, Jacob: Statistical Power Analysis </w:t>
      </w:r>
      <w:proofErr w:type="spellStart"/>
      <w:r w:rsidRPr="006F604D">
        <w:t>for</w:t>
      </w:r>
      <w:proofErr w:type="spellEnd"/>
      <w:r w:rsidRPr="006F604D">
        <w:t xml:space="preserve"> </w:t>
      </w:r>
      <w:proofErr w:type="spellStart"/>
      <w:r w:rsidRPr="006F604D">
        <w:t>the</w:t>
      </w:r>
      <w:proofErr w:type="spellEnd"/>
      <w:r w:rsidRPr="006F604D">
        <w:t xml:space="preserve"> Behavioral Sciences. 2. Auflage. </w:t>
      </w:r>
      <w:proofErr w:type="spellStart"/>
      <w:r w:rsidRPr="006F604D">
        <w:t>Hillsdale</w:t>
      </w:r>
      <w:proofErr w:type="spellEnd"/>
      <w:r w:rsidRPr="006F604D">
        <w:t>: Lawrence Erlbaum Associates, 1988.</w:t>
      </w:r>
    </w:p>
    <w:p w14:paraId="60810E9E" w14:textId="77777777" w:rsidR="006F604D" w:rsidRPr="006F604D" w:rsidRDefault="006F604D" w:rsidP="006F604D">
      <w:r w:rsidRPr="006F604D">
        <w:t>[2] Rosa, Hartmut: Resonanz. Eine Soziologie der Weltbeziehung. Berlin: Suhrkamp, 2016.</w:t>
      </w:r>
    </w:p>
    <w:p w14:paraId="521AB969" w14:textId="77777777" w:rsidR="006F604D" w:rsidRPr="006F604D" w:rsidRDefault="006F604D" w:rsidP="006F604D">
      <w:r w:rsidRPr="006F604D">
        <w:t xml:space="preserve">[3] Hattie, John: Visible Learning. A Synthesis </w:t>
      </w:r>
      <w:proofErr w:type="spellStart"/>
      <w:r w:rsidRPr="006F604D">
        <w:t>of</w:t>
      </w:r>
      <w:proofErr w:type="spellEnd"/>
      <w:r w:rsidRPr="006F604D">
        <w:t xml:space="preserve"> Over 800 Meta-</w:t>
      </w:r>
      <w:proofErr w:type="spellStart"/>
      <w:r w:rsidRPr="006F604D">
        <w:t>Analyses</w:t>
      </w:r>
      <w:proofErr w:type="spellEnd"/>
      <w:r w:rsidRPr="006F604D">
        <w:t xml:space="preserve"> </w:t>
      </w:r>
      <w:proofErr w:type="spellStart"/>
      <w:r w:rsidRPr="006F604D">
        <w:t>Relating</w:t>
      </w:r>
      <w:proofErr w:type="spellEnd"/>
      <w:r w:rsidRPr="006F604D">
        <w:t xml:space="preserve"> </w:t>
      </w:r>
      <w:proofErr w:type="spellStart"/>
      <w:r w:rsidRPr="006F604D">
        <w:t>to</w:t>
      </w:r>
      <w:proofErr w:type="spellEnd"/>
      <w:r w:rsidRPr="006F604D">
        <w:t xml:space="preserve"> Achievement. London: Routledge, 2009.</w:t>
      </w:r>
    </w:p>
    <w:p w14:paraId="6647CE34" w14:textId="77777777" w:rsidR="006F604D" w:rsidRPr="006F604D" w:rsidRDefault="006F604D" w:rsidP="006F604D">
      <w:r w:rsidRPr="006F604D">
        <w:t xml:space="preserve">[4] Pekrun, Reinhard: Emotion and Achievement </w:t>
      </w:r>
      <w:proofErr w:type="spellStart"/>
      <w:r w:rsidRPr="006F604D">
        <w:t>During</w:t>
      </w:r>
      <w:proofErr w:type="spellEnd"/>
      <w:r w:rsidRPr="006F604D">
        <w:t xml:space="preserve"> </w:t>
      </w:r>
      <w:proofErr w:type="spellStart"/>
      <w:r w:rsidRPr="006F604D">
        <w:t>Adolescence</w:t>
      </w:r>
      <w:proofErr w:type="spellEnd"/>
      <w:r w:rsidRPr="006F604D">
        <w:t xml:space="preserve">. Child Development </w:t>
      </w:r>
      <w:proofErr w:type="spellStart"/>
      <w:r w:rsidRPr="006F604D">
        <w:t>Perspectives</w:t>
      </w:r>
      <w:proofErr w:type="spellEnd"/>
      <w:r w:rsidRPr="006F604D">
        <w:t>, 2017.</w:t>
      </w:r>
    </w:p>
    <w:p w14:paraId="6BBE91A8" w14:textId="77777777" w:rsidR="006F604D" w:rsidRPr="006F604D" w:rsidRDefault="006F604D" w:rsidP="006F604D">
      <w:r w:rsidRPr="006F604D">
        <w:lastRenderedPageBreak/>
        <w:t>[5] Zimmerman, Barry J.: Self-</w:t>
      </w:r>
      <w:proofErr w:type="spellStart"/>
      <w:r w:rsidRPr="006F604D">
        <w:t>Regulated</w:t>
      </w:r>
      <w:proofErr w:type="spellEnd"/>
      <w:r w:rsidRPr="006F604D">
        <w:t xml:space="preserve"> Learning and Academic Achievement. New York: Springer, 1989.</w:t>
      </w:r>
    </w:p>
    <w:p w14:paraId="08E6C209" w14:textId="77777777" w:rsidR="006F604D" w:rsidRPr="006F604D" w:rsidRDefault="006F604D" w:rsidP="006F604D">
      <w:r w:rsidRPr="006F604D">
        <w:t xml:space="preserve">[6] </w:t>
      </w:r>
      <w:proofErr w:type="spellStart"/>
      <w:r w:rsidRPr="006F604D">
        <w:t>Tyng</w:t>
      </w:r>
      <w:proofErr w:type="spellEnd"/>
      <w:r w:rsidRPr="006F604D">
        <w:t xml:space="preserve">, C. M. et al.: The </w:t>
      </w:r>
      <w:proofErr w:type="spellStart"/>
      <w:r w:rsidRPr="006F604D">
        <w:t>Influences</w:t>
      </w:r>
      <w:proofErr w:type="spellEnd"/>
      <w:r w:rsidRPr="006F604D">
        <w:t xml:space="preserve"> </w:t>
      </w:r>
      <w:proofErr w:type="spellStart"/>
      <w:r w:rsidRPr="006F604D">
        <w:t>of</w:t>
      </w:r>
      <w:proofErr w:type="spellEnd"/>
      <w:r w:rsidRPr="006F604D">
        <w:t xml:space="preserve"> Emotion on Learning and Memory. Frontiers in </w:t>
      </w:r>
      <w:proofErr w:type="spellStart"/>
      <w:r w:rsidRPr="006F604D">
        <w:t>Psychology</w:t>
      </w:r>
      <w:proofErr w:type="spellEnd"/>
      <w:r w:rsidRPr="006F604D">
        <w:t>, 2017.</w:t>
      </w:r>
    </w:p>
    <w:p w14:paraId="17AE8B3E" w14:textId="77777777" w:rsidR="006F604D" w:rsidRPr="006F604D" w:rsidRDefault="006F604D" w:rsidP="006F604D">
      <w:r w:rsidRPr="006F604D">
        <w:t xml:space="preserve">[7] </w:t>
      </w:r>
      <w:proofErr w:type="spellStart"/>
      <w:r w:rsidRPr="006F604D">
        <w:t>Vakulenko</w:t>
      </w:r>
      <w:proofErr w:type="spellEnd"/>
      <w:r w:rsidRPr="006F604D">
        <w:t xml:space="preserve">, Svitlana et al.: </w:t>
      </w:r>
      <w:proofErr w:type="spellStart"/>
      <w:r w:rsidRPr="006F604D">
        <w:t>Measuring</w:t>
      </w:r>
      <w:proofErr w:type="spellEnd"/>
      <w:r w:rsidRPr="006F604D">
        <w:t xml:space="preserve"> </w:t>
      </w:r>
      <w:proofErr w:type="spellStart"/>
      <w:r w:rsidRPr="006F604D">
        <w:t>Semantic</w:t>
      </w:r>
      <w:proofErr w:type="spellEnd"/>
      <w:r w:rsidRPr="006F604D">
        <w:t xml:space="preserve"> </w:t>
      </w:r>
      <w:proofErr w:type="spellStart"/>
      <w:r w:rsidRPr="006F604D">
        <w:t>Coherence</w:t>
      </w:r>
      <w:proofErr w:type="spellEnd"/>
      <w:r w:rsidRPr="006F604D">
        <w:t xml:space="preserve"> </w:t>
      </w:r>
      <w:proofErr w:type="spellStart"/>
      <w:r w:rsidRPr="006F604D">
        <w:t>of</w:t>
      </w:r>
      <w:proofErr w:type="spellEnd"/>
      <w:r w:rsidRPr="006F604D">
        <w:t xml:space="preserve"> a </w:t>
      </w:r>
      <w:proofErr w:type="spellStart"/>
      <w:r w:rsidRPr="006F604D">
        <w:t>Conversation</w:t>
      </w:r>
      <w:proofErr w:type="spellEnd"/>
      <w:r w:rsidRPr="006F604D">
        <w:t xml:space="preserve">. </w:t>
      </w:r>
      <w:proofErr w:type="spellStart"/>
      <w:r w:rsidRPr="006F604D">
        <w:t>arXiv</w:t>
      </w:r>
      <w:proofErr w:type="spellEnd"/>
      <w:r w:rsidRPr="006F604D">
        <w:t>, 2018.</w:t>
      </w:r>
    </w:p>
    <w:p w14:paraId="1E20974D" w14:textId="77777777" w:rsidR="006F604D" w:rsidRPr="006F604D" w:rsidRDefault="006F604D" w:rsidP="006F604D">
      <w:r w:rsidRPr="006F604D">
        <w:t xml:space="preserve">[8] Lawrence, L. </w:t>
      </w:r>
      <w:proofErr w:type="spellStart"/>
      <w:r w:rsidRPr="006F604D">
        <w:t>Aoyama</w:t>
      </w:r>
      <w:proofErr w:type="spellEnd"/>
      <w:r w:rsidRPr="006F604D">
        <w:t xml:space="preserve">: </w:t>
      </w:r>
      <w:proofErr w:type="spellStart"/>
      <w:r w:rsidRPr="006F604D">
        <w:t>Being</w:t>
      </w:r>
      <w:proofErr w:type="spellEnd"/>
      <w:r w:rsidRPr="006F604D">
        <w:t xml:space="preserve"> in-</w:t>
      </w:r>
      <w:proofErr w:type="spellStart"/>
      <w:r w:rsidRPr="006F604D">
        <w:t>sync</w:t>
      </w:r>
      <w:proofErr w:type="spellEnd"/>
      <w:r w:rsidRPr="006F604D">
        <w:t xml:space="preserve">: A multimodal </w:t>
      </w:r>
      <w:proofErr w:type="spellStart"/>
      <w:r w:rsidRPr="006F604D">
        <w:t>framework</w:t>
      </w:r>
      <w:proofErr w:type="spellEnd"/>
      <w:r w:rsidRPr="006F604D">
        <w:t xml:space="preserve"> on </w:t>
      </w:r>
      <w:proofErr w:type="spellStart"/>
      <w:r w:rsidRPr="006F604D">
        <w:t>the</w:t>
      </w:r>
      <w:proofErr w:type="spellEnd"/>
      <w:r w:rsidRPr="006F604D">
        <w:t xml:space="preserve"> emotional, </w:t>
      </w:r>
      <w:proofErr w:type="spellStart"/>
      <w:r w:rsidRPr="006F604D">
        <w:t>cognitive</w:t>
      </w:r>
      <w:proofErr w:type="spellEnd"/>
      <w:r w:rsidRPr="006F604D">
        <w:t xml:space="preserve">, and behavioral </w:t>
      </w:r>
      <w:proofErr w:type="spellStart"/>
      <w:r w:rsidRPr="006F604D">
        <w:t>synchrony</w:t>
      </w:r>
      <w:proofErr w:type="spellEnd"/>
      <w:r w:rsidRPr="006F604D">
        <w:t xml:space="preserve"> </w:t>
      </w:r>
      <w:proofErr w:type="spellStart"/>
      <w:r w:rsidRPr="006F604D">
        <w:t>of</w:t>
      </w:r>
      <w:proofErr w:type="spellEnd"/>
      <w:r w:rsidRPr="006F604D">
        <w:t xml:space="preserve"> </w:t>
      </w:r>
      <w:proofErr w:type="spellStart"/>
      <w:r w:rsidRPr="006F604D">
        <w:t>collaborative</w:t>
      </w:r>
      <w:proofErr w:type="spellEnd"/>
      <w:r w:rsidRPr="006F604D">
        <w:t xml:space="preserve"> </w:t>
      </w:r>
      <w:proofErr w:type="spellStart"/>
      <w:r w:rsidRPr="006F604D">
        <w:t>learning</w:t>
      </w:r>
      <w:proofErr w:type="spellEnd"/>
      <w:r w:rsidRPr="006F604D">
        <w:t>. Frontiers in Education, 2022.</w:t>
      </w:r>
    </w:p>
    <w:p w14:paraId="6FE93A9C"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4D"/>
    <w:rsid w:val="00003048"/>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6F604D"/>
    <w:rsid w:val="00706409"/>
    <w:rsid w:val="007115B7"/>
    <w:rsid w:val="00795695"/>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5BBE"/>
  <w15:chartTrackingRefBased/>
  <w15:docId w15:val="{B8D1995B-337E-4740-9ACC-DB9E1A46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7115B7"/>
    <w:rPr>
      <w:rFonts w:ascii="Courier New" w:eastAsia="Times New Roman" w:hAnsi="Courier New"/>
      <w:b/>
      <w:szCs w:val="24"/>
    </w:rPr>
  </w:style>
  <w:style w:type="character" w:customStyle="1" w:styleId="SQLTabellennamenZchn">
    <w:name w:val="SQLTabellennamen Zchn"/>
    <w:link w:val="SQLTabellennamen"/>
    <w:rsid w:val="007115B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81904353">
      <w:bodyDiv w:val="1"/>
      <w:marLeft w:val="0"/>
      <w:marRight w:val="0"/>
      <w:marTop w:val="0"/>
      <w:marBottom w:val="0"/>
      <w:divBdr>
        <w:top w:val="none" w:sz="0" w:space="0" w:color="auto"/>
        <w:left w:val="none" w:sz="0" w:space="0" w:color="auto"/>
        <w:bottom w:val="none" w:sz="0" w:space="0" w:color="auto"/>
        <w:right w:val="none" w:sz="0" w:space="0" w:color="auto"/>
      </w:divBdr>
    </w:div>
    <w:div w:id="20309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3</Pages>
  <Words>897</Words>
  <Characters>5654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2026-05-28T04:26:00Z</dcterms:created>
  <dcterms:modified xsi:type="dcterms:W3CDTF">2026-05-28T04:27:00Z</dcterms:modified>
</cp:coreProperties>
</file>