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0F88D" w14:textId="77777777" w:rsidR="00DA3C0C" w:rsidRPr="00DA3C0C" w:rsidRDefault="00DA3C0C" w:rsidP="00DA3C0C">
      <w:bookmarkStart w:id="0" w:name="_Hlk230843248"/>
      <w:r w:rsidRPr="00DA3C0C">
        <w:t>Die methodische Grundlage der folgenden Korrelationsanalysen besteht in der Annahme, dass pädagogische Prozesse nicht ausschließlich über isolierte Einzelvariablen beschrieben werden können, sondern als dynamische Kopplungen semantischer Zustandsräume verstanden werden müssen. Aus diesem Grund basiert das Korrelationsverfahren nicht auf klassischen eindimensionalen Bewertungsmodellen, sondern auf der Gegenüberstellung vollständig semantisch projizierter 7D-Vektorräume zwischen Lehrkraftsicht und Teilnehmersicht. Ziel des Verfahrens ist es, strukturelle, dynamische und emotionale Resonanzmuster innerhalb pädagogischer Interaktionen sichtbar zu machen.</w:t>
      </w:r>
    </w:p>
    <w:p w14:paraId="2B0C1B28" w14:textId="77777777" w:rsidR="00DA3C0C" w:rsidRPr="00DA3C0C" w:rsidRDefault="00DA3C0C" w:rsidP="00DA3C0C">
      <w:r w:rsidRPr="00DA3C0C">
        <w:t xml:space="preserve">Die Datengrundlage bilden die Tabellen </w:t>
      </w:r>
      <w:proofErr w:type="spellStart"/>
      <w:r w:rsidRPr="00DA3C0C">
        <w:t>frzk_semantische_dichte_lehrer_gesamt</w:t>
      </w:r>
      <w:proofErr w:type="spellEnd"/>
      <w:r w:rsidRPr="00DA3C0C">
        <w:t xml:space="preserve">, frzk_semantische_dichte_teilnehmer_7d, </w:t>
      </w:r>
      <w:proofErr w:type="spellStart"/>
      <w:r w:rsidRPr="00DA3C0C">
        <w:t>analyze_lehrkraftdaten</w:t>
      </w:r>
      <w:proofErr w:type="spellEnd"/>
      <w:r w:rsidRPr="00DA3C0C">
        <w:t xml:space="preserve">, </w:t>
      </w:r>
      <w:proofErr w:type="spellStart"/>
      <w:r w:rsidRPr="00DA3C0C">
        <w:t>frzk_group_emotion</w:t>
      </w:r>
      <w:proofErr w:type="spellEnd"/>
      <w:r w:rsidRPr="00DA3C0C">
        <w:t xml:space="preserve"> sowie die kombinierte </w:t>
      </w:r>
      <w:proofErr w:type="spellStart"/>
      <w:r w:rsidRPr="00DA3C0C">
        <w:t>Matching</w:t>
      </w:r>
      <w:proofErr w:type="spellEnd"/>
      <w:r w:rsidRPr="00DA3C0C">
        <w:t xml:space="preserve">-View </w:t>
      </w:r>
      <w:proofErr w:type="spellStart"/>
      <w:r w:rsidRPr="00DA3C0C">
        <w:t>match_tn_daten_analyze_lehrkraft</w:t>
      </w:r>
      <w:proofErr w:type="spellEnd"/>
      <w:r w:rsidRPr="00DA3C0C">
        <w:t>. Die semantischen Zustände werden dabei über die sieben FRZK-Hauptdimensionen Kognition, Sozial, Affektiv, Motivation, Methodik, Performanz und Regulation beschrieben. Zusätzlich fließen emotionale Zustandsprojektionen aus _</w:t>
      </w:r>
      <w:proofErr w:type="spellStart"/>
      <w:r w:rsidRPr="00DA3C0C">
        <w:t>mtr_emotionen</w:t>
      </w:r>
      <w:proofErr w:type="spellEnd"/>
      <w:r w:rsidRPr="00DA3C0C">
        <w:t xml:space="preserve"> in die Analysen ein, wodurch neben semantischen Hauptachsen auch affektive, aktivierungsbezogene und epistemische Übergangsprozesse untersucht werden können.</w:t>
      </w:r>
    </w:p>
    <w:p w14:paraId="0A7A9085" w14:textId="22F47BA9" w:rsidR="00DA3C0C" w:rsidRPr="00DA3C0C" w:rsidRDefault="00DA3C0C" w:rsidP="00DA3C0C">
      <w:r w:rsidRPr="00DA3C0C">
        <w:t xml:space="preserve">Im Unterschied zu klassischen Korrelationsverfahren erfolgt die Analyse nicht ausschließlich über lineare Pearson-Korrelationen einzelner Variablen. Stattdessen kombiniere ich unterschiedliche Ebenen der Zustandskopplung miteinander. Dazu gehören lineare Korrelationen, rangbasierte Spearman-Korrelationen, globale </w:t>
      </w:r>
      <w:proofErr w:type="spellStart"/>
      <w:r w:rsidRPr="00DA3C0C">
        <w:t>Kosinusähnlichkeiten</w:t>
      </w:r>
      <w:proofErr w:type="spellEnd"/>
      <w:r w:rsidRPr="00DA3C0C">
        <w:t xml:space="preserve"> zwischen Vektorräumen, Dominanzachsenvergleiche, Drift- und Varianzanalysen sowie emotionale Clusterkopplungen. Dadurch soll verhindert werden, dass komplexe pädagogische Dynamiken auf rein additive Zusammenhänge reduziert werden </w:t>
      </w:r>
      <w:r>
        <w:t>[9][10]</w:t>
      </w:r>
      <w:r w:rsidRPr="00DA3C0C">
        <w:t>.</w:t>
      </w:r>
    </w:p>
    <w:p w14:paraId="1B0700A1" w14:textId="5491457E" w:rsidR="00DA3C0C" w:rsidRPr="00DA3C0C" w:rsidRDefault="00DA3C0C" w:rsidP="00DA3C0C">
      <w:r w:rsidRPr="00DA3C0C">
        <w:t xml:space="preserve">Die linearen Pearson-Korrelationen dienen vor allem der Untersuchung proportionaler Zusammenhänge zwischen einzelnen Zustandsdimensionen. Ergänzend dazu werden Spearman-Korrelationen verwendet, um monotone, aber nicht zwingend lineare Zusammenhänge sichtbar zu machen. Gerade im pädagogischen Kontext erscheinen diese Verfahren sinnvoll, da Unterrichtsprozesse typischerweise nicht streng linear organisiert sind </w:t>
      </w:r>
      <w:r>
        <w:t>[9]</w:t>
      </w:r>
      <w:r w:rsidRPr="00DA3C0C">
        <w:t xml:space="preserve">. Zusätzlich werden globale </w:t>
      </w:r>
      <w:proofErr w:type="spellStart"/>
      <w:r w:rsidRPr="00DA3C0C">
        <w:t>Kosinusähnlichkeiten</w:t>
      </w:r>
      <w:proofErr w:type="spellEnd"/>
      <w:r w:rsidRPr="00DA3C0C">
        <w:t xml:space="preserve"> zwischen den 7D-Vektoren berechnet, um die strukturelle Gesamtähnlichkeit semantischer Zustandsräume zu analysieren. Diese Vorgehensweise erlaubt eine deutlich robustere Bewertung semantischer Resonanz als isolierte Einzelkorrelationen </w:t>
      </w:r>
      <w:r>
        <w:t>[15]</w:t>
      </w:r>
      <w:r w:rsidRPr="00DA3C0C">
        <w:t>.</w:t>
      </w:r>
    </w:p>
    <w:p w14:paraId="76AFF0CF" w14:textId="1C2326F3" w:rsidR="00DA3C0C" w:rsidRPr="00DA3C0C" w:rsidRDefault="00DA3C0C" w:rsidP="00DA3C0C">
      <w:r w:rsidRPr="00DA3C0C">
        <w:t xml:space="preserve">Besonders relevant erscheint mir dabei die Kombination aus globaler Zustandsähnlichkeit und lokaler Dynamikanalyse. Während hohe </w:t>
      </w:r>
      <w:proofErr w:type="spellStart"/>
      <w:r w:rsidRPr="00DA3C0C">
        <w:t>Kosinusähnlichkeiten</w:t>
      </w:r>
      <w:proofErr w:type="spellEnd"/>
      <w:r w:rsidRPr="00DA3C0C">
        <w:t xml:space="preserve"> auf gemeinsame semantische Organisationsräume hinweisen, ermöglichen Drift- und Varianzanalysen die Untersuchung instabiler Übergangsphasen, Attraktoren und semantischer Kipppunkte. Hohe Varianzwerte innerhalb einzelner Dimensionen werden dabei als Hinweise auf erhöhte semantische Instabilität interpretiert, während kohärente Dominanzachsen eher auf stabile Resonanzräume hindeuten. Diese Dynamiken passen aus meiner Sicht präzise zu Resonanzmodellen komplexer pädagogischer Systeme </w:t>
      </w:r>
      <w:r>
        <w:t>[11][12]</w:t>
      </w:r>
      <w:r w:rsidRPr="00DA3C0C">
        <w:t>.</w:t>
      </w:r>
    </w:p>
    <w:p w14:paraId="56B62A9C" w14:textId="2BA62716" w:rsidR="00DA3C0C" w:rsidRPr="00DA3C0C" w:rsidRDefault="00DA3C0C" w:rsidP="00DA3C0C">
      <w:r w:rsidRPr="00DA3C0C">
        <w:t xml:space="preserve">Ein weiterer methodischer Schwerpunkt liegt auf der Analyse emotionaler Resonanzcluster. Die Emotionen werden nicht nur positiv oder negativ klassifiziert, sondern zusätzlich über Valenz- und Aktivierungsparameter operationalisiert. Dadurch können hybride emotionale Zustände sichtbar gemacht werden, die in klassischen Bewertungsmodellen häufig verloren gehen </w:t>
      </w:r>
      <w:r>
        <w:t>[13][14]</w:t>
      </w:r>
      <w:r w:rsidRPr="00DA3C0C">
        <w:t xml:space="preserve">. Gerade die Kombination widersprüchlicher Emotionen innerhalb einzelner Teilnehmerzustände erscheint mir für die Analyse nichtlinearer pädagogischer Dynamiken </w:t>
      </w:r>
      <w:r w:rsidRPr="00DA3C0C">
        <w:lastRenderedPageBreak/>
        <w:t>besonders bedeutsam. Die Daten zeigen mehrfach, dass emotionale Ambivalenz eng mit semantischer Breite, erhöhter Drift und instabilen Zustandsübergängen zusammenhängt.</w:t>
      </w:r>
    </w:p>
    <w:p w14:paraId="258D94CA" w14:textId="2646AFDB" w:rsidR="00DA3C0C" w:rsidRPr="00DA3C0C" w:rsidRDefault="00DA3C0C" w:rsidP="00DA3C0C">
      <w:r w:rsidRPr="00DA3C0C">
        <w:t xml:space="preserve">Methodisch entscheidend ist zudem, dass das Korrelationsverfahren nicht auf den Nachweis einfacher Kausalitäten abzielt. Ziel ist vielmehr die Rekonstruktion semantischer Kopplungsstrukturen zwischen Lehrkraft- und Teilnehmerraum. Das Verfahren untersucht daher primär Resonanz-, Stabilisierungs- und Transformationsprozesse innerhalb gemeinsamer semantischer Zustandsfelder. Dadurch verschiebt sich die Perspektive der Unterrichtsanalyse grundlegend: Nicht einzelne Unterrichtsmerkmale stehen im Mittelpunkt, sondern die dynamische Organisation pädagogischer Zustandsräume </w:t>
      </w:r>
      <w:r>
        <w:t>[11]</w:t>
      </w:r>
      <w:r w:rsidRPr="00DA3C0C">
        <w:t>.</w:t>
      </w:r>
    </w:p>
    <w:p w14:paraId="4391D55C" w14:textId="5335B737" w:rsidR="00DA3C0C" w:rsidRPr="00DA3C0C" w:rsidRDefault="00DA3C0C" w:rsidP="00DA3C0C">
      <w:r w:rsidRPr="00DA3C0C">
        <w:t xml:space="preserve">Die statistische Bewertung erfolgt über Signifikanztests der jeweiligen Korrelationsverfahren. Dabei werden insbesondere p-Werte kleiner als 0.05, 0.01 und 0.001 berücksichtigt </w:t>
      </w:r>
      <w:r>
        <w:t>[9][10]</w:t>
      </w:r>
      <w:r w:rsidRPr="00DA3C0C">
        <w:t>. Gleichzeitig erscheint mir jedoch die rein lineare Effektstärke allein nicht ausreichend, um komplexe semantische Dynamiken zu bewerten. Aus diesem Grund werden die statistischen Ergebnisse stets gemeinsam mit strukturellen Resonanzmustern, Dominanzachsen, Driftphasen und emotionalen Übergangskonfigurationen interpretiert. Gerade die Kombination dieser Ebenen ermöglicht aus meiner Sicht eine wesentlich realistischere Analyse pädagogischer Prozesse als klassische eindimensionale Korrelationsmodelle.</w:t>
      </w:r>
    </w:p>
    <w:p w14:paraId="4CB30B4E" w14:textId="77777777" w:rsidR="00DA3C0C" w:rsidRPr="00DA3C0C" w:rsidRDefault="00DA3C0C" w:rsidP="00DA3C0C">
      <w:r w:rsidRPr="00DA3C0C">
        <w:t>Insgesamt verfolgt das Korrelationsverfahren somit einen mehrschichtigen Ansatz, der lineare Statistik, semantische Zustandsräume, emotionale Dynamik und gruppendynamische Resonanzprozesse miteinander verbindet. Ziel ist es, die empirische Tragfähigkeit des FRZK-Modells nicht nur über einzelne Korrelationen, sondern über die Rekonstruktion vollständiger semantischer Resonanzräume zu überprüfen.</w:t>
      </w:r>
    </w:p>
    <w:p w14:paraId="0BC583DC" w14:textId="77777777" w:rsidR="00DA3C0C" w:rsidRPr="00DA3C0C" w:rsidRDefault="00DA3C0C" w:rsidP="00DA3C0C">
      <w:r w:rsidRPr="00DA3C0C">
        <w:t>Literaturverzeichnis</w:t>
      </w:r>
    </w:p>
    <w:p w14:paraId="33603E34" w14:textId="18ECBC35" w:rsidR="00DA3C0C" w:rsidRPr="00DA3C0C" w:rsidRDefault="00DA3C0C" w:rsidP="00DA3C0C">
      <w:r>
        <w:t>[9]</w:t>
      </w:r>
      <w:r w:rsidRPr="00DA3C0C">
        <w:t xml:space="preserve"> Cohen, Jacob: Statistical Power Analysis </w:t>
      </w:r>
      <w:proofErr w:type="spellStart"/>
      <w:r w:rsidRPr="00DA3C0C">
        <w:t>for</w:t>
      </w:r>
      <w:proofErr w:type="spellEnd"/>
      <w:r w:rsidRPr="00DA3C0C">
        <w:t xml:space="preserve"> </w:t>
      </w:r>
      <w:proofErr w:type="spellStart"/>
      <w:r w:rsidRPr="00DA3C0C">
        <w:t>the</w:t>
      </w:r>
      <w:proofErr w:type="spellEnd"/>
      <w:r w:rsidRPr="00DA3C0C">
        <w:t xml:space="preserve"> Behavioral Sciences. 2. Auflage. </w:t>
      </w:r>
      <w:proofErr w:type="spellStart"/>
      <w:r w:rsidRPr="00DA3C0C">
        <w:t>Hillsdale</w:t>
      </w:r>
      <w:proofErr w:type="spellEnd"/>
      <w:r w:rsidRPr="00DA3C0C">
        <w:t>: Lawrence Erlbaum Associates, 1988.</w:t>
      </w:r>
    </w:p>
    <w:p w14:paraId="0E3F1BF9" w14:textId="24408437" w:rsidR="00DA3C0C" w:rsidRPr="00DA3C0C" w:rsidRDefault="00DA3C0C" w:rsidP="00DA3C0C">
      <w:r>
        <w:t>[10]</w:t>
      </w:r>
      <w:r w:rsidRPr="00DA3C0C">
        <w:t xml:space="preserve"> Field, Andy: </w:t>
      </w:r>
      <w:proofErr w:type="spellStart"/>
      <w:r w:rsidRPr="00DA3C0C">
        <w:t>Discovering</w:t>
      </w:r>
      <w:proofErr w:type="spellEnd"/>
      <w:r w:rsidRPr="00DA3C0C">
        <w:t xml:space="preserve"> </w:t>
      </w:r>
      <w:proofErr w:type="spellStart"/>
      <w:r w:rsidRPr="00DA3C0C">
        <w:t>Statistics</w:t>
      </w:r>
      <w:proofErr w:type="spellEnd"/>
      <w:r w:rsidRPr="00DA3C0C">
        <w:t xml:space="preserve"> </w:t>
      </w:r>
      <w:proofErr w:type="spellStart"/>
      <w:r w:rsidRPr="00DA3C0C">
        <w:t>Using</w:t>
      </w:r>
      <w:proofErr w:type="spellEnd"/>
      <w:r w:rsidRPr="00DA3C0C">
        <w:t xml:space="preserve"> IBM SPSS </w:t>
      </w:r>
      <w:proofErr w:type="spellStart"/>
      <w:r w:rsidRPr="00DA3C0C">
        <w:t>Statistics</w:t>
      </w:r>
      <w:proofErr w:type="spellEnd"/>
      <w:r w:rsidRPr="00DA3C0C">
        <w:t>. London: Sage Publications, 2018.</w:t>
      </w:r>
    </w:p>
    <w:p w14:paraId="2620D316" w14:textId="1D13AB19" w:rsidR="00DA3C0C" w:rsidRPr="00DA3C0C" w:rsidRDefault="00DA3C0C" w:rsidP="00DA3C0C">
      <w:r>
        <w:t>[11]</w:t>
      </w:r>
      <w:r w:rsidRPr="00DA3C0C">
        <w:t xml:space="preserve"> Rosa, Hartmut: Resonanz. Eine Soziologie der Weltbeziehung. Berlin: Suhrkamp, 2016.</w:t>
      </w:r>
    </w:p>
    <w:p w14:paraId="544EAC3D" w14:textId="0D8E7A56" w:rsidR="00DA3C0C" w:rsidRPr="00DA3C0C" w:rsidRDefault="00DA3C0C" w:rsidP="00DA3C0C">
      <w:r>
        <w:t>[12]</w:t>
      </w:r>
      <w:r w:rsidRPr="00DA3C0C">
        <w:t xml:space="preserve"> Hattie, John: Visible Learning. A Synthesis </w:t>
      </w:r>
      <w:proofErr w:type="spellStart"/>
      <w:r w:rsidRPr="00DA3C0C">
        <w:t>of</w:t>
      </w:r>
      <w:proofErr w:type="spellEnd"/>
      <w:r w:rsidRPr="00DA3C0C">
        <w:t xml:space="preserve"> Over 800 Meta-</w:t>
      </w:r>
      <w:proofErr w:type="spellStart"/>
      <w:r w:rsidRPr="00DA3C0C">
        <w:t>Analyses</w:t>
      </w:r>
      <w:proofErr w:type="spellEnd"/>
      <w:r w:rsidRPr="00DA3C0C">
        <w:t xml:space="preserve"> </w:t>
      </w:r>
      <w:proofErr w:type="spellStart"/>
      <w:r w:rsidRPr="00DA3C0C">
        <w:t>Relating</w:t>
      </w:r>
      <w:proofErr w:type="spellEnd"/>
      <w:r w:rsidRPr="00DA3C0C">
        <w:t xml:space="preserve"> </w:t>
      </w:r>
      <w:proofErr w:type="spellStart"/>
      <w:r w:rsidRPr="00DA3C0C">
        <w:t>to</w:t>
      </w:r>
      <w:proofErr w:type="spellEnd"/>
      <w:r w:rsidRPr="00DA3C0C">
        <w:t xml:space="preserve"> Achievement. London: Routledge, 2009.</w:t>
      </w:r>
    </w:p>
    <w:p w14:paraId="6932714E" w14:textId="2C0E602D" w:rsidR="00DA3C0C" w:rsidRPr="00DA3C0C" w:rsidRDefault="00DA3C0C" w:rsidP="00DA3C0C">
      <w:r>
        <w:t>[13]</w:t>
      </w:r>
      <w:r w:rsidRPr="00DA3C0C">
        <w:t xml:space="preserve"> Pekrun, Reinhard: Emotion and Achievement </w:t>
      </w:r>
      <w:proofErr w:type="spellStart"/>
      <w:r w:rsidRPr="00DA3C0C">
        <w:t>During</w:t>
      </w:r>
      <w:proofErr w:type="spellEnd"/>
      <w:r w:rsidRPr="00DA3C0C">
        <w:t xml:space="preserve"> </w:t>
      </w:r>
      <w:proofErr w:type="spellStart"/>
      <w:r w:rsidRPr="00DA3C0C">
        <w:t>Adolescence</w:t>
      </w:r>
      <w:proofErr w:type="spellEnd"/>
      <w:r w:rsidRPr="00DA3C0C">
        <w:t xml:space="preserve">. Child Development </w:t>
      </w:r>
      <w:proofErr w:type="spellStart"/>
      <w:r w:rsidRPr="00DA3C0C">
        <w:t>Perspectives</w:t>
      </w:r>
      <w:proofErr w:type="spellEnd"/>
      <w:r w:rsidRPr="00DA3C0C">
        <w:t>, 2017.</w:t>
      </w:r>
    </w:p>
    <w:p w14:paraId="4F31B2AC" w14:textId="751BFE1F" w:rsidR="00DA3C0C" w:rsidRPr="00DA3C0C" w:rsidRDefault="00DA3C0C" w:rsidP="00DA3C0C">
      <w:r>
        <w:t>[14]</w:t>
      </w:r>
      <w:r w:rsidRPr="00DA3C0C">
        <w:t xml:space="preserve"> </w:t>
      </w:r>
      <w:proofErr w:type="spellStart"/>
      <w:r w:rsidRPr="00DA3C0C">
        <w:t>Tyng</w:t>
      </w:r>
      <w:proofErr w:type="spellEnd"/>
      <w:r w:rsidRPr="00DA3C0C">
        <w:t xml:space="preserve">, C. M. et al.: The </w:t>
      </w:r>
      <w:proofErr w:type="spellStart"/>
      <w:r w:rsidRPr="00DA3C0C">
        <w:t>Influences</w:t>
      </w:r>
      <w:proofErr w:type="spellEnd"/>
      <w:r w:rsidRPr="00DA3C0C">
        <w:t xml:space="preserve"> </w:t>
      </w:r>
      <w:proofErr w:type="spellStart"/>
      <w:r w:rsidRPr="00DA3C0C">
        <w:t>of</w:t>
      </w:r>
      <w:proofErr w:type="spellEnd"/>
      <w:r w:rsidRPr="00DA3C0C">
        <w:t xml:space="preserve"> Emotion on Learning and Memory. Frontiers in </w:t>
      </w:r>
      <w:proofErr w:type="spellStart"/>
      <w:r w:rsidRPr="00DA3C0C">
        <w:t>Psychology</w:t>
      </w:r>
      <w:proofErr w:type="spellEnd"/>
      <w:r w:rsidRPr="00DA3C0C">
        <w:t>, 2017.</w:t>
      </w:r>
    </w:p>
    <w:p w14:paraId="40A05B8F" w14:textId="5CE202E8" w:rsidR="00DA3C0C" w:rsidRPr="00DA3C0C" w:rsidRDefault="00DA3C0C" w:rsidP="00DA3C0C">
      <w:r>
        <w:t>[15]</w:t>
      </w:r>
      <w:r w:rsidRPr="00DA3C0C">
        <w:t xml:space="preserve"> </w:t>
      </w:r>
      <w:proofErr w:type="spellStart"/>
      <w:r w:rsidRPr="00DA3C0C">
        <w:t>Vakulenko</w:t>
      </w:r>
      <w:proofErr w:type="spellEnd"/>
      <w:r w:rsidRPr="00DA3C0C">
        <w:t xml:space="preserve">, Svitlana et al.: </w:t>
      </w:r>
      <w:proofErr w:type="spellStart"/>
      <w:r w:rsidRPr="00DA3C0C">
        <w:t>Measuring</w:t>
      </w:r>
      <w:proofErr w:type="spellEnd"/>
      <w:r w:rsidRPr="00DA3C0C">
        <w:t xml:space="preserve"> </w:t>
      </w:r>
      <w:proofErr w:type="spellStart"/>
      <w:r w:rsidRPr="00DA3C0C">
        <w:t>Semantic</w:t>
      </w:r>
      <w:proofErr w:type="spellEnd"/>
      <w:r w:rsidRPr="00DA3C0C">
        <w:t xml:space="preserve"> </w:t>
      </w:r>
      <w:proofErr w:type="spellStart"/>
      <w:r w:rsidRPr="00DA3C0C">
        <w:t>Coherence</w:t>
      </w:r>
      <w:proofErr w:type="spellEnd"/>
      <w:r w:rsidRPr="00DA3C0C">
        <w:t xml:space="preserve"> </w:t>
      </w:r>
      <w:proofErr w:type="spellStart"/>
      <w:r w:rsidRPr="00DA3C0C">
        <w:t>of</w:t>
      </w:r>
      <w:proofErr w:type="spellEnd"/>
      <w:r w:rsidRPr="00DA3C0C">
        <w:t xml:space="preserve"> a </w:t>
      </w:r>
      <w:proofErr w:type="spellStart"/>
      <w:r w:rsidRPr="00DA3C0C">
        <w:t>Conversation</w:t>
      </w:r>
      <w:proofErr w:type="spellEnd"/>
      <w:r w:rsidRPr="00DA3C0C">
        <w:t xml:space="preserve">. </w:t>
      </w:r>
      <w:proofErr w:type="spellStart"/>
      <w:r w:rsidRPr="00DA3C0C">
        <w:t>arXiv</w:t>
      </w:r>
      <w:proofErr w:type="spellEnd"/>
      <w:r w:rsidRPr="00DA3C0C">
        <w:t>, 2018.</w:t>
      </w:r>
    </w:p>
    <w:p w14:paraId="62E54614" w14:textId="4D450B02" w:rsidR="00DA3C0C" w:rsidRPr="00DA3C0C" w:rsidRDefault="00DA3C0C" w:rsidP="00DA3C0C">
      <w:r>
        <w:t>[16]</w:t>
      </w:r>
      <w:r w:rsidRPr="00DA3C0C">
        <w:t xml:space="preserve"> Zimmerman, Barry J.: Self-</w:t>
      </w:r>
      <w:proofErr w:type="spellStart"/>
      <w:r w:rsidRPr="00DA3C0C">
        <w:t>Regulated</w:t>
      </w:r>
      <w:proofErr w:type="spellEnd"/>
      <w:r w:rsidRPr="00DA3C0C">
        <w:t xml:space="preserve"> Learning and Academic Achievement. New York: Springer, 1989.</w:t>
      </w:r>
    </w:p>
    <w:bookmarkEnd w:id="0"/>
    <w:p w14:paraId="26872238" w14:textId="77777777" w:rsidR="00106528" w:rsidRPr="00DA3C0C" w:rsidRDefault="00106528" w:rsidP="00DA3C0C">
      <w:pPr>
        <w:rPr>
          <w:rStyle w:val="SQLTabellen"/>
          <w:rFonts w:ascii="Calibri" w:hAnsi="Calibri"/>
          <w:b w:val="0"/>
          <w:sz w:val="24"/>
        </w:rPr>
      </w:pPr>
    </w:p>
    <w:sectPr w:rsidR="00106528" w:rsidRPr="00DA3C0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2A"/>
    <w:rsid w:val="00003048"/>
    <w:rsid w:val="000467F2"/>
    <w:rsid w:val="00082214"/>
    <w:rsid w:val="000B0C44"/>
    <w:rsid w:val="00103784"/>
    <w:rsid w:val="00106528"/>
    <w:rsid w:val="001830F2"/>
    <w:rsid w:val="0019229D"/>
    <w:rsid w:val="002B03D4"/>
    <w:rsid w:val="002D20FA"/>
    <w:rsid w:val="002D4202"/>
    <w:rsid w:val="00324306"/>
    <w:rsid w:val="003E540A"/>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1252A"/>
    <w:rsid w:val="00D33BDA"/>
    <w:rsid w:val="00D44FE7"/>
    <w:rsid w:val="00D542C6"/>
    <w:rsid w:val="00D67542"/>
    <w:rsid w:val="00D80CC8"/>
    <w:rsid w:val="00DA3C0C"/>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B13C"/>
  <w15:chartTrackingRefBased/>
  <w15:docId w15:val="{D8E1F505-FE6F-47FF-AB4E-09817574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7115B7"/>
    <w:rPr>
      <w:rFonts w:ascii="Courier New" w:eastAsia="Times New Roman" w:hAnsi="Courier New"/>
      <w:b/>
      <w:szCs w:val="24"/>
    </w:rPr>
  </w:style>
  <w:style w:type="character" w:customStyle="1" w:styleId="SQLTabellennamenZchn">
    <w:name w:val="SQLTabellennamen Zchn"/>
    <w:link w:val="SQLTabellennamen"/>
    <w:rsid w:val="007115B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4909023">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5259706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72583098">
      <w:bodyDiv w:val="1"/>
      <w:marLeft w:val="0"/>
      <w:marRight w:val="0"/>
      <w:marTop w:val="0"/>
      <w:marBottom w:val="0"/>
      <w:divBdr>
        <w:top w:val="none" w:sz="0" w:space="0" w:color="auto"/>
        <w:left w:val="none" w:sz="0" w:space="0" w:color="auto"/>
        <w:bottom w:val="none" w:sz="0" w:space="0" w:color="auto"/>
        <w:right w:val="none" w:sz="0" w:space="0" w:color="auto"/>
      </w:divBdr>
    </w:div>
    <w:div w:id="171835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2</Pages>
  <Words>883</Words>
  <Characters>5569</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2026-05-28T04:37:00Z</dcterms:created>
  <dcterms:modified xsi:type="dcterms:W3CDTF">2026-05-28T07:18:00Z</dcterms:modified>
</cp:coreProperties>
</file>