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433BF7" w:rsidP="00433BF7">
      <w:pPr>
        <w:pStyle w:val="berschrift2"/>
      </w:pPr>
      <w:r w:rsidRPr="0094347E">
        <w:t>3.2 Mathematische Grundlagen</w:t>
      </w:r>
    </w:p>
    <w:p w:rsidR="00F32EA6" w:rsidRDefault="00F32EA6" w:rsidP="00F32EA6">
      <w:pPr>
        <w:pStyle w:val="berschrift3"/>
        <w:rPr>
          <w:rFonts w:cs="Times New Roman"/>
          <w:sz w:val="48"/>
          <w:szCs w:val="48"/>
        </w:rPr>
      </w:pPr>
      <w:r>
        <w:t>3.2.0 Einleitung</w:t>
      </w:r>
    </w:p>
    <w:p w:rsidR="00F32EA6" w:rsidRDefault="00F32EA6" w:rsidP="00F32EA6">
      <w:pPr>
        <w:pStyle w:val="StandardWeb"/>
      </w:pPr>
      <w:r>
        <w:t>Mit dem Abschluss von Kapitel 3.1 wurden die philosophischen, physikalischen, erkenntnistheoretischen und methodologischen Voraussetzungen des Funktionalen Raum-Zeit-Kohärenzsystems (FRZK) entwickelt. Die dort vorgenommene Grundlegung führte zu dem Ergebnis, dass mathematische Begriffe nicht unabhängig von ihren Definitionsbedingungen verwendet werden können. Insbesondere dürfen Raum, Zeit, Richtung, Abstand, Dauer und Gegenstandsidentität nicht bereits in den Ausgangsstrukturen enthalten sein, wenn ihre mögliche funktionale Entstehung später selbst rekonstruiert werden soll. Zugleich wurde die wissenschaftliche Zielsetzung festgelegt, ein minimales funktionales Grundsystem zu entwickeln, aus dem unterscheidbare Zustände, Relationen, Transformationen und kohärente Organisationsformen schrittweise hervorgehen können.</w:t>
      </w:r>
    </w:p>
    <w:p w:rsidR="00F32EA6" w:rsidRDefault="00F32EA6" w:rsidP="00F32EA6">
      <w:pPr>
        <w:pStyle w:val="StandardWeb"/>
      </w:pPr>
      <w:r>
        <w:t xml:space="preserve">Bevor ich in Kapitel 3.3 das dafür erforderliche </w:t>
      </w:r>
      <w:proofErr w:type="spellStart"/>
      <w:r>
        <w:t>Axiomensystem</w:t>
      </w:r>
      <w:proofErr w:type="spellEnd"/>
      <w:r>
        <w:t xml:space="preserve"> formuliere, muss zunächst untersucht werden, welche mathematischen Strukturen die etablierte Mathematik zur Verfügung stellt. Kapitel 3.2 bildet deshalb die Brücke zwischen der wissenschaftstheoretischen Grundlegung und der anschließenden axiomatischen Rekonstruktion. Es führt noch keine eigenständige FRZK-Mathematik ein. Stattdessen werden die vorhandenen mathematischen Begriffe, Operationen und Strukturklassen in ihrer anerkannten Form dargestellt, systematisch geordnet und hinsichtlich der Voraussetzungen untersucht, die mit ihrer Verwendung bereits verbunden sind.</w:t>
      </w:r>
    </w:p>
    <w:p w:rsidR="00F32EA6" w:rsidRDefault="00F32EA6" w:rsidP="00F32EA6">
      <w:pPr>
        <w:pStyle w:val="StandardWeb"/>
      </w:pPr>
      <w:r>
        <w:t>Die moderne Mathematik besteht nicht aus einer einzigen, in sich abgeschlossenen Theorie. Sie umfasst verschiedene Teilgebiete, die jeweils eigene Gegenstände, Methoden und formale Strukturen untersuchen. Dennoch bauen diese Gebiete aufeinander auf und verwenden gemeinsame Grundbegriffe. Mengen, Elemente, Relationen, Abbildungen, Verknüpfungen, Zahlen, Vektoren, Räume, Folgen, Grenzwerte und Operatoren bilden ein eng miteinander verbundenes mathematisches Begriffsgefüge. Die besondere Leistungsfähigkeit der Mathematik liegt dabei gerade darin, dass dieselben formalen Strukturen in sehr unterschiedlichen wissenschaftlichen Zusammenhängen verwendet werden können.</w:t>
      </w:r>
    </w:p>
    <w:p w:rsidR="00F32EA6" w:rsidRDefault="00F32EA6" w:rsidP="00F32EA6">
      <w:pPr>
        <w:pStyle w:val="StandardWeb"/>
      </w:pPr>
      <w:r>
        <w:t xml:space="preserve">Einen grundlegenden Zugang zu Mengen, Teilmengen, Relationen, Abbildungen, Ordnungen und Kardinalzahlen bietet Paul R. </w:t>
      </w:r>
      <w:proofErr w:type="spellStart"/>
      <w:r>
        <w:t>Halmos</w:t>
      </w:r>
      <w:proofErr w:type="spellEnd"/>
      <w:r>
        <w:t xml:space="preserve">: </w:t>
      </w:r>
      <w:r>
        <w:rPr>
          <w:rStyle w:val="Hervorhebung"/>
        </w:rPr>
        <w:t>Naive Set Theory</w:t>
      </w:r>
      <w:r>
        <w:t xml:space="preserve">, New York: Springer-Verlag, 1974. [71] </w:t>
      </w:r>
      <w:proofErr w:type="spellStart"/>
      <w:r>
        <w:t>Halmos</w:t>
      </w:r>
      <w:proofErr w:type="spellEnd"/>
      <w:r>
        <w:t xml:space="preserve"> entwickelt die Mengenlehre nicht als vollständige axiomatische Grundlagenforschung, sondern als systematischen Zugang zu denjenigen mengentheoretischen Begriffen, die in nahezu allen weiteren mathematischen Disziplinen verwendet werden. Die Mengenlehre stellt damit eine gemeinsame Sprache bereit, in der mathematische Objekte zusammengefasst, unterschieden und miteinander </w:t>
      </w:r>
      <w:proofErr w:type="spellStart"/>
      <w:r>
        <w:t>relationiert</w:t>
      </w:r>
      <w:proofErr w:type="spellEnd"/>
      <w:r>
        <w:t xml:space="preserve"> werden können.</w:t>
      </w:r>
    </w:p>
    <w:p w:rsidR="00F32EA6" w:rsidRDefault="00F32EA6" w:rsidP="00F32EA6">
      <w:pPr>
        <w:pStyle w:val="StandardWeb"/>
      </w:pPr>
      <w:r>
        <w:t>Gerade darin liegt jedoch eine für das FRZK entscheidende Voraussetzung. Eine Menge kann erst gebildet werden, wenn ihre Elemente zumindest hinsichtlich ihrer Zugehörigkeit unterschieden werden können. Auch die leere Menge ist nicht mit einem absoluten Nichts gleichzusetzen, sondern ein eindeutig bestimmtes mathematisches Objekt innerhalb einer bereits vorhandenen Theorie. Die Mengenlehre beginnt somit nicht vor jeder Unterscheidung, sondern setzt die Identifizierbarkeit und Vergleichbarkeit ihrer Elemente bereits voraus.</w:t>
      </w:r>
    </w:p>
    <w:p w:rsidR="00F32EA6" w:rsidRDefault="00F32EA6" w:rsidP="00F32EA6">
      <w:pPr>
        <w:pStyle w:val="StandardWeb"/>
      </w:pPr>
      <w:r>
        <w:t xml:space="preserve">Auf dieser mengentheoretischen Grundlage untersucht die Algebra allgemeine Verknüpfungs- und Operationsstrukturen. Eine umfassende Darstellung bietet Serge Lang: </w:t>
      </w:r>
      <w:r>
        <w:rPr>
          <w:rStyle w:val="Hervorhebung"/>
        </w:rPr>
        <w:t>Algebra</w:t>
      </w:r>
      <w:r>
        <w:t xml:space="preserve">, </w:t>
      </w:r>
      <w:proofErr w:type="spellStart"/>
      <w:r>
        <w:t>Revised</w:t>
      </w:r>
      <w:proofErr w:type="spellEnd"/>
      <w:r>
        <w:t xml:space="preserve"> </w:t>
      </w:r>
      <w:r>
        <w:lastRenderedPageBreak/>
        <w:t>Third Edition, New York: Springer-Verlag, 2002. [72] Lang behandelt unter anderem Gruppen, Ringe, Körper, Moduln, lineare Abbildungen und algebraische Erweiterungen. Dabei wird sichtbar, dass algebraische Strukturen nicht primär durch die konkrete Beschaffenheit ihrer Elemente bestimmt werden. Entscheidend sind vielmehr die auf ihnen definierten Operationen sowie die Gesetze, denen diese Operationen genügen.</w:t>
      </w:r>
    </w:p>
    <w:p w:rsidR="00F32EA6" w:rsidRDefault="00F32EA6" w:rsidP="00F32EA6">
      <w:pPr>
        <w:pStyle w:val="StandardWeb"/>
      </w:pPr>
      <w:r>
        <w:t>Die Algebra stellt für das FRZK deshalb einen wichtigen Bezugspunkt dar. Sie zeigt, wie aus wenigen Verknüpfungsregeln weitreichende Strukturen entstehen können. Zugleich setzt jede algebraische Struktur bereits eine Trägermenge und mindestens eine definierte Verknüpfung voraus. Eine Gruppe verlangt beispielsweise eine Menge, eine innere Verknüpfung, ein neutrales Element und inverse Elemente. Die Algebra analysiert die Eigenschaften dieser Struktur, erklärt aber nicht, wie die Trägermenge, die Unterscheidbarkeit ihrer Elemente und die Verknüpfungsoperation selbst aus einfacheren funktionalen Voraussetzungen hervorgehen.</w:t>
      </w:r>
    </w:p>
    <w:p w:rsidR="00F32EA6" w:rsidRDefault="00F32EA6" w:rsidP="00F32EA6">
      <w:pPr>
        <w:pStyle w:val="StandardWeb"/>
      </w:pPr>
      <w:r>
        <w:t xml:space="preserve">Die Analysis erweitert diese Strukturen um Begriffe der Konvergenz, Stetigkeit, Differenzierbarkeit und Integration. Eine klassische systematische Grundlage bietet Walter Rudin: </w:t>
      </w:r>
      <w:proofErr w:type="spellStart"/>
      <w:r>
        <w:rPr>
          <w:rStyle w:val="Hervorhebung"/>
        </w:rPr>
        <w:t>Principles</w:t>
      </w:r>
      <w:proofErr w:type="spellEnd"/>
      <w:r>
        <w:rPr>
          <w:rStyle w:val="Hervorhebung"/>
        </w:rPr>
        <w:t xml:space="preserve"> </w:t>
      </w:r>
      <w:proofErr w:type="spellStart"/>
      <w:r>
        <w:rPr>
          <w:rStyle w:val="Hervorhebung"/>
        </w:rPr>
        <w:t>of</w:t>
      </w:r>
      <w:proofErr w:type="spellEnd"/>
      <w:r>
        <w:rPr>
          <w:rStyle w:val="Hervorhebung"/>
        </w:rPr>
        <w:t xml:space="preserve"> </w:t>
      </w:r>
      <w:proofErr w:type="spellStart"/>
      <w:r>
        <w:rPr>
          <w:rStyle w:val="Hervorhebung"/>
        </w:rPr>
        <w:t>Mathematical</w:t>
      </w:r>
      <w:proofErr w:type="spellEnd"/>
      <w:r>
        <w:rPr>
          <w:rStyle w:val="Hervorhebung"/>
        </w:rPr>
        <w:t xml:space="preserve"> Analysis</w:t>
      </w:r>
      <w:r>
        <w:t>, Third Edition, New York: McGraw-Hill, 1976. [73] Rudin entwickelt die reelle und komplexe Analysis ausgehend von Zahlensystemen, Folgen, Reihen, topologischen Grundbegriffen und Funktionen. Veränderungen werden dabei nicht nur als Übergänge zwischen einzelnen Werten beschrieben, sondern über Grenzprozesse und lokale Eigenschaften mathematisch präzisiert.</w:t>
      </w:r>
    </w:p>
    <w:p w:rsidR="00F32EA6" w:rsidRDefault="00F32EA6" w:rsidP="00F32EA6">
      <w:pPr>
        <w:pStyle w:val="StandardWeb"/>
      </w:pPr>
      <w:r>
        <w:t>Für die spätere Entwicklung des FRZK besitzt die Analysis große Bedeutung, weil funktionale Zustandsänderungen, Trajektorien, Stabilitäten und Sensitivitäten ohne analytische Methoden nur eingeschränkt untersucht werden könnten. Die Analysis beginnt jedoch ebenfalls auf einer bereits strukturierten Grundlage. Sie setzt Zahlenräume, Ordnungsrelationen, Abstände oder topologische Eigenschaften voraus. Ein Grenzwert kann nur bestimmt werden, wenn bereits definiert ist, in welchem Raum sich eine Folge befindet und nach welchem Kriterium ihre Glieder einander beziehungsweise einem Grenzwert näherkommen.</w:t>
      </w:r>
    </w:p>
    <w:p w:rsidR="00F32EA6" w:rsidRDefault="00F32EA6" w:rsidP="00F32EA6">
      <w:pPr>
        <w:pStyle w:val="StandardWeb"/>
      </w:pPr>
      <w:r>
        <w:t xml:space="preserve">Die Topologie untersucht diejenigen Eigenschaften mathematischer Räume, die unter stetigen Verformungen erhalten bleiben. Eine grundlegende Darstellung bietet James R. </w:t>
      </w:r>
      <w:proofErr w:type="spellStart"/>
      <w:r>
        <w:t>Munkres</w:t>
      </w:r>
      <w:proofErr w:type="spellEnd"/>
      <w:r>
        <w:t xml:space="preserve">: </w:t>
      </w:r>
      <w:proofErr w:type="spellStart"/>
      <w:r>
        <w:rPr>
          <w:rStyle w:val="Hervorhebung"/>
        </w:rPr>
        <w:t>Topology</w:t>
      </w:r>
      <w:proofErr w:type="spellEnd"/>
      <w:r>
        <w:t xml:space="preserve">, Second Edition, Upper </w:t>
      </w:r>
      <w:proofErr w:type="spellStart"/>
      <w:r>
        <w:t>Saddle</w:t>
      </w:r>
      <w:proofErr w:type="spellEnd"/>
      <w:r>
        <w:t xml:space="preserve"> River, New Jersey: </w:t>
      </w:r>
      <w:proofErr w:type="spellStart"/>
      <w:r>
        <w:t>Prentice</w:t>
      </w:r>
      <w:proofErr w:type="spellEnd"/>
      <w:r>
        <w:t xml:space="preserve"> Hall, 2000. [74] </w:t>
      </w:r>
      <w:proofErr w:type="spellStart"/>
      <w:r>
        <w:t>Munkres</w:t>
      </w:r>
      <w:proofErr w:type="spellEnd"/>
      <w:r>
        <w:t xml:space="preserve"> entwickelt topologische Räume, Basen, Stetigkeit, Zusammenhang, Kompaktheit und Trennungsaxiome zunächst unabhängig von einer konkreten metrischen Geometrie. Damit wird eine Beschreibung von Nähe, Zusammenhang und Struktur möglich, ohne bereits feste Längen- oder Winkelmaße vorauszusetzen.</w:t>
      </w:r>
    </w:p>
    <w:p w:rsidR="00F32EA6" w:rsidRDefault="00F32EA6" w:rsidP="00F32EA6">
      <w:pPr>
        <w:pStyle w:val="StandardWeb"/>
      </w:pPr>
      <w:r>
        <w:t>Diese Abstraktion ist für das FRZK besonders relevant. Sie zeigt, dass räumliche Ordnung nicht zwingend mit einer euklidischen Geometrie oder einem vorgegebenen Koordinatensystem beginnen muss. Dennoch setzt ein topologischer Raum bereits eine Punktmenge und eine Familie ausgezeichneter Teilmengen voraus, welche die offenen Mengen des Raumes bilden. Die Topologie reduziert damit geometrische Voraussetzungen, hebt sie aber nicht vollständig auf. Sie beschreibt Strukturen auf bereits unterscheidbaren Elementen.</w:t>
      </w:r>
    </w:p>
    <w:p w:rsidR="00F32EA6" w:rsidRDefault="00F32EA6" w:rsidP="00F32EA6">
      <w:pPr>
        <w:pStyle w:val="StandardWeb"/>
      </w:pPr>
      <w:r>
        <w:t xml:space="preserve">Die lineare Algebra verbindet algebraische Verknüpfungen mit der Beschreibung von Richtungen, Dimensionen, Transformationen und </w:t>
      </w:r>
      <w:proofErr w:type="spellStart"/>
      <w:r>
        <w:t>Invarianzen</w:t>
      </w:r>
      <w:proofErr w:type="spellEnd"/>
      <w:r>
        <w:t xml:space="preserve">. Eine anwendungsorientierte und zugleich strukturelle Einführung bietet Gilbert Strang: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Linear Algebra</w:t>
      </w:r>
      <w:r>
        <w:t xml:space="preserve">, </w:t>
      </w:r>
      <w:proofErr w:type="spellStart"/>
      <w:r>
        <w:lastRenderedPageBreak/>
        <w:t>Fifth</w:t>
      </w:r>
      <w:proofErr w:type="spellEnd"/>
      <w:r>
        <w:t xml:space="preserve"> Edition, Wellesley, Massachusetts: Wellesley-Cambridge Press, 2016. [75] Vektorräume ermöglichen es, Zustände durch Komponenten darzustellen, Linearkombinationen zu bilden und Veränderungen mithilfe von Matrizen oder linearen Abbildungen zu beschreiben. Begriffe wie Basis, Dimension, Rang, Eigenwert und Eigenvektor stellen zentrale Werkzeuge moderner mathematischer Modellbildung dar.</w:t>
      </w:r>
    </w:p>
    <w:p w:rsidR="00F32EA6" w:rsidRDefault="00F32EA6" w:rsidP="00F32EA6">
      <w:pPr>
        <w:pStyle w:val="StandardWeb"/>
      </w:pPr>
      <w:r>
        <w:t>Für das FRZK wird die lineare Algebra eine wesentliche Rolle spielen, weil funktionale Zustände später in mehrdimensionalen Zustandsräumen dargestellt und Transformationen durch Operatoren beschrieben werden sollen. Dennoch dürfen Vektorräume nicht als voraussetzungslose Ausgangspunkte behandelt werden. Ein Vektorraum setzt einen Körper, eine Menge von Vektoren, eine Vektoraddition und eine Skalarmultiplikation voraus. Richtung und Dimension entstehen innerhalb dieser Struktur nicht von selbst, sondern sind durch die bereits definierten Verknüpfungen bestimmt.</w:t>
      </w:r>
    </w:p>
    <w:p w:rsidR="00F32EA6" w:rsidRDefault="00F32EA6" w:rsidP="00F32EA6">
      <w:pPr>
        <w:pStyle w:val="StandardWeb"/>
      </w:pPr>
      <w:r>
        <w:t xml:space="preserve">Die Funktionalanalysis überträgt lineare und analytische Methoden auf häufig </w:t>
      </w:r>
      <w:proofErr w:type="spellStart"/>
      <w:r>
        <w:t>unendlichdimensionale</w:t>
      </w:r>
      <w:proofErr w:type="spellEnd"/>
      <w:r>
        <w:t xml:space="preserve"> Räume. Eine grundlegende Einführung bietet Erwin </w:t>
      </w:r>
      <w:proofErr w:type="spellStart"/>
      <w:r>
        <w:t>Kreyszig</w:t>
      </w:r>
      <w:proofErr w:type="spellEnd"/>
      <w:r>
        <w:t xml:space="preserve">: </w:t>
      </w:r>
      <w:proofErr w:type="spellStart"/>
      <w:r>
        <w:rPr>
          <w:rStyle w:val="Hervorhebung"/>
        </w:rPr>
        <w:t>Introductory</w:t>
      </w:r>
      <w:proofErr w:type="spellEnd"/>
      <w:r>
        <w:rPr>
          <w:rStyle w:val="Hervorhebung"/>
        </w:rPr>
        <w:t xml:space="preserve"> </w:t>
      </w:r>
      <w:proofErr w:type="spellStart"/>
      <w:r>
        <w:rPr>
          <w:rStyle w:val="Hervorhebung"/>
        </w:rPr>
        <w:t>Functional</w:t>
      </w:r>
      <w:proofErr w:type="spellEnd"/>
      <w:r>
        <w:rPr>
          <w:rStyle w:val="Hervorhebung"/>
        </w:rPr>
        <w:t xml:space="preserve"> Analysis </w:t>
      </w:r>
      <w:proofErr w:type="spellStart"/>
      <w:r>
        <w:rPr>
          <w:rStyle w:val="Hervorhebung"/>
        </w:rPr>
        <w:t>with</w:t>
      </w:r>
      <w:proofErr w:type="spellEnd"/>
      <w:r>
        <w:rPr>
          <w:rStyle w:val="Hervorhebung"/>
        </w:rPr>
        <w:t xml:space="preserve"> </w:t>
      </w:r>
      <w:proofErr w:type="spellStart"/>
      <w:r>
        <w:rPr>
          <w:rStyle w:val="Hervorhebung"/>
        </w:rPr>
        <w:t>Applications</w:t>
      </w:r>
      <w:proofErr w:type="spellEnd"/>
      <w:r>
        <w:t xml:space="preserve">, New York: John Wiley &amp; </w:t>
      </w:r>
      <w:proofErr w:type="spellStart"/>
      <w:r>
        <w:t>Sons</w:t>
      </w:r>
      <w:proofErr w:type="spellEnd"/>
      <w:r>
        <w:t xml:space="preserve">, 1978. [76] </w:t>
      </w:r>
      <w:proofErr w:type="spellStart"/>
      <w:r>
        <w:t>Kreyszig</w:t>
      </w:r>
      <w:proofErr w:type="spellEnd"/>
      <w:r>
        <w:t xml:space="preserve"> behandelt normierte Räume, Banachräume, Hilberträume, lineare Funktionale und Operatoren. Damit entsteht ein formaler Rahmen, in dem Funktionen selbst als Elemente von Räumen und Transformationen zwischen solchen Räumen untersucht werden können.</w:t>
      </w:r>
    </w:p>
    <w:p w:rsidR="00F32EA6" w:rsidRDefault="00F32EA6" w:rsidP="00F32EA6">
      <w:pPr>
        <w:pStyle w:val="StandardWeb"/>
      </w:pPr>
      <w:r>
        <w:t>Diese Perspektive ist für das FRZK bedeutsam, weil Operatoren nicht nur einzelne Zahlen oder Vektoren verändern, sondern vollständige Zustandsstrukturen transformieren können. Die Funktionalanalysis setzt jedoch wiederum lineare Räume, Normen, Skalarprodukte und Vollständigkeitsbedingungen voraus. Sie beschreibt äußerst leistungsfähig, wie Operatoren innerhalb solcher Räume wirken, nicht aber, unter welchen minimalen Bedingungen ein operatorfähiger Zustandsraum überhaupt entsteht.</w:t>
      </w:r>
    </w:p>
    <w:p w:rsidR="00F32EA6" w:rsidRDefault="00F32EA6" w:rsidP="00F32EA6">
      <w:pPr>
        <w:pStyle w:val="StandardWeb"/>
      </w:pPr>
      <w:r>
        <w:t xml:space="preserve">Eine weiterführende Darstellung der mathematischen Operatoren und ihrer Bedeutung für die theoretische Physik findet sich bei Michael Reed und Barry Simon: </w:t>
      </w:r>
      <w:r>
        <w:rPr>
          <w:rStyle w:val="Hervorhebung"/>
        </w:rPr>
        <w:t xml:space="preserve">Methods </w:t>
      </w:r>
      <w:proofErr w:type="spellStart"/>
      <w:r>
        <w:rPr>
          <w:rStyle w:val="Hervorhebung"/>
        </w:rPr>
        <w:t>of</w:t>
      </w:r>
      <w:proofErr w:type="spellEnd"/>
      <w:r>
        <w:rPr>
          <w:rStyle w:val="Hervorhebung"/>
        </w:rPr>
        <w:t xml:space="preserve"> Modern </w:t>
      </w:r>
      <w:proofErr w:type="spellStart"/>
      <w:r>
        <w:rPr>
          <w:rStyle w:val="Hervorhebung"/>
        </w:rPr>
        <w:t>Mathematical</w:t>
      </w:r>
      <w:proofErr w:type="spellEnd"/>
      <w:r>
        <w:rPr>
          <w:rStyle w:val="Hervorhebung"/>
        </w:rPr>
        <w:t xml:space="preserve"> Physics. Volume I: </w:t>
      </w:r>
      <w:proofErr w:type="spellStart"/>
      <w:r>
        <w:rPr>
          <w:rStyle w:val="Hervorhebung"/>
        </w:rPr>
        <w:t>Functional</w:t>
      </w:r>
      <w:proofErr w:type="spellEnd"/>
      <w:r>
        <w:rPr>
          <w:rStyle w:val="Hervorhebung"/>
        </w:rPr>
        <w:t xml:space="preserve"> Analysis</w:t>
      </w:r>
      <w:r>
        <w:t xml:space="preserve">, </w:t>
      </w:r>
      <w:proofErr w:type="spellStart"/>
      <w:r>
        <w:t>Revised</w:t>
      </w:r>
      <w:proofErr w:type="spellEnd"/>
      <w:r>
        <w:t xml:space="preserve"> and </w:t>
      </w:r>
      <w:proofErr w:type="spellStart"/>
      <w:r>
        <w:t>Enlarged</w:t>
      </w:r>
      <w:proofErr w:type="spellEnd"/>
      <w:r>
        <w:t xml:space="preserve"> Edition, San Diego: Academic Press, 1980. [77] Reed und Simon verbinden funktionalanalytische Grundlagen mit der Untersuchung linearer Operatoren, Spektren und Hilberträume. Ihre Darstellung zeigt, wie eng moderne physikalische Theorien mit abstrakten Operatorstrukturen verbunden sind. Auch hier bilden die Operatoren jedoch nicht den ersten Ausgangspunkt, sondern wirken auf bereits definierten mathematischen Räumen.</w:t>
      </w:r>
    </w:p>
    <w:p w:rsidR="00F32EA6" w:rsidRDefault="00F32EA6" w:rsidP="00F32EA6">
      <w:pPr>
        <w:pStyle w:val="StandardWeb"/>
      </w:pPr>
      <w:r>
        <w:t xml:space="preserve">Die Graphentheorie stellt einen weiteren Zugang zur formalen Beschreibung von Relationen bereit. Eine umfassende moderne Darstellung bietet Reinhard Diestel: </w:t>
      </w:r>
      <w:r>
        <w:rPr>
          <w:rStyle w:val="Hervorhebung"/>
        </w:rPr>
        <w:t>Graph Theory</w:t>
      </w:r>
      <w:r>
        <w:t xml:space="preserve">, </w:t>
      </w:r>
      <w:proofErr w:type="spellStart"/>
      <w:r>
        <w:t>Fifth</w:t>
      </w:r>
      <w:proofErr w:type="spellEnd"/>
      <w:r>
        <w:t xml:space="preserve"> Edition, Graduate Texts in </w:t>
      </w:r>
      <w:proofErr w:type="spellStart"/>
      <w:r>
        <w:t>Mathematics</w:t>
      </w:r>
      <w:proofErr w:type="spellEnd"/>
      <w:r>
        <w:t>, Band 173, Berlin: Springer-Verlag, 2017. [78] Graphen bestehen aus Knoten und Kanten und können dadurch gerichtete oder ungerichtete Beziehungen, Pfade, Zusammenhang, Zyklen, Flüsse und Netzwerke darstellen. Sie eignen sich besonders zur Beschreibung diskreter relationaler Strukturen, ohne notwendigerweise eine kontinuierliche Geometrie vorauszusetzen.</w:t>
      </w:r>
    </w:p>
    <w:p w:rsidR="00F32EA6" w:rsidRDefault="00F32EA6" w:rsidP="00F32EA6">
      <w:pPr>
        <w:pStyle w:val="StandardWeb"/>
      </w:pPr>
      <w:r>
        <w:t xml:space="preserve">Für die funktionale Rekonstruktion besitzt die Graphentheorie daher eine besondere Anschlussfähigkeit. Funktionale Zustände könnten als Knoten und ihre Beziehungen oder Übergänge als Kanten dargestellt werden. Eine solche Darstellung setzt jedoch bereits voraus, dass Knoten voneinander unterschieden und Kanten eindeutig zwischen ihnen bestimmt werden können. Die Graphentheorie beginnt somit mit vorhandener Relationalität. Sie erklärt </w:t>
      </w:r>
      <w:r>
        <w:lastRenderedPageBreak/>
        <w:t xml:space="preserve">nicht, wodurch die ersten </w:t>
      </w:r>
      <w:proofErr w:type="spellStart"/>
      <w:r>
        <w:t>relationierbaren</w:t>
      </w:r>
      <w:proofErr w:type="spellEnd"/>
      <w:r>
        <w:t xml:space="preserve"> Zustände entstehen oder unter welchen Bedingungen eine Verbindung funktional wirksam wird.</w:t>
      </w:r>
    </w:p>
    <w:p w:rsidR="00F32EA6" w:rsidRDefault="00F32EA6" w:rsidP="00F32EA6">
      <w:pPr>
        <w:pStyle w:val="StandardWeb"/>
      </w:pPr>
      <w:r>
        <w:t xml:space="preserve">Die Kategorientheorie verlagert die mathematische Betrachtung noch deutlicher von den inneren Eigenschaften einzelner Objekte auf die zwischen ihnen bestehenden strukturerhaltenden Abbildungen. Eine grundlegende systematische Darstellung bietet Saunders Mac Lane: </w:t>
      </w:r>
      <w:proofErr w:type="spellStart"/>
      <w:r>
        <w:rPr>
          <w:rStyle w:val="Hervorhebung"/>
        </w:rPr>
        <w:t>Categories</w:t>
      </w:r>
      <w:proofErr w:type="spellEnd"/>
      <w:r>
        <w:rPr>
          <w:rStyle w:val="Hervorhebung"/>
        </w:rPr>
        <w:t xml:space="preserve"> </w:t>
      </w:r>
      <w:proofErr w:type="spellStart"/>
      <w:r>
        <w:rPr>
          <w:rStyle w:val="Hervorhebung"/>
        </w:rPr>
        <w:t>for</w:t>
      </w:r>
      <w:proofErr w:type="spellEnd"/>
      <w:r>
        <w:rPr>
          <w:rStyle w:val="Hervorhebung"/>
        </w:rPr>
        <w:t xml:space="preserve"> </w:t>
      </w:r>
      <w:proofErr w:type="spellStart"/>
      <w:r>
        <w:rPr>
          <w:rStyle w:val="Hervorhebung"/>
        </w:rPr>
        <w:t>the</w:t>
      </w:r>
      <w:proofErr w:type="spellEnd"/>
      <w:r>
        <w:rPr>
          <w:rStyle w:val="Hervorhebung"/>
        </w:rPr>
        <w:t xml:space="preserve"> Working </w:t>
      </w:r>
      <w:proofErr w:type="spellStart"/>
      <w:r>
        <w:rPr>
          <w:rStyle w:val="Hervorhebung"/>
        </w:rPr>
        <w:t>Mathematician</w:t>
      </w:r>
      <w:proofErr w:type="spellEnd"/>
      <w:r>
        <w:t xml:space="preserve">, Second Edition, Graduate Texts in </w:t>
      </w:r>
      <w:proofErr w:type="spellStart"/>
      <w:r>
        <w:t>Mathematics</w:t>
      </w:r>
      <w:proofErr w:type="spellEnd"/>
      <w:r>
        <w:t xml:space="preserve">, Band 5, New York: Springer-Verlag, 1998. [79] Kategorien bestehen aus Objekten, </w:t>
      </w:r>
      <w:proofErr w:type="spellStart"/>
      <w:r>
        <w:t>Morphismen</w:t>
      </w:r>
      <w:proofErr w:type="spellEnd"/>
      <w:r>
        <w:t xml:space="preserve">, </w:t>
      </w:r>
      <w:proofErr w:type="spellStart"/>
      <w:r>
        <w:t>Identitätsmorphismen</w:t>
      </w:r>
      <w:proofErr w:type="spellEnd"/>
      <w:r>
        <w:t xml:space="preserve"> und einer assoziativen Komposition. Dadurch können mathematische Strukturen auf einer hohen Abstraktionsebene miteinander verglichen und gemeinsame Organisationsprinzipien sichtbar gemacht werden.</w:t>
      </w:r>
    </w:p>
    <w:p w:rsidR="00F32EA6" w:rsidRDefault="00F32EA6" w:rsidP="00F32EA6">
      <w:pPr>
        <w:pStyle w:val="StandardWeb"/>
      </w:pPr>
      <w:r>
        <w:t xml:space="preserve">Dieser Zugang knüpft unmittelbar an den in Kapitel 3.1 entwickelten Vorrang von Relationen und Transformationen an. Bereits die zuvor verwendeten Arbeiten von Mac Lane sowie von Samuel </w:t>
      </w:r>
      <w:proofErr w:type="spellStart"/>
      <w:r>
        <w:t>Eilenberg</w:t>
      </w:r>
      <w:proofErr w:type="spellEnd"/>
      <w:r>
        <w:t xml:space="preserve"> und Saunders Mac Lane zeigen, dass mathematische Strukturen wesentlich durch ihre Beziehungen und strukturerhaltenden Abbildungen bestimmt werden können [60–61]. Das FRZK wird dennoch nicht als unmittelbar fertige Kategorie eingeführt. Eine Kategorie setzt Objekte, </w:t>
      </w:r>
      <w:proofErr w:type="spellStart"/>
      <w:r>
        <w:t>Morphismen</w:t>
      </w:r>
      <w:proofErr w:type="spellEnd"/>
      <w:r>
        <w:t>, Identitäten und Kompositionsregeln bereits voraus. Für die Zielsetzung dieser Arbeit bleibt deshalb zu klären, ob und wie solche Strukturen aus noch einfacheren funktionalen Bedingungen rekonstruiert werden können.</w:t>
      </w:r>
    </w:p>
    <w:p w:rsidR="00F32EA6" w:rsidRDefault="00F32EA6" w:rsidP="00F32EA6">
      <w:pPr>
        <w:pStyle w:val="StandardWeb"/>
      </w:pPr>
      <w:r>
        <w:t xml:space="preserve">Neben den inhaltlichen mathematischen Disziplinen ist schließlich die mathematische Logik erforderlich. Eine grundlegende Darstellung bietet Stephen Cole Kleene: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w:t>
      </w:r>
      <w:proofErr w:type="spellStart"/>
      <w:r>
        <w:rPr>
          <w:rStyle w:val="Hervorhebung"/>
        </w:rPr>
        <w:t>Metamathematics</w:t>
      </w:r>
      <w:proofErr w:type="spellEnd"/>
      <w:r>
        <w:t>, Amsterdam: North-Holland Publishing Company, 1952. [80] Kleene behandelt formale Systeme, Beweisverfahren, Rekursion, Berechenbarkeit und metamathematische Fragestellungen. Die mathematische Logik ermöglicht es, zwischen den Aussagen eines formalen Systems und Aussagen über dieses System zu unterscheiden. Sie stellt damit Werkzeuge bereit, um die Konsistenz, Ableitbarkeit und Reichweite mathematischer Konstruktionen zu untersuchen.</w:t>
      </w:r>
    </w:p>
    <w:p w:rsidR="00F32EA6" w:rsidRDefault="00F32EA6" w:rsidP="00F32EA6">
      <w:pPr>
        <w:pStyle w:val="StandardWeb"/>
      </w:pPr>
      <w:r>
        <w:t>Für das FRZK ist diese Trennung unverzichtbar. Definitionen, Axiome, Annahmen, Sätze, Beweise und empirische Interpretationen müssen unterschiedliche wissenschaftliche Funktionen behalten. Eine mathematische Folgerung darf nicht mit einer ontologischen Aussage gleichgesetzt werden, und eine empirische Übereinstimmung darf nicht als formaler Beweis behandelt werden. Die Logik bildet daher nicht nur eine mathematische Teildisziplin innerhalb dieses Kapitels, sondern zugleich eine methodische Kontrollinstanz für die spätere axiomatische Rekonstruktion.</w:t>
      </w:r>
    </w:p>
    <w:p w:rsidR="00F32EA6" w:rsidRDefault="00F32EA6" w:rsidP="00F32EA6">
      <w:pPr>
        <w:pStyle w:val="StandardWeb"/>
      </w:pPr>
      <w:r>
        <w:t>Die hier erstmals eingeführten Quellen [71] bis [80] bilden den Beginn eines eigenständigen mathematischen Literaturbestandes für Kapitel 3.2. Dieser Bestand wird in den folgenden Unterabschnitten systematisch erweitert. Insgesamt soll das Kapitel auf einem Literaturblock von etwa 35 bis 50 mathematischen Standardwerken beruhen. Dabei werden jedoch nicht sämtliche Quellen bereits in dieser Einleitung genannt. Neue Werke werden jeweils dort vollständig eingeführt, wo ihr Gegenstandsbereich erstmals inhaltlich behandelt wird. Nach ihrer vollständigen Erstnennung werden sie unter der vergebenen Literaturzahl im weiteren Verlauf des Kapitels wiederverwendet.</w:t>
      </w:r>
    </w:p>
    <w:p w:rsidR="00F32EA6" w:rsidRDefault="00F32EA6" w:rsidP="00F32EA6">
      <w:pPr>
        <w:pStyle w:val="StandardWeb"/>
      </w:pPr>
      <w:r>
        <w:t xml:space="preserve">Dieses Vorgehen verhindert, dass die Einleitung zu einem vorweggenommenen Literaturverzeichnis wird. Zugleich bleibt gewährleistet, dass jede Quelle an derjenigen Stelle eingeführt wird, an der ihre konkrete wissenschaftliche Funktion für die Argumentation </w:t>
      </w:r>
      <w:r>
        <w:lastRenderedPageBreak/>
        <w:t>erkennbar ist. Der Literaturblock entsteht dadurch schrittweise und bleibt mit der inhaltlichen Entwicklung des Kapitels verbunden.</w:t>
      </w:r>
    </w:p>
    <w:p w:rsidR="00F32EA6" w:rsidRDefault="00F32EA6" w:rsidP="00F32EA6">
      <w:pPr>
        <w:pStyle w:val="StandardWeb"/>
      </w:pPr>
      <w:r>
        <w:t>Die Auswahl der mathematischen Literatur folgt vier Kriterien. Erstens werden grundlegende Standardwerke bevorzugt, die für das jeweilige Teilgebiet eine systematische Referenz darstellen. Zweitens müssen die verwendeten Werke die tatsächlich im Kapitel behandelten Begriffe und Strukturen abdecken. Drittens wird zwischen elementaren Einführungen, vertiefenden Darstellungen und mathematischen Grundlagenwerken unterschieden. Viertens erhält jede Quelle eine feststehende Literaturzahl, die nach ihrer Aufnahme in das Repository nicht mehr verändert wird.</w:t>
      </w:r>
    </w:p>
    <w:p w:rsidR="00F32EA6" w:rsidRDefault="00F32EA6" w:rsidP="00F32EA6">
      <w:pPr>
        <w:pStyle w:val="StandardWeb"/>
      </w:pPr>
      <w:r>
        <w:t>Kapitel 3.2 verfolgt damit keine enzyklopädische Darstellung der gesamten Mathematik. Eine solche Aufgabe wäre weder realistisch noch für die Zielsetzung dieser Arbeit erforderlich. Untersucht werden vielmehr diejenigen mathematischen Strukturen, die für den Aufbau des FRZK unmittelbar benötigt werden oder deren Voraussetzungen für die spätere Rekonstruktion von besonderer Bedeutung sind. Dazu gehören insbesondere Mengen und Relationen, Funktionen und Abbildungen, algebraische Strukturen, Zahlen und Skalare, Vektoren und Vektorräume, Matrizen, lineare Transformationen, Eigenwerte und Eigenvektoren, Determinanten, Graphen, topologische Räume, metrische Strukturen, Operatoren sowie kategoriale Beziehungen.</w:t>
      </w:r>
    </w:p>
    <w:p w:rsidR="00F32EA6" w:rsidRDefault="00F32EA6" w:rsidP="00F32EA6">
      <w:pPr>
        <w:pStyle w:val="StandardWeb"/>
      </w:pPr>
      <w:r>
        <w:t>Die Reihenfolge dieser Themen ist nicht ausschließlich historisch bestimmt. Sie folgt einer strukturellen Abhängigkeit. Mengen und Relationen bilden den Ausgangspunkt vieler mathematischer Definitionen. Funktionen setzen Definitions- und Zielbereiche voraus. Algebraische Strukturen ergänzen Mengen um Verknüpfungen. Vektorräume bauen auf Körpern und Operationen auf. Matrizen und Operatoren beschreiben Transformationen innerhalb oder zwischen solchen Räumen. Graphen stellen diskrete Relationen dar, während Topologie und Metrik unterschiedliche Formen von Nähe und Zusammenhang formalisieren. Die Kategorientheorie untersucht schließlich Beziehungen zwischen vollständigen Strukturen und deren strukturerhaltenden Abbildungen.</w:t>
      </w:r>
    </w:p>
    <w:p w:rsidR="00F32EA6" w:rsidRDefault="00F32EA6" w:rsidP="00F32EA6">
      <w:pPr>
        <w:pStyle w:val="StandardWeb"/>
      </w:pPr>
      <w:r>
        <w:t>Jeder dieser mathematischen Bereiche besitzt eine eigenständige wissenschaftliche Bedeutung. Innerhalb dieses Kapitels werden sie jedoch zusätzlich unter einer gemeinsamen methodischen Frage betrachtet: Welche Voraussetzungen müssen bereits erfüllt sein, damit die jeweilige Struktur definiert werden kann? Damit verändert sich nicht die etablierte Mathematik selbst, sondern die Perspektive, unter der ihre Grundlagen untersucht werden.</w:t>
      </w:r>
    </w:p>
    <w:p w:rsidR="00F32EA6" w:rsidRDefault="00F32EA6" w:rsidP="00F32EA6">
      <w:pPr>
        <w:pStyle w:val="StandardWeb"/>
      </w:pPr>
      <w:r>
        <w:t xml:space="preserve">Ich gehe dabei nicht davon aus, dass sämtliche mathematischen Strukturen auf eine einzige elementare Form reduziert werden müssen. Ebenso wenig soll behauptet werden, die klassische Mathematik habe ihre Grundlagen unzureichend bestimmt. Mengenlehre, Algebra, Analysis, Topologie, Funktionalanalysis, Graphentheorie und Kategorientheorie erfüllen jeweils unterschiedliche Aufgaben und besitzen dafür angemessene Ausgangsbegriffe. Für das FRZK ist jedoch zu prüfen, welche dieser Ausgangsbegriffe übernommen werden können und welche erst aus dem späteren </w:t>
      </w:r>
      <w:proofErr w:type="spellStart"/>
      <w:r>
        <w:t>Axiomensystem</w:t>
      </w:r>
      <w:proofErr w:type="spellEnd"/>
      <w:r>
        <w:t xml:space="preserve"> hervorgehen sollen.</w:t>
      </w:r>
    </w:p>
    <w:p w:rsidR="00F32EA6" w:rsidRDefault="00F32EA6" w:rsidP="00F32EA6">
      <w:pPr>
        <w:pStyle w:val="StandardWeb"/>
      </w:pPr>
      <w:r>
        <w:t xml:space="preserve">Daraus ergibt sich eine klare Grenze zwischen mathematischem Forschungsstand und eigener Rekonstruktion. Kapitel 3.2 stellt etablierte Begriffe und Theorien dar. Wo mathematische Definitionen wiedergegeben werden, handelt es sich nicht um Eigenleistungen des FRZK. Die Eigenleistung besteht zunächst in ihrer systematischen Auswahl, ihrer Anordnung nach funktionalen Abhängigkeiten und der Analyse ihrer jeweiligen Voraussetzungen. Erst Kapitel </w:t>
      </w:r>
      <w:r>
        <w:lastRenderedPageBreak/>
        <w:t xml:space="preserve">3.3 </w:t>
      </w:r>
      <w:proofErr w:type="gramStart"/>
      <w:r>
        <w:t>formuliert</w:t>
      </w:r>
      <w:proofErr w:type="gramEnd"/>
      <w:r>
        <w:t xml:space="preserve"> daraus die eigenen axiomatischen Setzungen. Die mathematische Rekonstruktion funktionaler Organisation beginnt anschließend in Kapitel 3.4.</w:t>
      </w:r>
    </w:p>
    <w:p w:rsidR="00F32EA6" w:rsidRDefault="00F32EA6" w:rsidP="00F32EA6">
      <w:pPr>
        <w:pStyle w:val="StandardWeb"/>
      </w:pPr>
      <w:r>
        <w:t>Diese Trennung ist notwendig, um zwei entgegengesetzte Fehler zu vermeiden. Einerseits dürfen etablierte mathematische Erkenntnisse nicht als Eigenleistung des FRZK dargestellt werden. Andererseits darf die spätere Eigenleistung nicht lediglich aus einer neuen Benennung bereits vorhandener Strukturen bestehen. Das FRZK muss ausweisen, welche Begriffe aus der Literatur übernommen, welche eingeschränkt, welche funktional neu interpretiert und welche tatsächlich neu konstruiert werden.</w:t>
      </w:r>
    </w:p>
    <w:p w:rsidR="00F32EA6" w:rsidRDefault="00F32EA6" w:rsidP="00F32EA6">
      <w:pPr>
        <w:pStyle w:val="StandardWeb"/>
      </w:pPr>
      <w:r>
        <w:t>Kapitel 3.2 bildet somit keinen bloßen mathematischen Anhang. Es erfüllt eine eigenständige argumentative Funktion. Die Darstellung zeigt, welche mathematischen Werkzeuge für das FRZK erforderlich sind, in welcher logischen Reihenfolge sie aufeinander aufbauen und welche Voraussetzungen sie mit sich führen. Gleichzeitig wird damit die Grenze sichtbar, an der die etablierte Mathematik für die Zielsetzung dieser Arbeit zwar die notwendigen Werkzeuge bereitstellt, die spezifische funktionale Rekonstruktionsfrage jedoch nicht selbst beantwortet.</w:t>
      </w:r>
    </w:p>
    <w:p w:rsidR="00F32EA6" w:rsidRDefault="00F32EA6" w:rsidP="00F32EA6">
      <w:pPr>
        <w:pStyle w:val="StandardWeb"/>
      </w:pPr>
      <w:r>
        <w:t>Der folgende Abschnitt beginnt deshalb mit Mengen, Elementen und Relationen. Diese Begriffe stehen am Anfang eines großen Teils der modernen Mathematik und bilden die Grundlage für Funktionen, algebraische Strukturen, Graphen und topologische Räume. Zugleich zeigt sich gerade an ihnen besonders deutlich, dass mathematische Beschreibung bereits eine Form von Unterscheidbarkeit voraussetzt. Die Untersuchung ihrer Definitionen und Voraussetzungen stellt daher den notwendigen ersten Schritt auf dem Weg zur späteren Axiomatik des Funktionalen Raum-Zeit-Kohärenzsystems dar.</w:t>
      </w:r>
    </w:p>
    <w:p w:rsidR="00CE253A" w:rsidRDefault="00CE253A" w:rsidP="00CE253A">
      <w:pPr>
        <w:pStyle w:val="berschrift3"/>
        <w:rPr>
          <w:rFonts w:cs="Times New Roman"/>
          <w:sz w:val="27"/>
          <w:szCs w:val="27"/>
        </w:rPr>
      </w:pPr>
      <w:r>
        <w:t>3.2.1 Mengen als Grundlage mathematischer Modellbildung</w:t>
      </w:r>
    </w:p>
    <w:p w:rsidR="00CE253A" w:rsidRDefault="00CE253A" w:rsidP="00CE253A">
      <w:pPr>
        <w:pStyle w:val="StandardWeb"/>
      </w:pPr>
      <w:r>
        <w:rPr>
          <w:rStyle w:val="Fett"/>
        </w:rPr>
        <w:t>3.2.1.1 Historische Entwicklung des Mengenbegriffs</w:t>
      </w:r>
    </w:p>
    <w:p w:rsidR="00CE253A" w:rsidRDefault="00CE253A" w:rsidP="00CE253A">
      <w:pPr>
        <w:pStyle w:val="StandardWeb"/>
      </w:pPr>
      <w:r>
        <w:t>Nachdem in Abschnitt 3.2.0 die Mengenlehre als grundlegende Sprache moderner mathematischer Modellbildung eingeordnet wurde, soll nun untersucht werden, weshalb gerade der Mengenbegriff eine so zentrale Stellung innerhalb der Mathematik einnimmt. Die Bedeutung der Mengenlehre ergibt sich nicht allein daraus, dass sie heute den Ausgangspunkt zahlreicher mathematischer Disziplinen bildet. Sie entstand vielmehr aus dem Versuch, mathematische Objekte unabhängig von ihrer konkreten inhaltlichen Bedeutung durch gemeinsame formale Eigenschaften zu beschreiben.</w:t>
      </w:r>
    </w:p>
    <w:p w:rsidR="00CE253A" w:rsidRDefault="00CE253A" w:rsidP="00CE253A">
      <w:pPr>
        <w:pStyle w:val="StandardWeb"/>
      </w:pPr>
      <w:r>
        <w:t>Die bereits eingeführten Standardwerke zur Mengenlehre und mathematischen Grundlagen zeigen übereinstimmend, dass nahezu alle modernen mathematischen Strukturen auf Mengen aufbauen oder sich zumindest auf Mengen zurückführen lassen [6], [</w:t>
      </w:r>
      <w:proofErr w:type="gramStart"/>
      <w:r>
        <w:t>71]–</w:t>
      </w:r>
      <w:proofErr w:type="gramEnd"/>
      <w:r>
        <w:t>[79]. Zahlenmengen, Punktmengen, Vektormengen, Zustandsmengen oder Mengen mathematischer Funktionen unterscheiden sich in ihrem Inhalt, besitzen jedoch dieselbe formale Grundstruktur. Dadurch entsteht eine universelle mathematische Sprache, mit der sehr unterschiedliche Gegenstandsbereiche einheitlich beschrieben werden können.</w:t>
      </w:r>
    </w:p>
    <w:p w:rsidR="00CE253A" w:rsidRDefault="00CE253A" w:rsidP="00CE253A">
      <w:pPr>
        <w:pStyle w:val="StandardWeb"/>
      </w:pPr>
      <w:r>
        <w:t xml:space="preserve">Die eigentliche Entwicklung einer eigenständigen Mengenlehre geht auf </w:t>
      </w:r>
      <w:r>
        <w:rPr>
          <w:rStyle w:val="Fett"/>
        </w:rPr>
        <w:t xml:space="preserve">Georg Cantor: „Beiträge zur Begründung der transfiniten Mengenlehre“, </w:t>
      </w:r>
      <w:r>
        <w:rPr>
          <w:rStyle w:val="Hervorhebung"/>
          <w:b/>
          <w:bCs w:val="0"/>
        </w:rPr>
        <w:t>Mathematische Annalen</w:t>
      </w:r>
      <w:r>
        <w:rPr>
          <w:rStyle w:val="Fett"/>
        </w:rPr>
        <w:t>, Band 46, 1895, S. 481–512, sowie Band 49, 1897, S. 207–246 [80]</w:t>
      </w:r>
      <w:r>
        <w:t xml:space="preserve"> zurück. Cantor führte den Mengenbegriff nicht lediglich als Hilfsmittel ein, sondern machte Mengen selbst zum Gegenstand mathematischer Untersuchungen. Seine Arbeiten zeigten insbesondere, dass </w:t>
      </w:r>
      <w:r>
        <w:lastRenderedPageBreak/>
        <w:t>unendliche Mengen unterschiedliche Mächtigkeiten besitzen können und sich mathematisch miteinander vergleichen lassen.</w:t>
      </w:r>
    </w:p>
    <w:p w:rsidR="00CE253A" w:rsidRDefault="00CE253A" w:rsidP="00CE253A">
      <w:pPr>
        <w:pStyle w:val="StandardWeb"/>
      </w:pPr>
      <w:r>
        <w:t xml:space="preserve">Mit dieser Erweiterung veränderte sich das Verständnis mathematischer Strukturen grundlegend. Unendlichkeit wurde nicht länger ausschließlich als unbegrenzte Fortsetzung endlicher Prozesse verstanden, sondern als eigenständiger mathematischer Untersuchungsgegenstand. Gleichzeitig wurde deutlich, dass mathematische Eigenschaften unabhängig von der konkreten Natur ihrer Elemente untersucht werden können. Entscheidend ist nicht, </w:t>
      </w:r>
      <w:r>
        <w:rPr>
          <w:rStyle w:val="Fett"/>
        </w:rPr>
        <w:t>was</w:t>
      </w:r>
      <w:r>
        <w:t xml:space="preserve"> die Elemente darstellen, sondern </w:t>
      </w:r>
      <w:r>
        <w:rPr>
          <w:rStyle w:val="Fett"/>
        </w:rPr>
        <w:t>wie</w:t>
      </w:r>
      <w:r>
        <w:t xml:space="preserve"> sie innerhalb einer formalen Struktur miteinander in Beziehung stehen.</w:t>
      </w:r>
    </w:p>
    <w:p w:rsidR="00CE253A" w:rsidRDefault="00CE253A" w:rsidP="00CE253A">
      <w:pPr>
        <w:pStyle w:val="StandardWeb"/>
      </w:pPr>
      <w:r>
        <w:t>Diese zunehmende Abstraktion führte jedoch zugleich zu grundlegenden Problemen. Cantors intuitive Definition einer Menge als Zusammenfassung wohlunterschiedener Objekte erwies sich zwar als außerordentlich leistungsfähig, ließ aber zunächst offen, welche Zusammenfassungen überhaupt zulässig sind. Die daraus entstandenen Antinomien machten deutlich, dass mathematische Begriffe nicht allein aufgrund sprachlicher Plausibilität eingeführt werden können.</w:t>
      </w:r>
    </w:p>
    <w:p w:rsidR="00CE253A" w:rsidRDefault="00CE253A" w:rsidP="00CE253A">
      <w:pPr>
        <w:pStyle w:val="StandardWeb"/>
      </w:pPr>
      <w:r>
        <w:t xml:space="preserve">Besonders deutlich wurde dies durch die von </w:t>
      </w:r>
      <w:r>
        <w:rPr>
          <w:rStyle w:val="Fett"/>
        </w:rPr>
        <w:t xml:space="preserve">Bertrand Russell: </w:t>
      </w:r>
      <w:r>
        <w:rPr>
          <w:rStyle w:val="Hervorhebung"/>
          <w:b/>
          <w:bCs w:val="0"/>
        </w:rPr>
        <w:t xml:space="preserve">The </w:t>
      </w:r>
      <w:proofErr w:type="spellStart"/>
      <w:r>
        <w:rPr>
          <w:rStyle w:val="Hervorhebung"/>
          <w:b/>
          <w:bCs w:val="0"/>
        </w:rPr>
        <w:t>Principles</w:t>
      </w:r>
      <w:proofErr w:type="spellEnd"/>
      <w:r>
        <w:rPr>
          <w:rStyle w:val="Hervorhebung"/>
          <w:b/>
          <w:bCs w:val="0"/>
        </w:rPr>
        <w:t xml:space="preserve"> </w:t>
      </w:r>
      <w:proofErr w:type="spellStart"/>
      <w:r>
        <w:rPr>
          <w:rStyle w:val="Hervorhebung"/>
          <w:b/>
          <w:bCs w:val="0"/>
        </w:rPr>
        <w:t>of</w:t>
      </w:r>
      <w:proofErr w:type="spellEnd"/>
      <w:r>
        <w:rPr>
          <w:rStyle w:val="Hervorhebung"/>
          <w:b/>
          <w:bCs w:val="0"/>
        </w:rPr>
        <w:t xml:space="preserve"> </w:t>
      </w:r>
      <w:proofErr w:type="spellStart"/>
      <w:r>
        <w:rPr>
          <w:rStyle w:val="Hervorhebung"/>
          <w:b/>
          <w:bCs w:val="0"/>
        </w:rPr>
        <w:t>Mathematics</w:t>
      </w:r>
      <w:proofErr w:type="spellEnd"/>
      <w:r>
        <w:rPr>
          <w:rStyle w:val="Fett"/>
        </w:rPr>
        <w:t>. Cambridge: Cambridge University Press, 1903 [81]</w:t>
      </w:r>
      <w:r>
        <w:t xml:space="preserve"> beschriebene Antinomie der Menge aller Mengen, die sich nicht selbst enthalten. Dieses Beispiel zeigte, dass eine uneingeschränkte Mengenbildung zwangsläufig zu Widersprüchen führt. Die Mengenlehre benötigte daher eine explizite axiomatische Grundlage.</w:t>
      </w:r>
    </w:p>
    <w:p w:rsidR="00CE253A" w:rsidRDefault="00CE253A" w:rsidP="00CE253A">
      <w:pPr>
        <w:pStyle w:val="StandardWeb"/>
      </w:pPr>
      <w:r>
        <w:t xml:space="preserve">Mit den Arbeiten von </w:t>
      </w:r>
      <w:r>
        <w:rPr>
          <w:rStyle w:val="Fett"/>
        </w:rPr>
        <w:t xml:space="preserve">Ernst </w:t>
      </w:r>
      <w:proofErr w:type="spellStart"/>
      <w:r>
        <w:rPr>
          <w:rStyle w:val="Fett"/>
        </w:rPr>
        <w:t>Zermelo</w:t>
      </w:r>
      <w:proofErr w:type="spellEnd"/>
      <w:r>
        <w:rPr>
          <w:rStyle w:val="Fett"/>
        </w:rPr>
        <w:t xml:space="preserve"> [82]</w:t>
      </w:r>
      <w:r>
        <w:t xml:space="preserve">, </w:t>
      </w:r>
      <w:r>
        <w:rPr>
          <w:rStyle w:val="Fett"/>
        </w:rPr>
        <w:t>Abraham A. Fraenkel [83]</w:t>
      </w:r>
      <w:r>
        <w:t xml:space="preserve"> und </w:t>
      </w:r>
      <w:r>
        <w:rPr>
          <w:rStyle w:val="Fett"/>
        </w:rPr>
        <w:t xml:space="preserve">Thoralf </w:t>
      </w:r>
      <w:proofErr w:type="spellStart"/>
      <w:r>
        <w:rPr>
          <w:rStyle w:val="Fett"/>
        </w:rPr>
        <w:t>Skolem</w:t>
      </w:r>
      <w:proofErr w:type="spellEnd"/>
      <w:r>
        <w:rPr>
          <w:rStyle w:val="Fett"/>
        </w:rPr>
        <w:t xml:space="preserve"> [84]</w:t>
      </w:r>
      <w:r>
        <w:t xml:space="preserve"> entstand schließlich das heute verwendete </w:t>
      </w:r>
      <w:proofErr w:type="spellStart"/>
      <w:r>
        <w:t>Zermelo</w:t>
      </w:r>
      <w:proofErr w:type="spellEnd"/>
      <w:r>
        <w:t>-Fraenkel-</w:t>
      </w:r>
      <w:proofErr w:type="spellStart"/>
      <w:r>
        <w:t>Axiomensystem</w:t>
      </w:r>
      <w:proofErr w:type="spellEnd"/>
      <w:r>
        <w:t xml:space="preserve"> mit Auswahlaxiom (ZFC). Die Existenz mathematischer Mengen wird darin nicht mehr aus einer allgemeinen Vorstellung des Zusammenfassens abgeleitet, sondern ausschließlich durch ausdrücklich formulierte Axiome geregelt. Mengen entstehen innerhalb der Theorie daher nicht aufgrund ihrer inhaltlichen Bedeutung, sondern aufgrund exakt definierter Konstruktionsregeln.</w:t>
      </w:r>
    </w:p>
    <w:p w:rsidR="00CE253A" w:rsidRDefault="00CE253A" w:rsidP="00CE253A">
      <w:pPr>
        <w:pStyle w:val="StandardWeb"/>
      </w:pPr>
      <w:r>
        <w:t xml:space="preserve">Diese Entwicklung besitzt für die weitere Argumentation dieser Arbeit eine besondere Bedeutung. Sie zeigt, dass die moderne Mathematik den Mengenbegriff bewusst als </w:t>
      </w:r>
      <w:r>
        <w:rPr>
          <w:rStyle w:val="Fett"/>
        </w:rPr>
        <w:t>formale Struktur</w:t>
      </w:r>
      <w:r>
        <w:t xml:space="preserve"> verwendet. Aussagen über physikalische, funktionale oder ontologische Eigenschaften der betrachteten Objekte gehören ausdrücklich </w:t>
      </w:r>
      <w:r>
        <w:rPr>
          <w:rStyle w:val="Fett"/>
        </w:rPr>
        <w:t>nicht</w:t>
      </w:r>
      <w:r>
        <w:t xml:space="preserve"> zum Gegenstandsbereich der Mengenlehre. Diese Trennung bildet eine wesentliche Voraussetzung für die spätere Entwicklung des Funktionalen Raum-Zeit-Kohärenzsystems.</w:t>
      </w:r>
    </w:p>
    <w:p w:rsidR="00CE253A" w:rsidRDefault="00CE253A" w:rsidP="00CE253A">
      <w:pPr>
        <w:pStyle w:val="StandardWeb"/>
      </w:pPr>
      <w:r>
        <w:t xml:space="preserve">Erst nach dieser wissenschaftlichen Einordnung werden im nächsten Unterabschnitt die grundlegenden mathematischen Begriffe der Mengenlehre – Elementbeziehung, </w:t>
      </w:r>
      <w:proofErr w:type="spellStart"/>
      <w:r>
        <w:t>Extensionalität</w:t>
      </w:r>
      <w:proofErr w:type="spellEnd"/>
      <w:r>
        <w:t>, Teilmengen, Potenzmengen und kartesische Produkte – formal eingeführt und für den weiteren Aufbau des FRZK verwendet.</w:t>
      </w:r>
    </w:p>
    <w:p w:rsidR="00433BF7" w:rsidRDefault="00433BF7" w:rsidP="00433BF7">
      <w:pPr>
        <w:pStyle w:val="berschrift3"/>
        <w:rPr>
          <w:rFonts w:cs="Times New Roman"/>
          <w:sz w:val="27"/>
          <w:szCs w:val="27"/>
        </w:rPr>
      </w:pPr>
      <w:r>
        <w:t>3.2.1.2 Der Mengenbegriff als mathematische Abstraktion</w:t>
      </w:r>
    </w:p>
    <w:p w:rsidR="00433BF7" w:rsidRDefault="00433BF7" w:rsidP="00433BF7">
      <w:pPr>
        <w:pStyle w:val="StandardWeb"/>
      </w:pPr>
      <w:r>
        <w:t xml:space="preserve">Mit der axiomatischen Fundierung der Mengenlehre wandelte sich zugleich das wissenschaftliche Verständnis mathematischer Objekte grundlegend. Während mathematische Untersuchungen zuvor häufig einzelne Zahlen, geometrische Figuren oder Funktionen in den Mittelpunkt stellten, rückte nun die Frage nach den gemeinsamen strukturellen Eigenschaften mathematischer Objekte in den Vordergrund. Die Mengenlehre bildet seither die gemeinsame </w:t>
      </w:r>
      <w:r>
        <w:lastRenderedPageBreak/>
        <w:t>formale Sprache, innerhalb derer unterschiedliche mathematische Disziplinen beschrieben werden können [6], [71], [73].</w:t>
      </w:r>
    </w:p>
    <w:p w:rsidR="00433BF7" w:rsidRDefault="00433BF7" w:rsidP="00433BF7">
      <w:pPr>
        <w:pStyle w:val="StandardWeb"/>
      </w:pPr>
      <w:r>
        <w:t xml:space="preserve">Diese Entwicklung führte zu einer zunehmenden Abstraktion mathematischer Begriffe. </w:t>
      </w:r>
      <w:r>
        <w:rPr>
          <w:rStyle w:val="Fett"/>
        </w:rPr>
        <w:t xml:space="preserve">Nicolas </w:t>
      </w:r>
      <w:proofErr w:type="spellStart"/>
      <w:r>
        <w:rPr>
          <w:rStyle w:val="Fett"/>
        </w:rPr>
        <w:t>Bourbaki</w:t>
      </w:r>
      <w:proofErr w:type="spellEnd"/>
      <w:r>
        <w:rPr>
          <w:rStyle w:val="Fett"/>
        </w:rPr>
        <w:t xml:space="preserve">: </w:t>
      </w:r>
      <w:proofErr w:type="spellStart"/>
      <w:r>
        <w:rPr>
          <w:rStyle w:val="Hervorhebung"/>
          <w:b/>
          <w:bCs w:val="0"/>
        </w:rPr>
        <w:t>Théorie</w:t>
      </w:r>
      <w:proofErr w:type="spellEnd"/>
      <w:r>
        <w:rPr>
          <w:rStyle w:val="Hervorhebung"/>
          <w:b/>
          <w:bCs w:val="0"/>
        </w:rPr>
        <w:t xml:space="preserve"> des </w:t>
      </w:r>
      <w:proofErr w:type="spellStart"/>
      <w:r>
        <w:rPr>
          <w:rStyle w:val="Hervorhebung"/>
          <w:b/>
          <w:bCs w:val="0"/>
        </w:rPr>
        <w:t>ensembles</w:t>
      </w:r>
      <w:proofErr w:type="spellEnd"/>
      <w:r>
        <w:rPr>
          <w:rStyle w:val="Fett"/>
        </w:rPr>
        <w:t>. Paris: Hermann, 1954 [85]</w:t>
      </w:r>
      <w:r>
        <w:t xml:space="preserve"> beschreibt Mengen ausdrücklich nicht als Träger inhaltlicher Eigenschaften, sondern als formale Grundlage mathematischer Strukturen. Entscheidend ist nicht die Natur der betrachteten Elemente, sondern </w:t>
      </w:r>
      <w:proofErr w:type="gramStart"/>
      <w:r>
        <w:t>ausschließlich ihre Zugehörigkeit</w:t>
      </w:r>
      <w:proofErr w:type="gramEnd"/>
      <w:r>
        <w:t xml:space="preserve"> zu einer wohldefinierten Menge. Dadurch wird der Mengenbegriff unabhängig davon, ob die Elemente Zahlen, Punkte, Vektoren, Funktionen oder andere mathematische Objekte darstellen.</w:t>
      </w:r>
    </w:p>
    <w:p w:rsidR="00433BF7" w:rsidRDefault="00433BF7" w:rsidP="00433BF7">
      <w:pPr>
        <w:pStyle w:val="StandardWeb"/>
      </w:pPr>
      <w:r>
        <w:t xml:space="preserve">Diese Sichtweise wird auch in den modernen Standardwerken zur Algebra, Topologie und Linearen Algebra übernommen. </w:t>
      </w:r>
      <w:proofErr w:type="spellStart"/>
      <w:r>
        <w:t>Halmos</w:t>
      </w:r>
      <w:proofErr w:type="spellEnd"/>
      <w:r>
        <w:t xml:space="preserve"> [6], Lang [71], </w:t>
      </w:r>
      <w:proofErr w:type="spellStart"/>
      <w:r>
        <w:t>Munkres</w:t>
      </w:r>
      <w:proofErr w:type="spellEnd"/>
      <w:r>
        <w:t xml:space="preserve"> [73] sowie Strang [74] entwickeln ihre jeweiligen mathematischen Theorien stets auf der Grundlage von Mengen, auf denen anschließend zusätzliche Strukturen definiert werden. Algebraische Verknüpfungen, topologische Nachbarschaftsbeziehungen oder lineare Operationen setzen zunächst lediglich die Existenz geeigneter Grundmengen voraus.</w:t>
      </w:r>
    </w:p>
    <w:p w:rsidR="00433BF7" w:rsidRDefault="00433BF7" w:rsidP="00433BF7">
      <w:pPr>
        <w:pStyle w:val="StandardWeb"/>
      </w:pPr>
      <w:r>
        <w:t xml:space="preserve">Gerade diese Trennung zwischen Menge und zusätzlicher Struktur erklärt die außerordentliche Leistungsfähigkeit der modernen Mathematik. Dieselbe Menge kann beispielsweise als Vektorraum, als topologischer Raum, als metrischer Raum oder als algebraische Struktur interpretiert werden, sofern die jeweils erforderlichen Operationen und Axiome ergänzt werden. Der Mengenbegriff selbst </w:t>
      </w:r>
      <w:proofErr w:type="gramStart"/>
      <w:r>
        <w:t>enthält</w:t>
      </w:r>
      <w:proofErr w:type="gramEnd"/>
      <w:r>
        <w:t xml:space="preserve"> diese Eigenschaften jedoch noch nicht. Er bildet ausschließlich den gemeinsamen mathematischen Träger sämtlicher weiterer Konstruktionen [73], [74], [78].</w:t>
      </w:r>
    </w:p>
    <w:p w:rsidR="00433BF7" w:rsidRDefault="00433BF7" w:rsidP="00433BF7">
      <w:pPr>
        <w:pStyle w:val="StandardWeb"/>
      </w:pPr>
      <w:r>
        <w:t>Aus wissenschaftstheoretischer Sicht besitzt diese Abstraktion einen entscheidenden Vorteil. Unterschiedliche mathematische Theorien können unabhängig voneinander entwickelt werden, ohne dass ihre Grundobjekte jeweils neu definiert werden müssen. Die Mengenlehre übernimmt damit die Funktion einer universellen Beschreibungssprache, welche die Vergleichbarkeit mathematischer Modelle erheblich erleichtert.</w:t>
      </w:r>
    </w:p>
    <w:p w:rsidR="00433BF7" w:rsidRDefault="00433BF7" w:rsidP="00433BF7">
      <w:pPr>
        <w:pStyle w:val="StandardWeb"/>
      </w:pPr>
      <w:r>
        <w:t>Gleichzeitig wird jedoch eine methodische Grenze deutlich. Die Mengenlehre setzt voraus, dass die betrachteten Elemente bereits eindeutig voneinander unterschieden werden können. Sie beantwortet weder die Frage nach der Entstehung dieser Elemente noch nach den funktionalen Prozessen, durch welche ihre Abgrenzung oder ihre Beziehungen entstehen. Diese Fragestellungen liegen bewusst außerhalb ihres axiomatischen Gegenstandsbereiches [</w:t>
      </w:r>
      <w:proofErr w:type="gramStart"/>
      <w:r>
        <w:t>82]–</w:t>
      </w:r>
      <w:proofErr w:type="gramEnd"/>
      <w:r>
        <w:t>[85].</w:t>
      </w:r>
    </w:p>
    <w:p w:rsidR="00433BF7" w:rsidRDefault="00433BF7" w:rsidP="00433BF7">
      <w:pPr>
        <w:pStyle w:val="StandardWeb"/>
      </w:pPr>
      <w:r>
        <w:t>Gerade an dieser Stelle setzt das Funktionale Raum-Zeit-Kohärenzsystem an. Das FRZK übernimmt den Mengenbegriff ausdrücklich als mathematischen Träger seiner späteren Konstruktionen. Gleichzeitig wird jedoch untersucht, unter welchen funktionalen Bedingungen Elemente überhaupt unterscheidbar werden, wie sich Beziehungen zwischen ihnen ausbilden und auf welche Weise daraus stabile mathematische Strukturen entstehen. Die Mengenlehre bleibt damit unverändert Grundlage der mathematischen Beschreibung, während das FRZK die funktionalen Voraussetzungen ihrer Anwendung untersucht.</w:t>
      </w:r>
    </w:p>
    <w:p w:rsidR="00433BF7" w:rsidRDefault="00433BF7" w:rsidP="00433BF7">
      <w:pPr>
        <w:pStyle w:val="StandardWeb"/>
      </w:pPr>
      <w:r>
        <w:t xml:space="preserve">Aus diesem Grund bildet die Mengenlehre den geeigneten Ausgangspunkt für den weiteren Aufbau dieser Arbeit. Erst auf ihrer formalen Grundlage können im folgenden Abschnitt die Elementbeziehung, das </w:t>
      </w:r>
      <w:proofErr w:type="spellStart"/>
      <w:r>
        <w:t>Extensionalitätsprinzip</w:t>
      </w:r>
      <w:proofErr w:type="spellEnd"/>
      <w:r>
        <w:t xml:space="preserve"> sowie die weiteren Grundbegriffe der axiomatischen Mengenlehre präzise eingeführt werden.</w:t>
      </w:r>
    </w:p>
    <w:p w:rsidR="00CE253A" w:rsidRDefault="009B51AC" w:rsidP="00CE253A">
      <w:r>
        <w:lastRenderedPageBreak/>
        <w:pict>
          <v:rect id="_x0000_i1025" style="width:0;height:1.5pt" o:hralign="center" o:hrstd="t" o:hr="t" fillcolor="#a0a0a0" stroked="f"/>
        </w:pict>
      </w:r>
    </w:p>
    <w:p w:rsidR="009B51AC" w:rsidRDefault="009B51AC" w:rsidP="009B51AC">
      <w:pPr>
        <w:pStyle w:val="berschrift2"/>
        <w:rPr>
          <w:rFonts w:cs="Times New Roman"/>
        </w:rPr>
      </w:pPr>
      <w:r>
        <w:t>3.2.1.3 Definition des Mengenbegriffs</w:t>
      </w:r>
    </w:p>
    <w:p w:rsidR="009B51AC" w:rsidRDefault="009B51AC" w:rsidP="009B51AC">
      <w:pPr>
        <w:pStyle w:val="StandardWeb"/>
      </w:pPr>
      <w:r>
        <w:t xml:space="preserve">Nach der historischen Entwicklung des Mengenbegriffs sowie seiner wissenschaftstheoretischen Einordnung kann nun die formale Definition erfolgen. Dabei folgt diese Arbeit der axiomatischen Mengenlehre nach </w:t>
      </w:r>
      <w:proofErr w:type="spellStart"/>
      <w:r>
        <w:t>Zermelo</w:t>
      </w:r>
      <w:proofErr w:type="spellEnd"/>
      <w:r>
        <w:t xml:space="preserve"> und Fraenkel, ohne an dieser Stelle bereits das vollständige </w:t>
      </w:r>
      <w:proofErr w:type="spellStart"/>
      <w:r>
        <w:t>Axiomensystem</w:t>
      </w:r>
      <w:proofErr w:type="spellEnd"/>
      <w:r>
        <w:t xml:space="preserve"> zu entwickeln. Ziel dieses Abschnittes ist die Einführung des grundlegenden mathematischen Objektes, auf dem sämtliche weiteren Konstruktionen des Funktionalen Raum-Zeit-Kohärenzsystems aufbauen.</w:t>
      </w:r>
    </w:p>
    <w:p w:rsidR="009B51AC" w:rsidRDefault="009B51AC" w:rsidP="009B51AC">
      <w:pPr>
        <w:pStyle w:val="StandardWeb"/>
      </w:pPr>
      <w:r>
        <w:t>Die moderne Mengenlehre definiert eine Menge ausschließlich über die Zugehörigkeit ihrer Elemente. Weder ihre physikalische Interpretation noch ihre Entstehung oder ihr späterer Verwendungszweck gehören zur Definition einer Menge. Maßgeblich ist allein, dass für jedes betrachtete Objekt eindeutig entschieden werden kann, ob es Element der Menge ist oder nicht [6], [</w:t>
      </w:r>
      <w:proofErr w:type="gramStart"/>
      <w:r>
        <w:t>82]–</w:t>
      </w:r>
      <w:proofErr w:type="gramEnd"/>
      <w:r>
        <w:t>[85].</w:t>
      </w:r>
    </w:p>
    <w:p w:rsidR="009B51AC" w:rsidRDefault="009B51AC" w:rsidP="009B51AC">
      <w:pPr>
        <w:pStyle w:val="berschrift3"/>
      </w:pPr>
      <w:r>
        <w:t>Definition 3.2.1 – Menge</w:t>
      </w:r>
    </w:p>
    <w:p w:rsidR="009B51AC" w:rsidRDefault="009B51AC" w:rsidP="009B51AC">
      <w:pPr>
        <w:pStyle w:val="StandardWeb"/>
      </w:pPr>
      <w:r>
        <w:t xml:space="preserve">Eine Menge </w:t>
      </w:r>
      <w:r>
        <w:rPr>
          <w:rStyle w:val="katex-mathml"/>
        </w:rPr>
        <w:t>MM</w:t>
      </w:r>
      <w:r>
        <w:rPr>
          <w:rStyle w:val="mord"/>
        </w:rPr>
        <w:t>M</w:t>
      </w:r>
      <w:r>
        <w:t xml:space="preserve"> ist eine wohldefinierte Zusammenfassung mathematischer Objekte, für die hinsichtlich jedes betrachteten Objektes eindeutig entschieden werden kann, ob dieses Element der Menge ist oder nicht.</w:t>
      </w:r>
    </w:p>
    <w:p w:rsidR="009B51AC" w:rsidRDefault="009B51AC" w:rsidP="009B51AC">
      <w:pPr>
        <w:pStyle w:val="StandardWeb"/>
      </w:pPr>
      <w:r>
        <w:t>Diese Definition enthält bereits zwei grundlegende Voraussetzungen. Erstens müssen die betrachteten Objekte eindeutig identifizierbar sein. Mehrdeutige oder unscharf bestimmte Objekte können innerhalb einer axiomatischen Mengenlehre nicht ohne zusätzliche Präzisierung verwendet werden. Zweitens muss die Zugehörigkeit eines Objektes unabhängig von subjektiven Bewertungen oder Interpretationen eindeutig feststellbar sein. Die Elementbeziehung besitzt damit ausschließlich formalen Charakter.</w:t>
      </w:r>
    </w:p>
    <w:p w:rsidR="009B51AC" w:rsidRDefault="009B51AC" w:rsidP="009B51AC">
      <w:pPr>
        <w:pStyle w:val="StandardWeb"/>
      </w:pPr>
      <w:r>
        <w:t xml:space="preserve">Ist das mathematische Objekt </w:t>
      </w:r>
      <m:oMath>
        <m:r>
          <w:rPr>
            <w:rStyle w:val="katex-mathml"/>
            <w:rFonts w:ascii="Cambria Math" w:hAnsi="Cambria Math"/>
          </w:rPr>
          <m:t>x</m:t>
        </m:r>
      </m:oMath>
      <w:r>
        <w:t xml:space="preserve"> Element der Menge </w:t>
      </w:r>
      <m:oMath>
        <m:r>
          <w:rPr>
            <w:rStyle w:val="katex-mathml"/>
            <w:rFonts w:ascii="Cambria Math" w:hAnsi="Cambria Math"/>
          </w:rPr>
          <m:t>M</m:t>
        </m:r>
      </m:oMath>
      <w:r>
        <w:t xml:space="preserve"> so schreibt man</w:t>
      </w:r>
    </w:p>
    <w:p w:rsidR="009B51AC" w:rsidRDefault="009B51AC" w:rsidP="009B51AC">
      <w:pPr>
        <w:pStyle w:val="Formel"/>
      </w:pPr>
      <m:oMath>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M</m:t>
        </m:r>
      </m:oMath>
      <w:r>
        <w:rPr>
          <w:rStyle w:val="HTMLCode"/>
          <w:rFonts w:ascii="Times New Roman" w:eastAsia="Calibri" w:hAnsi="Times New Roman" w:cs="Calibri"/>
        </w:rPr>
        <w:tab/>
      </w:r>
      <w:r>
        <w:rPr>
          <w:rStyle w:val="mord"/>
        </w:rPr>
        <w:t>(3.1)</w:t>
      </w:r>
    </w:p>
    <w:p w:rsidR="009B51AC" w:rsidRDefault="009B51AC" w:rsidP="009B51AC">
      <w:pPr>
        <w:pStyle w:val="StandardWeb"/>
      </w:pPr>
      <w:r>
        <w:t xml:space="preserve">Gehört das mathematische Objekt </w:t>
      </w:r>
      <m:oMath>
        <m:r>
          <w:rPr>
            <w:rStyle w:val="katex-mathml"/>
            <w:rFonts w:ascii="Cambria Math" w:hAnsi="Cambria Math"/>
          </w:rPr>
          <m:t>x</m:t>
        </m:r>
      </m:oMath>
      <w:r>
        <w:t xml:space="preserve"> nicht zur Menge </w:t>
      </w:r>
      <m:oMath>
        <m:r>
          <w:rPr>
            <w:rStyle w:val="katex-mathml"/>
            <w:rFonts w:ascii="Cambria Math" w:hAnsi="Cambria Math"/>
          </w:rPr>
          <m:t>M</m:t>
        </m:r>
      </m:oMath>
      <w:r>
        <w:t xml:space="preserve"> so gilt</w:t>
      </w:r>
    </w:p>
    <w:p w:rsidR="009B51AC" w:rsidRDefault="009B51AC" w:rsidP="009B51AC">
      <w:pPr>
        <w:pStyle w:val="Formel"/>
      </w:pPr>
      <m:oMath>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M</m:t>
        </m:r>
      </m:oMath>
      <w:bookmarkStart w:id="0" w:name="_GoBack"/>
      <w:bookmarkEnd w:id="0"/>
      <w:r>
        <w:rPr>
          <w:rStyle w:val="HTMLCode"/>
          <w:rFonts w:ascii="Times New Roman" w:eastAsia="Calibri" w:hAnsi="Times New Roman" w:cs="Calibri"/>
        </w:rPr>
        <w:tab/>
      </w:r>
      <w:r>
        <w:rPr>
          <w:rStyle w:val="mord"/>
        </w:rPr>
        <w:t>(3.2)</w:t>
      </w:r>
    </w:p>
    <w:p w:rsidR="009B51AC" w:rsidRDefault="009B51AC" w:rsidP="009B51AC">
      <w:pPr>
        <w:pStyle w:val="StandardWeb"/>
      </w:pPr>
      <w:r>
        <w:t>Die Gleichungen (3.1) und (3.2) bilden die elementare Sprache der Mengenlehre. Sämtliche späteren Konstruktionen – von Teilmengen über Relationen und Funktionen bis hin zu Vektorräumen, topologischen Räumen und algebraischen Strukturen – verwenden die Elementbeziehung als grundlegende mathematische Relation [6], [71], [73], [74].</w:t>
      </w:r>
    </w:p>
    <w:p w:rsidR="009B51AC" w:rsidRDefault="009B51AC" w:rsidP="009B51AC">
      <w:pPr>
        <w:pStyle w:val="StandardWeb"/>
      </w:pPr>
      <w:r>
        <w:t>Bereits an dieser Stelle wird deutlich, dass die Mengenlehre zwischen der Existenz eines mathematischen Objektes und seiner Zugehörigkeit zu einer bestimmten Menge unterscheidet. Ein Objekt kann gleichzeitig Element mehrerer Mengen sein oder keiner der aktuell betrachteten Mengen angehören. Aussagen über seine Eigenschaften, seine Herkunft oder seine funktionale Bedeutung werden dadurch jedoch nicht getroffen. Die Mengenlehre beschreibt ausschließlich die formale Zuordnung zwischen Objekt und Menge.</w:t>
      </w:r>
    </w:p>
    <w:p w:rsidR="009B51AC" w:rsidRDefault="009B51AC" w:rsidP="009B51AC">
      <w:pPr>
        <w:pStyle w:val="StandardWeb"/>
      </w:pPr>
      <w:r>
        <w:lastRenderedPageBreak/>
        <w:t>Für die weitere Entwicklung des Funktionalen Raum-Zeit-Kohärenzsystems besitzt diese Unterscheidung eine grundlegende Bedeutung. Auch im FRZK werden Zustände, Operatoren und weitere mathematische Objekte zunächst als Elemente geeigneter Mengen beschrieben. Die Zugehörigkeit zu einer Menge begründet jedoch noch keine funktionale Beziehung zwischen diesen Objekten. Funktionale Zusammenhänge entstehen erst durch die in den folgenden Abschnitten eingeführten Relationen, Abbildungen, Operatoren und Kohärenzbedingungen.</w:t>
      </w:r>
    </w:p>
    <w:p w:rsidR="009B51AC" w:rsidRDefault="009B51AC" w:rsidP="009B51AC">
      <w:pPr>
        <w:pStyle w:val="StandardWeb"/>
      </w:pPr>
      <w:r>
        <w:t>Die Mengenlehre stellt damit den formalen Träger der mathematischen Beschreibung bereit. Sie legt jedoch weder die Dynamik eines Systems noch die Wechselwirkungen seiner Elemente fest. Diese Fragestellungen bilden den eigentlichen Gegenstand des Funktionalen Raum-Zeit-Kohärenzsystems und werden deshalb erst in den späteren Kapiteln entwickelt.</w:t>
      </w:r>
    </w:p>
    <w:p w:rsidR="009B51AC" w:rsidRDefault="009B51AC" w:rsidP="009B51AC">
      <w:pPr>
        <w:pStyle w:val="StandardWeb"/>
      </w:pPr>
      <w:r>
        <w:t xml:space="preserve">Aus der Definition des Mengenbegriffs folgt unmittelbar das grundlegende Identitätsprinzip der Mengenlehre. Zwei Mengen gelten genau dann als identisch, wenn sie dieselben Elemente enthalten. Dieses </w:t>
      </w:r>
      <w:proofErr w:type="spellStart"/>
      <w:r>
        <w:rPr>
          <w:rStyle w:val="Fett"/>
        </w:rPr>
        <w:t>Extensionalitätsaxiom</w:t>
      </w:r>
      <w:proofErr w:type="spellEnd"/>
      <w:r>
        <w:t xml:space="preserve"> bildet den Ausgangspunkt der modernen axiomatischen Mengenlehre und wird im folgenden Abschnitt formal entwickelt.</w:t>
      </w:r>
    </w:p>
    <w:p w:rsidR="009B51AC" w:rsidRDefault="009B51AC" w:rsidP="009B51AC">
      <w:r>
        <w:pict>
          <v:rect id="_x0000_i1026" style="width:0;height:1.5pt" o:hralign="center" o:hrstd="t" o:hr="t" fillcolor="#a0a0a0" stroked="f"/>
        </w:pict>
      </w:r>
    </w:p>
    <w:p w:rsidR="009B51AC" w:rsidRDefault="009B51AC" w:rsidP="009B51AC">
      <w:pPr>
        <w:pStyle w:val="StandardWeb"/>
      </w:pPr>
      <w:r>
        <w:t xml:space="preserve">Diese Version passt deutlich besser zu Kapitel </w:t>
      </w:r>
      <w:r>
        <w:rPr>
          <w:rStyle w:val="Fett"/>
        </w:rPr>
        <w:t>3.1</w:t>
      </w:r>
      <w:r>
        <w:t>:</w:t>
      </w:r>
    </w:p>
    <w:p w:rsidR="009B51AC" w:rsidRDefault="009B51AC" w:rsidP="009B51AC">
      <w:pPr>
        <w:numPr>
          <w:ilvl w:val="0"/>
          <w:numId w:val="14"/>
        </w:numPr>
        <w:spacing w:before="100" w:beforeAutospacing="1" w:after="100" w:afterAutospacing="1"/>
      </w:pPr>
      <w:r>
        <w:t xml:space="preserve">wissenschaftliche Einordnung → Definition → mathematische Interpretation → Überleitung, </w:t>
      </w:r>
    </w:p>
    <w:p w:rsidR="009B51AC" w:rsidRDefault="009B51AC" w:rsidP="009B51AC">
      <w:pPr>
        <w:numPr>
          <w:ilvl w:val="0"/>
          <w:numId w:val="14"/>
        </w:numPr>
        <w:spacing w:before="100" w:beforeAutospacing="1" w:after="100" w:afterAutospacing="1"/>
      </w:pPr>
      <w:r>
        <w:t xml:space="preserve">Literatur ist an den fachlich relevanten Stellen eingebunden, </w:t>
      </w:r>
    </w:p>
    <w:p w:rsidR="009B51AC" w:rsidRDefault="009B51AC" w:rsidP="009B51AC">
      <w:pPr>
        <w:numPr>
          <w:ilvl w:val="0"/>
          <w:numId w:val="14"/>
        </w:numPr>
        <w:spacing w:before="100" w:beforeAutospacing="1" w:after="100" w:afterAutospacing="1"/>
      </w:pPr>
      <w:r>
        <w:t>die Gleichungsnummern sind konsistent (</w:t>
      </w:r>
      <w:r>
        <w:rPr>
          <w:rStyle w:val="Fett"/>
        </w:rPr>
        <w:t>3.1</w:t>
      </w:r>
      <w:r>
        <w:t xml:space="preserve"> und </w:t>
      </w:r>
      <w:r>
        <w:rPr>
          <w:rStyle w:val="Fett"/>
        </w:rPr>
        <w:t>3.2</w:t>
      </w:r>
      <w:r>
        <w:t xml:space="preserve">), </w:t>
      </w:r>
    </w:p>
    <w:p w:rsidR="009B51AC" w:rsidRDefault="009B51AC" w:rsidP="009B51AC">
      <w:pPr>
        <w:numPr>
          <w:ilvl w:val="0"/>
          <w:numId w:val="14"/>
        </w:numPr>
        <w:spacing w:before="100" w:beforeAutospacing="1" w:after="100" w:afterAutospacing="1"/>
      </w:pPr>
      <w:r>
        <w:t xml:space="preserve">die Überleitung zu </w:t>
      </w:r>
      <w:r>
        <w:rPr>
          <w:rStyle w:val="Fett"/>
        </w:rPr>
        <w:t>3.2.1.4 (</w:t>
      </w:r>
      <w:proofErr w:type="spellStart"/>
      <w:r>
        <w:rPr>
          <w:rStyle w:val="Fett"/>
        </w:rPr>
        <w:t>Extensionalitätsaxiom</w:t>
      </w:r>
      <w:proofErr w:type="spellEnd"/>
      <w:r>
        <w:rPr>
          <w:rStyle w:val="Fett"/>
        </w:rPr>
        <w:t>)</w:t>
      </w:r>
      <w:r>
        <w:t xml:space="preserve"> ist sauber vorbereitet.</w:t>
      </w:r>
    </w:p>
    <w:p w:rsidR="009E3E3E" w:rsidRPr="003A5F78" w:rsidRDefault="009E3E3E" w:rsidP="009B51AC">
      <w:pPr>
        <w:pStyle w:val="berschrift3"/>
      </w:pPr>
    </w:p>
    <w:sectPr w:rsidR="009E3E3E" w:rsidRPr="003A5F78">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F031BD9"/>
    <w:multiLevelType w:val="hybridMultilevel"/>
    <w:tmpl w:val="193087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D1243F"/>
    <w:multiLevelType w:val="multilevel"/>
    <w:tmpl w:val="6F4C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435A89"/>
    <w:multiLevelType w:val="multilevel"/>
    <w:tmpl w:val="F23EC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ED65E02"/>
    <w:multiLevelType w:val="multilevel"/>
    <w:tmpl w:val="994ED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BC04D8"/>
    <w:multiLevelType w:val="multilevel"/>
    <w:tmpl w:val="E7F89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B51123"/>
    <w:multiLevelType w:val="multilevel"/>
    <w:tmpl w:val="1F901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555871"/>
    <w:multiLevelType w:val="multilevel"/>
    <w:tmpl w:val="4B0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D57F56"/>
    <w:multiLevelType w:val="multilevel"/>
    <w:tmpl w:val="95264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7ED3418B"/>
    <w:multiLevelType w:val="multilevel"/>
    <w:tmpl w:val="5CE8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3"/>
  </w:num>
  <w:num w:numId="4">
    <w:abstractNumId w:val="11"/>
  </w:num>
  <w:num w:numId="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num>
  <w:num w:numId="7">
    <w:abstractNumId w:val="8"/>
  </w:num>
  <w:num w:numId="8">
    <w:abstractNumId w:val="6"/>
  </w:num>
  <w:num w:numId="9">
    <w:abstractNumId w:val="9"/>
  </w:num>
  <w:num w:numId="10">
    <w:abstractNumId w:val="5"/>
  </w:num>
  <w:num w:numId="11">
    <w:abstractNumId w:val="10"/>
  </w:num>
  <w:num w:numId="12">
    <w:abstractNumId w:val="12"/>
  </w:num>
  <w:num w:numId="13">
    <w:abstractNumId w:val="2"/>
  </w:num>
  <w:num w:numId="14">
    <w:abstractNumId w:val="7"/>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467F2"/>
    <w:rsid w:val="0006156C"/>
    <w:rsid w:val="00082214"/>
    <w:rsid w:val="000B0C44"/>
    <w:rsid w:val="000C2FC6"/>
    <w:rsid w:val="000D70EA"/>
    <w:rsid w:val="00103784"/>
    <w:rsid w:val="00106528"/>
    <w:rsid w:val="00153E4B"/>
    <w:rsid w:val="001830F2"/>
    <w:rsid w:val="0019229D"/>
    <w:rsid w:val="001F2130"/>
    <w:rsid w:val="0026649E"/>
    <w:rsid w:val="002B03D4"/>
    <w:rsid w:val="002D20FA"/>
    <w:rsid w:val="002D4202"/>
    <w:rsid w:val="00324306"/>
    <w:rsid w:val="00341905"/>
    <w:rsid w:val="003A0B73"/>
    <w:rsid w:val="003A5F78"/>
    <w:rsid w:val="00433BF7"/>
    <w:rsid w:val="00433ECB"/>
    <w:rsid w:val="00436FC4"/>
    <w:rsid w:val="0044266C"/>
    <w:rsid w:val="00446557"/>
    <w:rsid w:val="00461C7A"/>
    <w:rsid w:val="00483AB8"/>
    <w:rsid w:val="00500020"/>
    <w:rsid w:val="00521BE5"/>
    <w:rsid w:val="005454E6"/>
    <w:rsid w:val="00560B17"/>
    <w:rsid w:val="005B092C"/>
    <w:rsid w:val="005B5EFD"/>
    <w:rsid w:val="005E4CED"/>
    <w:rsid w:val="006016DC"/>
    <w:rsid w:val="00687548"/>
    <w:rsid w:val="006A00BA"/>
    <w:rsid w:val="006B3395"/>
    <w:rsid w:val="006F6768"/>
    <w:rsid w:val="00706409"/>
    <w:rsid w:val="00706FB7"/>
    <w:rsid w:val="007115B7"/>
    <w:rsid w:val="00736DF0"/>
    <w:rsid w:val="00752BAA"/>
    <w:rsid w:val="00795695"/>
    <w:rsid w:val="007A22F6"/>
    <w:rsid w:val="007A3369"/>
    <w:rsid w:val="007B7DE7"/>
    <w:rsid w:val="007E333F"/>
    <w:rsid w:val="007E47AB"/>
    <w:rsid w:val="008871CF"/>
    <w:rsid w:val="008B0C43"/>
    <w:rsid w:val="008C4935"/>
    <w:rsid w:val="008D1B14"/>
    <w:rsid w:val="009032D7"/>
    <w:rsid w:val="0094347E"/>
    <w:rsid w:val="00983B79"/>
    <w:rsid w:val="00997246"/>
    <w:rsid w:val="009A1D8D"/>
    <w:rsid w:val="009A595B"/>
    <w:rsid w:val="009B51AC"/>
    <w:rsid w:val="009D04D3"/>
    <w:rsid w:val="009E3E3E"/>
    <w:rsid w:val="00A307C9"/>
    <w:rsid w:val="00A756D8"/>
    <w:rsid w:val="00AA1976"/>
    <w:rsid w:val="00AA4222"/>
    <w:rsid w:val="00AC1440"/>
    <w:rsid w:val="00AE408D"/>
    <w:rsid w:val="00AF6392"/>
    <w:rsid w:val="00B04313"/>
    <w:rsid w:val="00B07AF9"/>
    <w:rsid w:val="00B53EE0"/>
    <w:rsid w:val="00B555C2"/>
    <w:rsid w:val="00B873C2"/>
    <w:rsid w:val="00BA5790"/>
    <w:rsid w:val="00BA664A"/>
    <w:rsid w:val="00BB30C9"/>
    <w:rsid w:val="00C2343F"/>
    <w:rsid w:val="00C6537C"/>
    <w:rsid w:val="00CD2089"/>
    <w:rsid w:val="00CE253A"/>
    <w:rsid w:val="00CF1387"/>
    <w:rsid w:val="00CF5192"/>
    <w:rsid w:val="00D313FE"/>
    <w:rsid w:val="00D33BDA"/>
    <w:rsid w:val="00D44FE7"/>
    <w:rsid w:val="00D542C6"/>
    <w:rsid w:val="00D67542"/>
    <w:rsid w:val="00D80CC8"/>
    <w:rsid w:val="00DC2E78"/>
    <w:rsid w:val="00E6450A"/>
    <w:rsid w:val="00EA1CC2"/>
    <w:rsid w:val="00EB1163"/>
    <w:rsid w:val="00EC35D8"/>
    <w:rsid w:val="00EE1062"/>
    <w:rsid w:val="00EE2879"/>
    <w:rsid w:val="00F32EA6"/>
    <w:rsid w:val="00F40666"/>
    <w:rsid w:val="00F46CF6"/>
    <w:rsid w:val="00F63881"/>
    <w:rsid w:val="00F74A0F"/>
    <w:rsid w:val="00FB58C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140E61"/>
  <w15:chartTrackingRefBased/>
  <w15:docId w15:val="{3ACB7B73-2C84-444E-B36F-9C979268C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433BF7"/>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433BF7"/>
    <w:pPr>
      <w:outlineLvl w:val="0"/>
    </w:pPr>
    <w:rPr>
      <w:b/>
      <w:sz w:val="40"/>
      <w:szCs w:val="40"/>
    </w:rPr>
  </w:style>
  <w:style w:type="paragraph" w:styleId="berschrift2">
    <w:name w:val="heading 2"/>
    <w:basedOn w:val="Standard"/>
    <w:next w:val="Standard"/>
    <w:link w:val="berschrift2Zchn"/>
    <w:uiPriority w:val="9"/>
    <w:unhideWhenUsed/>
    <w:qFormat/>
    <w:rsid w:val="00433BF7"/>
    <w:pPr>
      <w:outlineLvl w:val="1"/>
    </w:pPr>
    <w:rPr>
      <w:b/>
      <w:sz w:val="36"/>
      <w:szCs w:val="36"/>
    </w:rPr>
  </w:style>
  <w:style w:type="paragraph" w:styleId="berschrift3">
    <w:name w:val="heading 3"/>
    <w:basedOn w:val="Standard"/>
    <w:next w:val="Standard"/>
    <w:link w:val="berschrift3Zchn"/>
    <w:uiPriority w:val="9"/>
    <w:unhideWhenUsed/>
    <w:qFormat/>
    <w:rsid w:val="00433BF7"/>
    <w:pPr>
      <w:outlineLvl w:val="2"/>
    </w:pPr>
    <w:rPr>
      <w:b/>
      <w:sz w:val="32"/>
      <w:szCs w:val="32"/>
    </w:rPr>
  </w:style>
  <w:style w:type="paragraph" w:styleId="berschrift4">
    <w:name w:val="heading 4"/>
    <w:basedOn w:val="Standard"/>
    <w:next w:val="Standard"/>
    <w:link w:val="berschrift4Zchn"/>
    <w:uiPriority w:val="9"/>
    <w:unhideWhenUsed/>
    <w:qFormat/>
    <w:rsid w:val="00433BF7"/>
    <w:pPr>
      <w:outlineLvl w:val="3"/>
    </w:pPr>
    <w:rPr>
      <w:b/>
      <w:sz w:val="28"/>
      <w:szCs w:val="28"/>
    </w:rPr>
  </w:style>
  <w:style w:type="paragraph" w:styleId="berschrift5">
    <w:name w:val="heading 5"/>
    <w:basedOn w:val="Standard"/>
    <w:next w:val="Standard"/>
    <w:link w:val="berschrift5Zchn"/>
    <w:uiPriority w:val="9"/>
    <w:semiHidden/>
    <w:unhideWhenUsed/>
    <w:qFormat/>
    <w:rsid w:val="00433BF7"/>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433BF7"/>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rsid w:val="00433BF7"/>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433BF7"/>
  </w:style>
  <w:style w:type="character" w:customStyle="1" w:styleId="berschrift1Zchn">
    <w:name w:val="Überschrift 1 Zchn"/>
    <w:link w:val="berschrift1"/>
    <w:uiPriority w:val="9"/>
    <w:rsid w:val="00433BF7"/>
    <w:rPr>
      <w:rFonts w:eastAsia="Times New Roman" w:cs="Calibri"/>
      <w:b/>
      <w:bCs/>
      <w:sz w:val="40"/>
      <w:szCs w:val="40"/>
    </w:rPr>
  </w:style>
  <w:style w:type="character" w:customStyle="1" w:styleId="berschrift2Zchn">
    <w:name w:val="Überschrift 2 Zchn"/>
    <w:link w:val="berschrift2"/>
    <w:uiPriority w:val="9"/>
    <w:rsid w:val="00433BF7"/>
    <w:rPr>
      <w:rFonts w:eastAsia="Times New Roman" w:cs="Calibri"/>
      <w:b/>
      <w:bCs/>
      <w:sz w:val="36"/>
      <w:szCs w:val="36"/>
    </w:rPr>
  </w:style>
  <w:style w:type="character" w:customStyle="1" w:styleId="berschrift3Zchn">
    <w:name w:val="Überschrift 3 Zchn"/>
    <w:link w:val="berschrift3"/>
    <w:uiPriority w:val="9"/>
    <w:rsid w:val="00433BF7"/>
    <w:rPr>
      <w:rFonts w:eastAsia="Times New Roman" w:cs="Calibri"/>
      <w:b/>
      <w:bCs/>
      <w:sz w:val="32"/>
      <w:szCs w:val="32"/>
    </w:rPr>
  </w:style>
  <w:style w:type="character" w:customStyle="1" w:styleId="berschrift4Zchn">
    <w:name w:val="Überschrift 4 Zchn"/>
    <w:link w:val="berschrift4"/>
    <w:uiPriority w:val="9"/>
    <w:rsid w:val="00433BF7"/>
    <w:rPr>
      <w:rFonts w:eastAsia="Times New Roman" w:cs="Calibri"/>
      <w:b/>
      <w:bCs/>
      <w:sz w:val="28"/>
      <w:szCs w:val="28"/>
    </w:rPr>
  </w:style>
  <w:style w:type="character" w:customStyle="1" w:styleId="berschrift5Zchn">
    <w:name w:val="Überschrift 5 Zchn"/>
    <w:link w:val="berschrift5"/>
    <w:uiPriority w:val="9"/>
    <w:semiHidden/>
    <w:rsid w:val="00433BF7"/>
    <w:rPr>
      <w:rFonts w:cs="Calibri"/>
      <w:b/>
      <w:bCs/>
      <w:sz w:val="22"/>
      <w:szCs w:val="24"/>
    </w:rPr>
  </w:style>
  <w:style w:type="character" w:customStyle="1" w:styleId="berschrift6Zchn">
    <w:name w:val="Überschrift 6 Zchn"/>
    <w:link w:val="berschrift6"/>
    <w:uiPriority w:val="9"/>
    <w:semiHidden/>
    <w:rsid w:val="00433BF7"/>
    <w:rPr>
      <w:rFonts w:cs="Calibri"/>
      <w:b/>
      <w:bCs/>
    </w:rPr>
  </w:style>
  <w:style w:type="paragraph" w:customStyle="1" w:styleId="Code">
    <w:name w:val="Code"/>
    <w:basedOn w:val="Standard"/>
    <w:link w:val="CodeZchn"/>
    <w:qFormat/>
    <w:rsid w:val="00433BF7"/>
    <w:rPr>
      <w:rFonts w:ascii="Courier New" w:hAnsi="Courier New"/>
    </w:rPr>
  </w:style>
  <w:style w:type="character" w:customStyle="1" w:styleId="CodeZchn">
    <w:name w:val="Code Zchn"/>
    <w:link w:val="Code"/>
    <w:rsid w:val="00433BF7"/>
    <w:rPr>
      <w:rFonts w:ascii="Courier New" w:eastAsia="Times New Roman" w:hAnsi="Courier New" w:cs="Calibri"/>
      <w:bCs/>
      <w:sz w:val="24"/>
      <w:szCs w:val="24"/>
    </w:rPr>
  </w:style>
  <w:style w:type="character" w:styleId="IntensiveHervorhebung">
    <w:name w:val="Intense Emphasis"/>
    <w:uiPriority w:val="21"/>
    <w:rsid w:val="00433BF7"/>
    <w:rPr>
      <w:i/>
      <w:iCs/>
      <w:color w:val="4472C4"/>
    </w:rPr>
  </w:style>
  <w:style w:type="table" w:customStyle="1" w:styleId="TableNormal">
    <w:name w:val="TableNormal"/>
    <w:rsid w:val="00433BF7"/>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433BF7"/>
    <w:pPr>
      <w:keepNext/>
      <w:keepLines/>
      <w:spacing w:before="480" w:line="259" w:lineRule="auto"/>
    </w:pPr>
    <w:rPr>
      <w:rFonts w:eastAsia="Calibri"/>
      <w:b/>
      <w:sz w:val="44"/>
      <w:szCs w:val="72"/>
    </w:rPr>
  </w:style>
  <w:style w:type="character" w:customStyle="1" w:styleId="TitelZchn">
    <w:name w:val="Titel Zchn"/>
    <w:link w:val="Titel"/>
    <w:uiPriority w:val="10"/>
    <w:rsid w:val="00433BF7"/>
    <w:rPr>
      <w:rFonts w:cs="Calibri"/>
      <w:b/>
      <w:bCs/>
      <w:sz w:val="44"/>
      <w:szCs w:val="72"/>
    </w:rPr>
  </w:style>
  <w:style w:type="paragraph" w:styleId="Untertitel">
    <w:name w:val="Subtitle"/>
    <w:basedOn w:val="Standard"/>
    <w:next w:val="Standard"/>
    <w:link w:val="UntertitelZchn"/>
    <w:uiPriority w:val="11"/>
    <w:qFormat/>
    <w:rsid w:val="00433BF7"/>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433BF7"/>
    <w:rPr>
      <w:rFonts w:ascii="Georgia" w:eastAsia="Georgia" w:hAnsi="Georgia" w:cs="Georgia"/>
      <w:bCs/>
      <w:i/>
      <w:color w:val="666666"/>
      <w:sz w:val="48"/>
      <w:szCs w:val="48"/>
    </w:rPr>
  </w:style>
  <w:style w:type="paragraph" w:customStyle="1" w:styleId="Aufzhlung">
    <w:name w:val="Aufzählung"/>
    <w:basedOn w:val="Standard"/>
    <w:link w:val="AufzhlungZchn"/>
    <w:qFormat/>
    <w:rsid w:val="00433BF7"/>
    <w:pPr>
      <w:numPr>
        <w:numId w:val="1"/>
      </w:numPr>
      <w:ind w:left="714" w:hanging="357"/>
    </w:pPr>
    <w:rPr>
      <w:rFonts w:eastAsia="Calibri"/>
    </w:rPr>
  </w:style>
  <w:style w:type="character" w:customStyle="1" w:styleId="AufzhlungZchn">
    <w:name w:val="Aufzählung Zchn"/>
    <w:link w:val="Aufzhlung"/>
    <w:rsid w:val="00433BF7"/>
    <w:rPr>
      <w:rFonts w:cs="Calibri"/>
      <w:bCs/>
      <w:sz w:val="24"/>
      <w:szCs w:val="24"/>
    </w:rPr>
  </w:style>
  <w:style w:type="paragraph" w:styleId="Zitat">
    <w:name w:val="Quote"/>
    <w:basedOn w:val="Standard"/>
    <w:next w:val="Standard"/>
    <w:link w:val="ZitatZchn"/>
    <w:autoRedefine/>
    <w:uiPriority w:val="29"/>
    <w:qFormat/>
    <w:rsid w:val="00433BF7"/>
    <w:pPr>
      <w:tabs>
        <w:tab w:val="left" w:pos="1134"/>
      </w:tabs>
      <w:spacing w:before="240" w:after="240"/>
      <w:ind w:left="1134" w:right="1134"/>
    </w:pPr>
    <w:rPr>
      <w:i/>
      <w:iCs/>
      <w:color w:val="404040"/>
    </w:rPr>
  </w:style>
  <w:style w:type="character" w:customStyle="1" w:styleId="ZitatZchn">
    <w:name w:val="Zitat Zchn"/>
    <w:link w:val="Zitat"/>
    <w:uiPriority w:val="29"/>
    <w:rsid w:val="00433BF7"/>
    <w:rPr>
      <w:rFonts w:eastAsia="Times New Roman" w:cs="Calibri"/>
      <w:bCs/>
      <w:i/>
      <w:iCs/>
      <w:color w:val="404040"/>
      <w:sz w:val="24"/>
      <w:szCs w:val="24"/>
    </w:rPr>
  </w:style>
  <w:style w:type="paragraph" w:customStyle="1" w:styleId="Abbildungsname">
    <w:name w:val="Abbildungsname"/>
    <w:basedOn w:val="Standard"/>
    <w:link w:val="AbbildungsnameZchn"/>
    <w:qFormat/>
    <w:rsid w:val="00433BF7"/>
    <w:pPr>
      <w:spacing w:after="240" w:line="259" w:lineRule="auto"/>
      <w:jc w:val="center"/>
    </w:pPr>
    <w:rPr>
      <w:i/>
      <w:sz w:val="22"/>
    </w:rPr>
  </w:style>
  <w:style w:type="character" w:customStyle="1" w:styleId="AbbildungsnameZchn">
    <w:name w:val="Abbildungsname Zchn"/>
    <w:link w:val="Abbildungsname"/>
    <w:rsid w:val="00433BF7"/>
    <w:rPr>
      <w:rFonts w:eastAsia="Times New Roman" w:cs="Calibri"/>
      <w:bCs/>
      <w:i/>
      <w:sz w:val="22"/>
      <w:szCs w:val="24"/>
    </w:rPr>
  </w:style>
  <w:style w:type="paragraph" w:customStyle="1" w:styleId="Tabelleninhalt">
    <w:name w:val="Tabelleninhalt"/>
    <w:basedOn w:val="Standard"/>
    <w:link w:val="TabelleninhaltZchn"/>
    <w:qFormat/>
    <w:rsid w:val="00433BF7"/>
    <w:pPr>
      <w:spacing w:after="0" w:line="360" w:lineRule="auto"/>
    </w:pPr>
  </w:style>
  <w:style w:type="character" w:customStyle="1" w:styleId="TabelleninhaltZchn">
    <w:name w:val="Tabelleninhalt Zchn"/>
    <w:link w:val="Tabelleninhalt"/>
    <w:rsid w:val="00433BF7"/>
    <w:rPr>
      <w:rFonts w:eastAsia="Times New Roman" w:cs="Calibri"/>
      <w:bCs/>
      <w:sz w:val="24"/>
      <w:szCs w:val="24"/>
    </w:rPr>
  </w:style>
  <w:style w:type="paragraph" w:styleId="StandardWeb">
    <w:name w:val="Normal (Web)"/>
    <w:basedOn w:val="Standard"/>
    <w:uiPriority w:val="99"/>
    <w:semiHidden/>
    <w:unhideWhenUsed/>
    <w:rsid w:val="00433BF7"/>
    <w:pPr>
      <w:spacing w:before="100" w:beforeAutospacing="1" w:after="100" w:afterAutospacing="1"/>
    </w:pPr>
    <w:rPr>
      <w:rFonts w:ascii="Times New Roman" w:hAnsi="Times New Roman"/>
    </w:rPr>
  </w:style>
  <w:style w:type="character" w:styleId="Fett">
    <w:name w:val="Strong"/>
    <w:uiPriority w:val="22"/>
    <w:qFormat/>
    <w:rsid w:val="00433BF7"/>
    <w:rPr>
      <w:b/>
      <w:bCs/>
    </w:rPr>
  </w:style>
  <w:style w:type="paragraph" w:styleId="Listenabsatz">
    <w:name w:val="List Paragraph"/>
    <w:basedOn w:val="Standard"/>
    <w:uiPriority w:val="34"/>
    <w:rsid w:val="00433BF7"/>
    <w:pPr>
      <w:ind w:left="720"/>
      <w:contextualSpacing/>
    </w:pPr>
  </w:style>
  <w:style w:type="character" w:styleId="Platzhaltertext">
    <w:name w:val="Placeholder Text"/>
    <w:uiPriority w:val="99"/>
    <w:semiHidden/>
    <w:rsid w:val="00433BF7"/>
    <w:rPr>
      <w:color w:val="808080"/>
    </w:rPr>
  </w:style>
  <w:style w:type="paragraph" w:customStyle="1" w:styleId="Formel">
    <w:name w:val="Formel"/>
    <w:basedOn w:val="Standard"/>
    <w:link w:val="FormelZchn"/>
    <w:autoRedefine/>
    <w:qFormat/>
    <w:rsid w:val="00433BF7"/>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433BF7"/>
    <w:rPr>
      <w:rFonts w:ascii="Cambria Math" w:hAnsi="Cambria Math" w:cs="Calibri"/>
      <w:bCs/>
      <w:i/>
      <w:iCs/>
      <w:sz w:val="24"/>
      <w:szCs w:val="24"/>
    </w:rPr>
  </w:style>
  <w:style w:type="paragraph" w:customStyle="1" w:styleId="Zahlenliste">
    <w:name w:val="Zahlenliste"/>
    <w:basedOn w:val="Listenabsatz"/>
    <w:link w:val="ZahlenlisteZchn"/>
    <w:autoRedefine/>
    <w:qFormat/>
    <w:rsid w:val="00433BF7"/>
    <w:pPr>
      <w:numPr>
        <w:numId w:val="5"/>
      </w:numPr>
      <w:spacing w:line="360" w:lineRule="auto"/>
      <w:ind w:left="1077" w:hanging="357"/>
    </w:pPr>
  </w:style>
  <w:style w:type="character" w:customStyle="1" w:styleId="ZahlenlisteZchn">
    <w:name w:val="Zahlenliste Zchn"/>
    <w:link w:val="Zahlenliste"/>
    <w:rsid w:val="00433BF7"/>
    <w:rPr>
      <w:rFonts w:eastAsia="Times New Roman" w:cs="Calibri"/>
      <w:bCs/>
      <w:sz w:val="24"/>
      <w:szCs w:val="24"/>
    </w:rPr>
  </w:style>
  <w:style w:type="paragraph" w:customStyle="1" w:styleId="Tiefgestellt">
    <w:name w:val="Tiefgestellt"/>
    <w:link w:val="TiefgestelltZchn"/>
    <w:autoRedefine/>
    <w:qFormat/>
    <w:rsid w:val="00433BF7"/>
    <w:rPr>
      <w:rFonts w:eastAsia="Times New Roman"/>
      <w:sz w:val="24"/>
      <w:szCs w:val="24"/>
      <w:vertAlign w:val="subscript"/>
    </w:rPr>
  </w:style>
  <w:style w:type="character" w:customStyle="1" w:styleId="TiefgestelltZchn">
    <w:name w:val="Tiefgestellt Zchn"/>
    <w:link w:val="Tiefgestellt"/>
    <w:rsid w:val="00433BF7"/>
    <w:rPr>
      <w:rFonts w:eastAsia="Times New Roman"/>
      <w:sz w:val="24"/>
      <w:szCs w:val="24"/>
      <w:vertAlign w:val="subscript"/>
    </w:rPr>
  </w:style>
  <w:style w:type="paragraph" w:customStyle="1" w:styleId="Quellenverzeichnis">
    <w:name w:val="Quellenverzeichnis"/>
    <w:link w:val="QuellenverzeichnisZchn"/>
    <w:autoRedefine/>
    <w:qFormat/>
    <w:rsid w:val="00433BF7"/>
    <w:pPr>
      <w:tabs>
        <w:tab w:val="num" w:pos="720"/>
      </w:tabs>
      <w:ind w:left="720" w:hanging="360"/>
    </w:pPr>
    <w:rPr>
      <w:i/>
      <w:sz w:val="22"/>
      <w:szCs w:val="22"/>
      <w:lang w:eastAsia="en-US"/>
    </w:rPr>
  </w:style>
  <w:style w:type="character" w:customStyle="1" w:styleId="QuellenverzeichnisZchn">
    <w:name w:val="Quellenverzeichnis Zchn"/>
    <w:link w:val="Quellenverzeichnis"/>
    <w:rsid w:val="00433BF7"/>
    <w:rPr>
      <w:i/>
      <w:sz w:val="22"/>
      <w:szCs w:val="22"/>
      <w:lang w:eastAsia="en-US"/>
    </w:rPr>
  </w:style>
  <w:style w:type="paragraph" w:customStyle="1" w:styleId="FormelEinzeln">
    <w:name w:val="FormelEinzeln"/>
    <w:basedOn w:val="Formel"/>
    <w:link w:val="FormelEinzelnZchn"/>
    <w:qFormat/>
    <w:rsid w:val="00433BF7"/>
    <w:pPr>
      <w:ind w:left="0" w:firstLine="0"/>
    </w:pPr>
    <w:rPr>
      <w:i w:val="0"/>
      <w:sz w:val="36"/>
      <w:szCs w:val="36"/>
    </w:rPr>
  </w:style>
  <w:style w:type="character" w:customStyle="1" w:styleId="FormelEinzelnZchn">
    <w:name w:val="FormelEinzeln Zchn"/>
    <w:link w:val="FormelEinzeln"/>
    <w:rsid w:val="00433BF7"/>
    <w:rPr>
      <w:rFonts w:ascii="Cambria Math" w:hAnsi="Cambria Math" w:cs="Calibri"/>
      <w:bCs/>
      <w:iCs/>
      <w:sz w:val="36"/>
      <w:szCs w:val="36"/>
    </w:rPr>
  </w:style>
  <w:style w:type="paragraph" w:customStyle="1" w:styleId="SQLTabellennamen">
    <w:name w:val="SQLTabellennamen"/>
    <w:link w:val="SQLTabellennamenZchn"/>
    <w:qFormat/>
    <w:rsid w:val="00433BF7"/>
    <w:rPr>
      <w:rFonts w:ascii="Courier New" w:eastAsia="Times New Roman" w:hAnsi="Courier New"/>
      <w:b/>
      <w:sz w:val="22"/>
      <w:szCs w:val="24"/>
    </w:rPr>
  </w:style>
  <w:style w:type="character" w:customStyle="1" w:styleId="SQLTabellennamenZchn">
    <w:name w:val="SQLTabellennamen Zchn"/>
    <w:link w:val="SQLTabellennamen"/>
    <w:rsid w:val="00433BF7"/>
    <w:rPr>
      <w:rFonts w:ascii="Courier New" w:eastAsia="Times New Roman" w:hAnsi="Courier New"/>
      <w:b/>
      <w:sz w:val="22"/>
      <w:szCs w:val="24"/>
    </w:rPr>
  </w:style>
  <w:style w:type="character" w:customStyle="1" w:styleId="SQLTabellen">
    <w:name w:val="SQLTabellen"/>
    <w:uiPriority w:val="1"/>
    <w:rsid w:val="00433BF7"/>
    <w:rPr>
      <w:rFonts w:ascii="Courier New" w:hAnsi="Courier New"/>
      <w:b/>
      <w:sz w:val="22"/>
    </w:rPr>
  </w:style>
  <w:style w:type="character" w:styleId="Hervorhebung">
    <w:name w:val="Emphasis"/>
    <w:basedOn w:val="Absatz-Standardschriftart"/>
    <w:uiPriority w:val="20"/>
    <w:qFormat/>
    <w:rsid w:val="00FB58CE"/>
    <w:rPr>
      <w:i/>
      <w:iCs/>
    </w:rPr>
  </w:style>
  <w:style w:type="character" w:customStyle="1" w:styleId="katex-mathml">
    <w:name w:val="katex-mathml"/>
    <w:basedOn w:val="Absatz-Standardschriftart"/>
    <w:rsid w:val="00FB58CE"/>
  </w:style>
  <w:style w:type="character" w:customStyle="1" w:styleId="mord">
    <w:name w:val="mord"/>
    <w:basedOn w:val="Absatz-Standardschriftart"/>
    <w:rsid w:val="00FB58CE"/>
  </w:style>
  <w:style w:type="character" w:customStyle="1" w:styleId="mrel">
    <w:name w:val="mrel"/>
    <w:basedOn w:val="Absatz-Standardschriftart"/>
    <w:rsid w:val="00FB58CE"/>
  </w:style>
  <w:style w:type="character" w:styleId="HTMLCode">
    <w:name w:val="HTML Code"/>
    <w:basedOn w:val="Absatz-Standardschriftart"/>
    <w:uiPriority w:val="99"/>
    <w:semiHidden/>
    <w:unhideWhenUsed/>
    <w:rsid w:val="00FB58CE"/>
    <w:rPr>
      <w:rFonts w:ascii="Courier New" w:eastAsia="Times New Roman" w:hAnsi="Courier New" w:cs="Courier New"/>
      <w:sz w:val="20"/>
      <w:szCs w:val="20"/>
    </w:rPr>
  </w:style>
  <w:style w:type="character" w:customStyle="1" w:styleId="mopen">
    <w:name w:val="mopen"/>
    <w:basedOn w:val="Absatz-Standardschriftart"/>
    <w:rsid w:val="00FB58CE"/>
  </w:style>
  <w:style w:type="character" w:customStyle="1" w:styleId="mclose">
    <w:name w:val="mclose"/>
    <w:basedOn w:val="Absatz-Standardschriftart"/>
    <w:rsid w:val="00FB58CE"/>
  </w:style>
  <w:style w:type="character" w:customStyle="1" w:styleId="mpunct">
    <w:name w:val="mpunct"/>
    <w:basedOn w:val="Absatz-Standardschriftart"/>
    <w:rsid w:val="00FB58CE"/>
  </w:style>
  <w:style w:type="character" w:customStyle="1" w:styleId="mbin">
    <w:name w:val="mbin"/>
    <w:basedOn w:val="Absatz-Standardschriftart"/>
    <w:rsid w:val="00FB58CE"/>
  </w:style>
  <w:style w:type="paragraph" w:customStyle="1" w:styleId="msonormal0">
    <w:name w:val="msonormal"/>
    <w:basedOn w:val="Standard"/>
    <w:rsid w:val="00FB58CE"/>
    <w:pPr>
      <w:spacing w:before="100" w:beforeAutospacing="1" w:after="100" w:afterAutospacing="1"/>
    </w:pPr>
    <w:rPr>
      <w:rFonts w:ascii="Times New Roman" w:hAnsi="Times New Roman" w:cs="Times New Roman"/>
      <w:bCs w:val="0"/>
    </w:rPr>
  </w:style>
  <w:style w:type="character" w:customStyle="1" w:styleId="pdq2pgselectionanchor">
    <w:name w:val="pdq2pg_selectionanchor"/>
    <w:basedOn w:val="Absatz-Standardschriftart"/>
    <w:rsid w:val="00FB58CE"/>
  </w:style>
  <w:style w:type="character" w:customStyle="1" w:styleId="katex">
    <w:name w:val="katex"/>
    <w:basedOn w:val="Absatz-Standardschriftart"/>
    <w:rsid w:val="00FB58CE"/>
  </w:style>
  <w:style w:type="character" w:customStyle="1" w:styleId="katex-html">
    <w:name w:val="katex-html"/>
    <w:basedOn w:val="Absatz-Standardschriftart"/>
    <w:rsid w:val="00FB58CE"/>
  </w:style>
  <w:style w:type="character" w:customStyle="1" w:styleId="base">
    <w:name w:val="base"/>
    <w:basedOn w:val="Absatz-Standardschriftart"/>
    <w:rsid w:val="00FB58CE"/>
  </w:style>
  <w:style w:type="character" w:customStyle="1" w:styleId="strut">
    <w:name w:val="strut"/>
    <w:basedOn w:val="Absatz-Standardschriftart"/>
    <w:rsid w:val="00FB58CE"/>
  </w:style>
  <w:style w:type="character" w:customStyle="1" w:styleId="katex-display">
    <w:name w:val="katex-display"/>
    <w:basedOn w:val="Absatz-Standardschriftart"/>
    <w:rsid w:val="00FB58CE"/>
  </w:style>
  <w:style w:type="character" w:customStyle="1" w:styleId="mspace">
    <w:name w:val="mspace"/>
    <w:basedOn w:val="Absatz-Standardschriftart"/>
    <w:rsid w:val="00FB58CE"/>
  </w:style>
  <w:style w:type="character" w:customStyle="1" w:styleId="tag">
    <w:name w:val="tag"/>
    <w:basedOn w:val="Absatz-Standardschriftart"/>
    <w:rsid w:val="00FB58CE"/>
  </w:style>
  <w:style w:type="character" w:customStyle="1" w:styleId="msupsub">
    <w:name w:val="msupsub"/>
    <w:basedOn w:val="Absatz-Standardschriftart"/>
    <w:rsid w:val="00FB58CE"/>
  </w:style>
  <w:style w:type="character" w:customStyle="1" w:styleId="vlist-t">
    <w:name w:val="vlist-t"/>
    <w:basedOn w:val="Absatz-Standardschriftart"/>
    <w:rsid w:val="00FB58CE"/>
  </w:style>
  <w:style w:type="character" w:customStyle="1" w:styleId="vlist-r">
    <w:name w:val="vlist-r"/>
    <w:basedOn w:val="Absatz-Standardschriftart"/>
    <w:rsid w:val="00FB58CE"/>
  </w:style>
  <w:style w:type="character" w:customStyle="1" w:styleId="vlist">
    <w:name w:val="vlist"/>
    <w:basedOn w:val="Absatz-Standardschriftart"/>
    <w:rsid w:val="00FB58CE"/>
  </w:style>
  <w:style w:type="character" w:customStyle="1" w:styleId="pstrut">
    <w:name w:val="pstrut"/>
    <w:basedOn w:val="Absatz-Standardschriftart"/>
    <w:rsid w:val="00FB58CE"/>
  </w:style>
  <w:style w:type="character" w:customStyle="1" w:styleId="sizing">
    <w:name w:val="sizing"/>
    <w:basedOn w:val="Absatz-Standardschriftart"/>
    <w:rsid w:val="00FB58CE"/>
  </w:style>
  <w:style w:type="character" w:customStyle="1" w:styleId="vlist-s">
    <w:name w:val="vlist-s"/>
    <w:basedOn w:val="Absatz-Standardschriftart"/>
    <w:rsid w:val="00FB58CE"/>
  </w:style>
  <w:style w:type="character" w:customStyle="1" w:styleId="minner">
    <w:name w:val="minner"/>
    <w:basedOn w:val="Absatz-Standardschriftart"/>
    <w:rsid w:val="00FB58CE"/>
  </w:style>
  <w:style w:type="character" w:customStyle="1" w:styleId="mtable">
    <w:name w:val="mtable"/>
    <w:basedOn w:val="Absatz-Standardschriftart"/>
    <w:rsid w:val="00FB58CE"/>
  </w:style>
  <w:style w:type="character" w:customStyle="1" w:styleId="col-align-r">
    <w:name w:val="col-align-r"/>
    <w:basedOn w:val="Absatz-Standardschriftart"/>
    <w:rsid w:val="00FB58CE"/>
  </w:style>
  <w:style w:type="character" w:customStyle="1" w:styleId="col-align-l">
    <w:name w:val="col-align-l"/>
    <w:basedOn w:val="Absatz-Standardschriftart"/>
    <w:rsid w:val="00FB58CE"/>
  </w:style>
  <w:style w:type="character" w:customStyle="1" w:styleId="delimsizing">
    <w:name w:val="delimsizing"/>
    <w:basedOn w:val="Absatz-Standardschriftart"/>
    <w:rsid w:val="00FB58CE"/>
  </w:style>
  <w:style w:type="character" w:customStyle="1" w:styleId="mop">
    <w:name w:val="mop"/>
    <w:basedOn w:val="Absatz-Standardschriftart"/>
    <w:rsid w:val="00FB58CE"/>
  </w:style>
  <w:style w:type="character" w:customStyle="1" w:styleId="arraycolsep">
    <w:name w:val="arraycolsep"/>
    <w:basedOn w:val="Absatz-Standardschriftart"/>
    <w:rsid w:val="00FB58CE"/>
  </w:style>
  <w:style w:type="character" w:customStyle="1" w:styleId="thinbox">
    <w:name w:val="thinbox"/>
    <w:basedOn w:val="Absatz-Standardschriftart"/>
    <w:rsid w:val="00FB58CE"/>
  </w:style>
  <w:style w:type="character" w:customStyle="1" w:styleId="llap">
    <w:name w:val="llap"/>
    <w:basedOn w:val="Absatz-Standardschriftart"/>
    <w:rsid w:val="00FB58CE"/>
  </w:style>
  <w:style w:type="character" w:customStyle="1" w:styleId="inner">
    <w:name w:val="inner"/>
    <w:basedOn w:val="Absatz-Standardschriftart"/>
    <w:rsid w:val="00FB58CE"/>
  </w:style>
  <w:style w:type="character" w:customStyle="1" w:styleId="fix">
    <w:name w:val="fix"/>
    <w:basedOn w:val="Absatz-Standardschriftart"/>
    <w:rsid w:val="00FB58CE"/>
  </w:style>
  <w:style w:type="paragraph" w:customStyle="1" w:styleId="pdq2pgselectionanchorcontainer">
    <w:name w:val="pdq2pg_selectionanchorcontainer"/>
    <w:basedOn w:val="Standard"/>
    <w:rsid w:val="00FB58CE"/>
    <w:pPr>
      <w:spacing w:before="100" w:beforeAutospacing="1" w:after="100" w:afterAutospacing="1"/>
    </w:pPr>
    <w:rPr>
      <w:rFonts w:ascii="Times New Roman" w:hAnsi="Times New Roman" w:cs="Times New Roman"/>
      <w:bCs w:val="0"/>
    </w:rPr>
  </w:style>
  <w:style w:type="character" w:customStyle="1" w:styleId="mtight">
    <w:name w:val="mtight"/>
    <w:basedOn w:val="Absatz-Standardschriftart"/>
    <w:rsid w:val="00752B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10</Pages>
  <Words>4411</Words>
  <Characters>27794</Characters>
  <Application>Microsoft Office Word</Application>
  <DocSecurity>0</DocSecurity>
  <Lines>231</Lines>
  <Paragraphs>64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6</cp:revision>
  <dcterms:created xsi:type="dcterms:W3CDTF">2026-07-27T00:43:00Z</dcterms:created>
  <dcterms:modified xsi:type="dcterms:W3CDTF">2026-07-27T05:19:00Z</dcterms:modified>
</cp:coreProperties>
</file>