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00BAF" w14:textId="77777777" w:rsidR="00AF6107" w:rsidRPr="00AF6107" w:rsidRDefault="00AF6107" w:rsidP="00AF610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F6107">
        <w:rPr>
          <w:rFonts w:ascii="Times New Roman" w:eastAsia="Times New Roman" w:hAnsi="Times New Roman" w:cs="Times New Roman"/>
          <w:b/>
          <w:bCs/>
          <w:sz w:val="27"/>
          <w:szCs w:val="27"/>
          <w:lang w:eastAsia="de-DE"/>
        </w:rPr>
        <w:t>Kapitel 5: Beweisansatz, notwendige Feldversuche und Forschung</w:t>
      </w:r>
    </w:p>
    <w:p w14:paraId="3D92EA9C" w14:textId="77777777" w:rsidR="00AF6107" w:rsidRDefault="00AF6107" w:rsidP="00AF6107">
      <w:pPr>
        <w:pStyle w:val="berschrift3"/>
      </w:pPr>
      <w:r>
        <w:rPr>
          <w:rStyle w:val="Fett"/>
          <w:b/>
          <w:bCs/>
        </w:rPr>
        <w:t>5.1 Einleitung und Zielsetzung</w:t>
      </w:r>
    </w:p>
    <w:p w14:paraId="483F47E6" w14:textId="77777777" w:rsidR="00AF6107" w:rsidRDefault="00AF6107" w:rsidP="00AF6107">
      <w:pPr>
        <w:pStyle w:val="StandardWeb"/>
      </w:pPr>
      <w:r>
        <w:t>Das vorliegende Kapitel 5 markiert den Übergang von der rein theoretischen Entwicklung des Funktionalen Bezugssystems radikal konstruiert (FZRK) hin zu seiner empirischen Fundierung. Kapitel 3 stellte dabei die erkenntnistheoretische Fundierung vor: Ausgehend von der Leere (</w:t>
      </w:r>
      <w:r>
        <w:rPr>
          <w:rFonts w:ascii="Cambria Math" w:hAnsi="Cambria Math" w:cs="Cambria Math"/>
        </w:rPr>
        <w:t>∅</w:t>
      </w:r>
      <w:r>
        <w:t xml:space="preserve">) als radikalem Ausgangspunkt werden durch differenzielle Zuweisungen (Initialpunkte, Raumfunktionen, </w:t>
      </w:r>
      <w:proofErr w:type="spellStart"/>
      <w:r>
        <w:t>Brane</w:t>
      </w:r>
      <w:proofErr w:type="spellEnd"/>
      <w:r>
        <w:t>-Funktionen) strukturierte Bezugssysteme generiert [1][2]. Kapitel 4 weitete diese Perspektive aus, indem es das FZRK als universelles Modellierungsprinzip interpretierte – nicht nur für physikalische, sondern auch für kognitive, soziale und didaktische Prozesse [3][4].</w:t>
      </w:r>
    </w:p>
    <w:p w14:paraId="3EB62B9B" w14:textId="77777777" w:rsidR="00AF6107" w:rsidRDefault="00AF6107" w:rsidP="00AF6107">
      <w:pPr>
        <w:pStyle w:val="StandardWeb"/>
      </w:pPr>
      <w:r>
        <w:t>Diese theoretische Basis stellt die Frage, wie das FZRK in methodisch abgesicherten Feldversuchen überprüft und weiterentwickelt werden kann. Ziel dieses Kapitels ist es daher, einen strukturierten Beweisansatz zu entwickeln, der zugleich die erkenntnistheoretische Eigenart des FZRK berücksichtigt. Anders als klassische physikalische Modelle, die auf objektive Messgrößen abzielen, geht es hier um die Prüfung von funktionalen Beziehungen und Zuweisungsstrukturen, die nur relational und kontextabhängig existieren [5].</w:t>
      </w:r>
    </w:p>
    <w:p w14:paraId="6DB3A61C" w14:textId="77777777" w:rsidR="00AF6107" w:rsidRDefault="00AF6107" w:rsidP="00AF6107">
      <w:pPr>
        <w:pStyle w:val="StandardWeb"/>
      </w:pPr>
      <w:r>
        <w:t>Ausgehend von dieser Perspektive ergeben sich drei leitende Forschungsfragen:</w:t>
      </w:r>
    </w:p>
    <w:p w14:paraId="1FF860FB" w14:textId="77777777" w:rsidR="00AF6107" w:rsidRDefault="00AF6107" w:rsidP="00AF6107">
      <w:pPr>
        <w:pStyle w:val="StandardWeb"/>
      </w:pPr>
      <w:r>
        <w:t>1️</w:t>
      </w:r>
      <w:r>
        <w:rPr>
          <w:rFonts w:ascii="Tahoma" w:hAnsi="Tahoma" w:cs="Tahoma"/>
        </w:rPr>
        <w:t>⃣</w:t>
      </w:r>
      <w:r>
        <w:t xml:space="preserve"> </w:t>
      </w:r>
      <w:r>
        <w:rPr>
          <w:rStyle w:val="Fett"/>
        </w:rPr>
        <w:t>Was kann in einem funktional konstruierten Modell überhaupt „bewiesen“ werden?</w:t>
      </w:r>
      <w:r>
        <w:br/>
        <w:t>Klassische empirische Forschung basiert oft auf einem Korrespondenzmodell zwischen Theorie und objektiv gegebener Realität. Das FZRK jedoch postuliert, dass die „Realität“ selbst ein Effekt funktionaler Zuweisungen ist [4][6]. Diese erkenntnistheoretische Position erfordert eine präzise Klärung, wie sich empirische Daten und funktionale Modelle überhaupt aufeinander beziehen.</w:t>
      </w:r>
    </w:p>
    <w:p w14:paraId="16AD4ABD" w14:textId="77777777" w:rsidR="00AF6107" w:rsidRDefault="00AF6107" w:rsidP="00AF6107">
      <w:pPr>
        <w:pStyle w:val="StandardWeb"/>
      </w:pPr>
      <w:r>
        <w:t>2️</w:t>
      </w:r>
      <w:r>
        <w:rPr>
          <w:rFonts w:ascii="Tahoma" w:hAnsi="Tahoma" w:cs="Tahoma"/>
        </w:rPr>
        <w:t>⃣</w:t>
      </w:r>
      <w:r>
        <w:t xml:space="preserve"> </w:t>
      </w:r>
      <w:r>
        <w:rPr>
          <w:rStyle w:val="Fett"/>
        </w:rPr>
        <w:t>Wie können Feldversuche und Experimente gestaltet werden, um die funktionalen Zuweisungen des FZRK sichtbar zu machen?</w:t>
      </w:r>
      <w:r>
        <w:br/>
        <w:t>Während in traditionellen Experimenten gemessen wird, ob ein Modell Phänomene korrekt abbildet, fragt das FZRK, wie sich Beobachtungen durch die gewählten Zuweisungen konstituieren [7]. Die Operationalisierung dieser Zuweisungen stellt somit eine methodische Schlüsselaufgabe dar.</w:t>
      </w:r>
    </w:p>
    <w:p w14:paraId="1118E810" w14:textId="77777777" w:rsidR="00AF6107" w:rsidRDefault="00AF6107" w:rsidP="00AF6107">
      <w:pPr>
        <w:pStyle w:val="StandardWeb"/>
      </w:pPr>
      <w:r>
        <w:t>3️</w:t>
      </w:r>
      <w:r>
        <w:rPr>
          <w:rFonts w:ascii="Tahoma" w:hAnsi="Tahoma" w:cs="Tahoma"/>
        </w:rPr>
        <w:t>⃣</w:t>
      </w:r>
      <w:r>
        <w:t xml:space="preserve"> </w:t>
      </w:r>
      <w:r>
        <w:rPr>
          <w:rStyle w:val="Fett"/>
        </w:rPr>
        <w:t>Welche Rolle spielt dabei der Beobachter selbst als Teil des Bezugssystems?</w:t>
      </w:r>
      <w:r>
        <w:br/>
        <w:t>Kapitel 4 betonte die Rolle des Beobachters als aktiven Konstrukteur von Bedeutungszuweisungen [4]. In Kapitel 5 wird daher auch die Reflexivität des Forschungsprozesses thematisiert: Feldversuche sind nicht neutral, sondern Teil eines epistemischen Systems, in dem der Beobachter selbst in die Konstruktion eingebunden ist [8].</w:t>
      </w:r>
    </w:p>
    <w:p w14:paraId="038B7885" w14:textId="77777777" w:rsidR="00AF6107" w:rsidRDefault="00AF6107" w:rsidP="00AF6107">
      <w:pPr>
        <w:pStyle w:val="StandardWeb"/>
      </w:pPr>
      <w:r>
        <w:t xml:space="preserve">Diese Fragen bilden den Leitfaden für die folgenden Abschnitte. Während </w:t>
      </w:r>
      <w:r>
        <w:rPr>
          <w:rStyle w:val="Fett"/>
        </w:rPr>
        <w:t>Abschnitt 5.2</w:t>
      </w:r>
      <w:r>
        <w:t xml:space="preserve"> zunächst die erkenntnistheoretischen Grundlagen des Beweisansatzes präzisiert, werden in den darauffolgenden Kapiteln konkrete methodische Zugänge, Feldversuche und Forschungsdesigns erarbeitet. So wird das FZRK nicht als abgeschlossenes Theoriegebäude „bewiesen“, sondern als offenes, reflexives Forschungsinstrument empirisch anschlussfähig gemacht.</w:t>
      </w:r>
    </w:p>
    <w:p w14:paraId="189B3D77" w14:textId="77777777" w:rsidR="00AF6107" w:rsidRDefault="009D4C99" w:rsidP="00AF6107">
      <w:r>
        <w:pict w14:anchorId="765BDF50">
          <v:rect id="_x0000_i1025" style="width:0;height:1.5pt" o:hralign="center" o:hrstd="t" o:hr="t" fillcolor="#a0a0a0" stroked="f"/>
        </w:pict>
      </w:r>
    </w:p>
    <w:p w14:paraId="1691CC15" w14:textId="77777777" w:rsidR="00AF6107" w:rsidRDefault="00AF6107" w:rsidP="00AF6107">
      <w:pPr>
        <w:pStyle w:val="berschrift3"/>
      </w:pPr>
      <w:r>
        <w:rPr>
          <w:rStyle w:val="Fett"/>
          <w:b/>
          <w:bCs/>
        </w:rPr>
        <w:lastRenderedPageBreak/>
        <w:t>Literaturverzeichnis zu Kapitel 5.1</w:t>
      </w:r>
    </w:p>
    <w:p w14:paraId="724F10E6" w14:textId="77777777" w:rsidR="00AF6107" w:rsidRDefault="00AF6107" w:rsidP="00AF6107">
      <w:pPr>
        <w:pStyle w:val="StandardWeb"/>
      </w:pPr>
      <w:r>
        <w:t xml:space="preserve">[1] Suppes, P. (1972). </w:t>
      </w:r>
      <w:r>
        <w:rPr>
          <w:rStyle w:val="Hervorhebung"/>
        </w:rPr>
        <w:t>Axiomatic Set Theory</w:t>
      </w:r>
      <w:r>
        <w:t>. Dover Publications.</w:t>
      </w:r>
      <w:r>
        <w:br/>
        <w:t xml:space="preserve">[2] Carnap, R. (1928). </w:t>
      </w:r>
      <w:r>
        <w:rPr>
          <w:rStyle w:val="Hervorhebung"/>
        </w:rPr>
        <w:t>Der logische Aufbau der Welt</w:t>
      </w:r>
      <w:r>
        <w:t>. Meiner Verlag.</w:t>
      </w:r>
      <w:r>
        <w:br/>
        <w:t xml:space="preserve">[3] Baez, J., &amp; Stay, M. (2010). Physics, Topology, Logic and Computation: A Rosetta Stone. In: Coecke (Ed.), </w:t>
      </w:r>
      <w:r>
        <w:rPr>
          <w:rStyle w:val="Hervorhebung"/>
        </w:rPr>
        <w:t>New Structures for Physics</w:t>
      </w:r>
      <w:r>
        <w:t>. Springer, S. 117.</w:t>
      </w:r>
      <w:r>
        <w:br/>
        <w:t xml:space="preserve">[4] von Glasersfeld, E. (1995). </w:t>
      </w:r>
      <w:r>
        <w:rPr>
          <w:rStyle w:val="Hervorhebung"/>
        </w:rPr>
        <w:t>Radical Constructivism: A Way of Knowing and Learning</w:t>
      </w:r>
      <w:r>
        <w:t>. Falmer Press.</w:t>
      </w:r>
      <w:r>
        <w:br/>
        <w:t xml:space="preserve">[5] Penrose, R. (2004). </w:t>
      </w:r>
      <w:r>
        <w:rPr>
          <w:rStyle w:val="Hervorhebung"/>
        </w:rPr>
        <w:t>The Road to Reality: A Complete Guide to the Laws of the Universe</w:t>
      </w:r>
      <w:r>
        <w:t>. Jonathan Cape.</w:t>
      </w:r>
      <w:r>
        <w:br/>
        <w:t xml:space="preserve">[6] Bohr, N. (1987). </w:t>
      </w:r>
      <w:r>
        <w:rPr>
          <w:rStyle w:val="Hervorhebung"/>
        </w:rPr>
        <w:t>Atomic Physics and Human Knowledge</w:t>
      </w:r>
      <w:r>
        <w:t>. Woodbridge: Ox Bow Press.</w:t>
      </w:r>
      <w:r>
        <w:br/>
        <w:t xml:space="preserve">[7] Krantz, D. H. et al. (1971). </w:t>
      </w:r>
      <w:r>
        <w:rPr>
          <w:rStyle w:val="Hervorhebung"/>
        </w:rPr>
        <w:t>Foundations of Measurement</w:t>
      </w:r>
      <w:r>
        <w:t>. Academic Press, Vol. I.</w:t>
      </w:r>
      <w:r>
        <w:br/>
        <w:t xml:space="preserve">[8] Heelan, P. (1983). </w:t>
      </w:r>
      <w:r>
        <w:rPr>
          <w:rStyle w:val="Hervorhebung"/>
        </w:rPr>
        <w:t>Perception and the Physical World: Psychological and Philosophical Issues in Perception</w:t>
      </w:r>
      <w:r>
        <w:t>. Purdue University Press.</w:t>
      </w:r>
    </w:p>
    <w:p w14:paraId="4C8B8B0C" w14:textId="77777777" w:rsidR="00AF6107" w:rsidRPr="00AF6107" w:rsidRDefault="00AF6107" w:rsidP="00AF610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F6107">
        <w:rPr>
          <w:rFonts w:ascii="Times New Roman" w:eastAsia="Times New Roman" w:hAnsi="Times New Roman" w:cs="Times New Roman"/>
          <w:b/>
          <w:bCs/>
          <w:sz w:val="27"/>
          <w:szCs w:val="27"/>
          <w:lang w:eastAsia="de-DE"/>
        </w:rPr>
        <w:t>5.2 Beweisansatz: Theoretische Fundierung</w:t>
      </w:r>
    </w:p>
    <w:p w14:paraId="20621C36"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Die Konstruktion eines Beweisansatzes für das Funktionale Bezugssystem radikal konstruiert (FZRK) erfordert ein Umdenken gegenüber klassischen naturwissenschaftlichen Beweislogiken. Während in traditionellen Modellen der „Beweis“ als Übereinstimmung mit einer objektiv gegebenen Realität gilt, postuliert das FZRK, dass „Realität“ selbst erst durch funktionale Zuweisung innerhalb eines epistemischen Feldes entsteht (vgl. [4:3]). Dieses Grundverständnis verändert die Rolle empirischer Forschung und führt zu einem Beweisbegriff, der nicht auf Objektivität, sondern auf Kohärenz, Reflexivität und Funktionalität zielt.</w:t>
      </w:r>
    </w:p>
    <w:p w14:paraId="6EE0F6B7" w14:textId="77777777" w:rsidR="00AF6107" w:rsidRPr="00AF6107" w:rsidRDefault="00AF6107" w:rsidP="00AF610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AF6107">
        <w:rPr>
          <w:rFonts w:ascii="Times New Roman" w:eastAsia="Times New Roman" w:hAnsi="Times New Roman" w:cs="Times New Roman"/>
          <w:b/>
          <w:bCs/>
          <w:sz w:val="24"/>
          <w:szCs w:val="24"/>
          <w:lang w:eastAsia="de-DE"/>
        </w:rPr>
        <w:t>5.2.1 Funktionaler Beweis statt Korrespondenzmodell</w:t>
      </w:r>
    </w:p>
    <w:p w14:paraId="4765C609"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Im klassischen Korrespondenzmodell ist der Beweis eine Feststellung von Wahrheit durch Vergleich von Modell und Realität (z. B. Krantz et al. 1971 [5:7]). Das FZRK hingegen basiert auf der Einsicht, dass Wahrheit nicht objektiv vorgegeben ist, sondern im relationalen Gefüge der Zuweisungen emergiert. Ernst von Glasersfeld beschreibt diesen Perspektivwechsel prägnant:</w:t>
      </w:r>
    </w:p>
    <w:p w14:paraId="266B3557" w14:textId="77777777" w:rsidR="00AF6107" w:rsidRPr="00AF6107" w:rsidRDefault="00AF6107" w:rsidP="00AF6107">
      <w:pPr>
        <w:spacing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„Wissen ist nicht ein Abbild der Realität, sondern eine Konstruktion des Beobachters.“ [9]</w:t>
      </w:r>
    </w:p>
    <w:p w14:paraId="79EA1DEC"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Für das FZRK bedeutet das: Ein funktionaler Beweis ist die demonstrierbare Kohärenz der Zuweisungen und deren emergente Bedeutung innerhalb eines konsistenten Funktionssystems (vgl. [4:3], [4:4]). Der Beweis ist relational – er liegt nicht „außerhalb“, sondern im Strukturzusammenhang des Modells selbst.</w:t>
      </w:r>
    </w:p>
    <w:p w14:paraId="258AE657" w14:textId="77777777" w:rsidR="00AF6107" w:rsidRPr="00AF6107" w:rsidRDefault="00AF6107" w:rsidP="00AF610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AF6107">
        <w:rPr>
          <w:rFonts w:ascii="Times New Roman" w:eastAsia="Times New Roman" w:hAnsi="Times New Roman" w:cs="Times New Roman"/>
          <w:b/>
          <w:bCs/>
          <w:sz w:val="24"/>
          <w:szCs w:val="24"/>
          <w:lang w:eastAsia="de-DE"/>
        </w:rPr>
        <w:t>5.2.2 Zuweisungslogik als Basis der Prüfstruktur</w:t>
      </w:r>
    </w:p>
    <w:p w14:paraId="5CB357F8"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Zentraler Bestandteil des Beweisansatzes ist die formale Zuweisungslogik. Jedes Element U erhält eine Funktion f(U), deren Bedeutung nicht durch das Element selbst, sondern durch die Position im Gesamtgefüge bestimmt ist (vgl. [4:8]). John Baez formuliert diese Relationalität so:</w:t>
      </w:r>
    </w:p>
    <w:p w14:paraId="6742A00E" w14:textId="77777777" w:rsidR="00AF6107" w:rsidRPr="00AF6107" w:rsidRDefault="00AF6107" w:rsidP="00AF6107">
      <w:pPr>
        <w:spacing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„Meaning is a morphism, not a location.“ [10]</w:t>
      </w:r>
    </w:p>
    <w:p w14:paraId="0203268F"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lastRenderedPageBreak/>
        <w:t>Der Beweisansatz im FZRK überprüft daher nicht „Dinge“, sondern die Stimmigkeit funktionaler Übergänge und Transformationen. In der formalen Logik entspricht dies der Konsistenzprüfung eines morphischen Netzes – ein Gedanke, der auch in der kategorialen Mathematik Anklang findet (Lawvere &amp; Schanuel 2009 [11]).</w:t>
      </w:r>
    </w:p>
    <w:p w14:paraId="4DEAFDE3" w14:textId="77777777" w:rsidR="00AF6107" w:rsidRPr="00AF6107" w:rsidRDefault="00AF6107" w:rsidP="00AF610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AF6107">
        <w:rPr>
          <w:rFonts w:ascii="Times New Roman" w:eastAsia="Times New Roman" w:hAnsi="Times New Roman" w:cs="Times New Roman"/>
          <w:b/>
          <w:bCs/>
          <w:sz w:val="24"/>
          <w:szCs w:val="24"/>
          <w:lang w:eastAsia="de-DE"/>
        </w:rPr>
        <w:t>5.2.3 Reflexivität und Beobachterabhängigkeit</w:t>
      </w:r>
    </w:p>
    <w:p w14:paraId="4B1AC150"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Ein weiterer entscheidender Aspekt ist die Beobachterabhängigkeit. Klassische empirische Beweise operieren unter der Annahme eines „externen Beobachters“. Das FZRK hingegen erkennt den Beobachter als Teil des Zuweisungsprozesses selbst (vgl. [4:7]). Der Beobachter ist nicht neutral, sondern aktiv an der Konstruktion der Struktur beteiligt – eine Perspektive, die auch von Foerster in seiner Theorie der „Observing Systems“ betont wird [12]:</w:t>
      </w:r>
    </w:p>
    <w:p w14:paraId="5C76EE5B" w14:textId="77777777" w:rsidR="00AF6107" w:rsidRPr="00AF6107" w:rsidRDefault="00AF6107" w:rsidP="00AF6107">
      <w:pPr>
        <w:spacing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„Jeder Beobachter bringt ein eigenes System von Unterscheidungen mit, das die Beobachtung selbst konstituiert.“</w:t>
      </w:r>
    </w:p>
    <w:p w14:paraId="59A30029"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Ein funktionaler Beweis muss daher auch die Rolle des Beobachters transparent machen und die Reflexivität seiner eigenen Position berücksichtigen. Beweis wird so zur „offenen Kohärenzprüfung“ – ein dynamischer Prozess, in dem sich Erkenntnis und Konstruktion wechselseitig verschränken.</w:t>
      </w:r>
    </w:p>
    <w:p w14:paraId="5D49FC56" w14:textId="77777777" w:rsidR="00AF6107" w:rsidRPr="00AF6107" w:rsidRDefault="00AF6107" w:rsidP="00AF610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AF6107">
        <w:rPr>
          <w:rFonts w:ascii="Times New Roman" w:eastAsia="Times New Roman" w:hAnsi="Times New Roman" w:cs="Times New Roman"/>
          <w:b/>
          <w:bCs/>
          <w:sz w:val="24"/>
          <w:szCs w:val="24"/>
          <w:lang w:eastAsia="de-DE"/>
        </w:rPr>
        <w:t>5.2.4 Konsequenzen für die Methodik</w:t>
      </w:r>
    </w:p>
    <w:p w14:paraId="7A62481B"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Diese theoretischen Grundlagen führen zu zwei methodischen Konsequenzen:</w:t>
      </w:r>
    </w:p>
    <w:p w14:paraId="27751DFC" w14:textId="77777777" w:rsidR="00AF6107" w:rsidRPr="00AF6107" w:rsidRDefault="00AF6107" w:rsidP="00AF6107">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b/>
          <w:bCs/>
          <w:sz w:val="24"/>
          <w:szCs w:val="24"/>
          <w:lang w:eastAsia="de-DE"/>
        </w:rPr>
        <w:t>Prüfbarkeit durch Kohärenz</w:t>
      </w:r>
      <w:r w:rsidRPr="00AF6107">
        <w:rPr>
          <w:rFonts w:ascii="Times New Roman" w:eastAsia="Times New Roman" w:hAnsi="Times New Roman" w:cs="Times New Roman"/>
          <w:sz w:val="24"/>
          <w:szCs w:val="24"/>
          <w:lang w:eastAsia="de-DE"/>
        </w:rPr>
        <w:t>: Empirische Forschung dient nicht der Verifikation „objektiver“ Realität, sondern der Überprüfung innerer Konsistenz und relationaler Anschlussfähigkeit von Zuweisungen (vgl. [4:4], [4:9]).</w:t>
      </w:r>
    </w:p>
    <w:p w14:paraId="530C0EDC" w14:textId="77777777" w:rsidR="00AF6107" w:rsidRPr="00AF6107" w:rsidRDefault="00AF6107" w:rsidP="00AF6107">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b/>
          <w:bCs/>
          <w:sz w:val="24"/>
          <w:szCs w:val="24"/>
          <w:lang w:eastAsia="de-DE"/>
        </w:rPr>
        <w:t>Modelloffenheit</w:t>
      </w:r>
      <w:r w:rsidRPr="00AF6107">
        <w:rPr>
          <w:rFonts w:ascii="Times New Roman" w:eastAsia="Times New Roman" w:hAnsi="Times New Roman" w:cs="Times New Roman"/>
          <w:sz w:val="24"/>
          <w:szCs w:val="24"/>
          <w:lang w:eastAsia="de-DE"/>
        </w:rPr>
        <w:t>: Der Beweis ist kein Endpunkt, sondern Teil eines fortlaufenden Prozesses der Modellweiterentwicklung (vgl. [4:14]). Neue empirische Daten sind nicht einfach „Bestätigungen“, sondern mögliche Impulse zur Rekonfiguration des funktionalen Rahmens.</w:t>
      </w:r>
    </w:p>
    <w:p w14:paraId="10A2DE40" w14:textId="77777777" w:rsidR="00AF6107" w:rsidRPr="00AF6107" w:rsidRDefault="00AF6107" w:rsidP="00AF610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AF6107">
        <w:rPr>
          <w:rFonts w:ascii="Times New Roman" w:eastAsia="Times New Roman" w:hAnsi="Times New Roman" w:cs="Times New Roman"/>
          <w:b/>
          <w:bCs/>
          <w:sz w:val="24"/>
          <w:szCs w:val="24"/>
          <w:lang w:eastAsia="de-DE"/>
        </w:rPr>
        <w:t>5.2.5 Fazit und Ausblick</w:t>
      </w:r>
    </w:p>
    <w:p w14:paraId="5334E5EF"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Insgesamt ist der Beweisansatz des FZRK ein Reflexionsinstrument: Er fragt nicht nach einer objektiven Bestätigung, sondern nach der strukturellen Anschlussfähigkeit und der Potenzialität zur Weiterentwicklung. Der nächste Abschnitt 5.3 wird auf dieser Grundlage die methodischen Konsequenzen und Ansätze zur empirischen Umsetzung entfalten.</w:t>
      </w:r>
    </w:p>
    <w:p w14:paraId="2F65F3DE" w14:textId="77777777" w:rsidR="00AF6107" w:rsidRPr="00AF6107" w:rsidRDefault="009D4C99" w:rsidP="00AF610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901FE75">
          <v:rect id="_x0000_i1026" style="width:0;height:1.5pt" o:hralign="center" o:hrstd="t" o:hr="t" fillcolor="#a0a0a0" stroked="f"/>
        </w:pict>
      </w:r>
    </w:p>
    <w:p w14:paraId="754950A8" w14:textId="77777777" w:rsidR="00AF6107" w:rsidRPr="00AF6107" w:rsidRDefault="00AF6107" w:rsidP="00AF610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F6107">
        <w:rPr>
          <w:rFonts w:ascii="Times New Roman" w:eastAsia="Times New Roman" w:hAnsi="Times New Roman" w:cs="Times New Roman"/>
          <w:b/>
          <w:bCs/>
          <w:sz w:val="27"/>
          <w:szCs w:val="27"/>
          <w:lang w:eastAsia="de-DE"/>
        </w:rPr>
        <w:t>Literaturverzeichnis zu Kapitel 5.2</w:t>
      </w:r>
    </w:p>
    <w:p w14:paraId="18A8220A"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 xml:space="preserve">[9] von Glasersfeld, E. (1995). </w:t>
      </w:r>
      <w:r w:rsidRPr="00AF6107">
        <w:rPr>
          <w:rFonts w:ascii="Times New Roman" w:eastAsia="Times New Roman" w:hAnsi="Times New Roman" w:cs="Times New Roman"/>
          <w:i/>
          <w:iCs/>
          <w:sz w:val="24"/>
          <w:szCs w:val="24"/>
          <w:lang w:eastAsia="de-DE"/>
        </w:rPr>
        <w:t>Radical Constructivism: A Way of Knowing and Learning</w:t>
      </w:r>
      <w:r w:rsidRPr="00AF6107">
        <w:rPr>
          <w:rFonts w:ascii="Times New Roman" w:eastAsia="Times New Roman" w:hAnsi="Times New Roman" w:cs="Times New Roman"/>
          <w:sz w:val="24"/>
          <w:szCs w:val="24"/>
          <w:lang w:eastAsia="de-DE"/>
        </w:rPr>
        <w:t>. Falmer Press.</w:t>
      </w:r>
      <w:r w:rsidRPr="00AF6107">
        <w:rPr>
          <w:rFonts w:ascii="Times New Roman" w:eastAsia="Times New Roman" w:hAnsi="Times New Roman" w:cs="Times New Roman"/>
          <w:sz w:val="24"/>
          <w:szCs w:val="24"/>
          <w:lang w:eastAsia="de-DE"/>
        </w:rPr>
        <w:br/>
        <w:t xml:space="preserve">[10] Baez, J., &amp; Stay, M. (2010). Physics, Topology, Logic and Computation: A Rosetta Stone. In: Coecke (Ed.), </w:t>
      </w:r>
      <w:r w:rsidRPr="00AF6107">
        <w:rPr>
          <w:rFonts w:ascii="Times New Roman" w:eastAsia="Times New Roman" w:hAnsi="Times New Roman" w:cs="Times New Roman"/>
          <w:i/>
          <w:iCs/>
          <w:sz w:val="24"/>
          <w:szCs w:val="24"/>
          <w:lang w:eastAsia="de-DE"/>
        </w:rPr>
        <w:t>New Structures for Physics</w:t>
      </w:r>
      <w:r w:rsidRPr="00AF6107">
        <w:rPr>
          <w:rFonts w:ascii="Times New Roman" w:eastAsia="Times New Roman" w:hAnsi="Times New Roman" w:cs="Times New Roman"/>
          <w:sz w:val="24"/>
          <w:szCs w:val="24"/>
          <w:lang w:eastAsia="de-DE"/>
        </w:rPr>
        <w:t>. Springer, S. 117.</w:t>
      </w:r>
      <w:r w:rsidRPr="00AF6107">
        <w:rPr>
          <w:rFonts w:ascii="Times New Roman" w:eastAsia="Times New Roman" w:hAnsi="Times New Roman" w:cs="Times New Roman"/>
          <w:sz w:val="24"/>
          <w:szCs w:val="24"/>
          <w:lang w:eastAsia="de-DE"/>
        </w:rPr>
        <w:br/>
        <w:t xml:space="preserve">[11] Lawvere, F. W., &amp; Schanuel, S. H. (2009). </w:t>
      </w:r>
      <w:r w:rsidRPr="00AF6107">
        <w:rPr>
          <w:rFonts w:ascii="Times New Roman" w:eastAsia="Times New Roman" w:hAnsi="Times New Roman" w:cs="Times New Roman"/>
          <w:i/>
          <w:iCs/>
          <w:sz w:val="24"/>
          <w:szCs w:val="24"/>
          <w:lang w:eastAsia="de-DE"/>
        </w:rPr>
        <w:t>Conceptual Mathematics: A First Introduction to Categories</w:t>
      </w:r>
      <w:r w:rsidRPr="00AF6107">
        <w:rPr>
          <w:rFonts w:ascii="Times New Roman" w:eastAsia="Times New Roman" w:hAnsi="Times New Roman" w:cs="Times New Roman"/>
          <w:sz w:val="24"/>
          <w:szCs w:val="24"/>
          <w:lang w:eastAsia="de-DE"/>
        </w:rPr>
        <w:t>. Cambridge University Press.</w:t>
      </w:r>
      <w:r w:rsidRPr="00AF6107">
        <w:rPr>
          <w:rFonts w:ascii="Times New Roman" w:eastAsia="Times New Roman" w:hAnsi="Times New Roman" w:cs="Times New Roman"/>
          <w:sz w:val="24"/>
          <w:szCs w:val="24"/>
          <w:lang w:eastAsia="de-DE"/>
        </w:rPr>
        <w:br/>
        <w:t xml:space="preserve">[12] von Foerster, H. (1984). </w:t>
      </w:r>
      <w:r w:rsidRPr="00AF6107">
        <w:rPr>
          <w:rFonts w:ascii="Times New Roman" w:eastAsia="Times New Roman" w:hAnsi="Times New Roman" w:cs="Times New Roman"/>
          <w:i/>
          <w:iCs/>
          <w:sz w:val="24"/>
          <w:szCs w:val="24"/>
          <w:lang w:eastAsia="de-DE"/>
        </w:rPr>
        <w:t>Observing Systems</w:t>
      </w:r>
      <w:r w:rsidRPr="00AF6107">
        <w:rPr>
          <w:rFonts w:ascii="Times New Roman" w:eastAsia="Times New Roman" w:hAnsi="Times New Roman" w:cs="Times New Roman"/>
          <w:sz w:val="24"/>
          <w:szCs w:val="24"/>
          <w:lang w:eastAsia="de-DE"/>
        </w:rPr>
        <w:t>. Intersystems Publications.</w:t>
      </w:r>
    </w:p>
    <w:p w14:paraId="2A039CFB" w14:textId="77777777" w:rsidR="00AF6107" w:rsidRPr="00AF6107" w:rsidRDefault="00AF6107" w:rsidP="00AF610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F6107">
        <w:rPr>
          <w:rFonts w:ascii="Times New Roman" w:eastAsia="Times New Roman" w:hAnsi="Times New Roman" w:cs="Times New Roman"/>
          <w:b/>
          <w:bCs/>
          <w:sz w:val="27"/>
          <w:szCs w:val="27"/>
          <w:lang w:eastAsia="de-DE"/>
        </w:rPr>
        <w:lastRenderedPageBreak/>
        <w:t>5.3 Methodische Zugänge und Forschungsdesign</w:t>
      </w:r>
    </w:p>
    <w:p w14:paraId="67AA1FA6"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Die theoretischen Überlegungen zum funktionalen Beweisansatz legen nahe, dass klassische empirische Methoden – die in der Regel auf vorgegebenen Hypothesen und operationalisierbaren Messgrößen basieren – nur eingeschränkt zur Überprüfung funktionaler Zuweisungssysteme geeignet sind. Das FZRK erfordert daher spezifische methodische Zugänge, die die Besonderheit relationaler Strukturen und emergenter Bedeutung berücksichtigen [13].</w:t>
      </w:r>
    </w:p>
    <w:p w14:paraId="048D14AD" w14:textId="77777777" w:rsidR="00AF6107" w:rsidRPr="00AF6107" w:rsidRDefault="00AF6107" w:rsidP="00AF610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AF6107">
        <w:rPr>
          <w:rFonts w:ascii="Times New Roman" w:eastAsia="Times New Roman" w:hAnsi="Times New Roman" w:cs="Times New Roman"/>
          <w:b/>
          <w:bCs/>
          <w:sz w:val="24"/>
          <w:szCs w:val="24"/>
          <w:lang w:eastAsia="de-DE"/>
        </w:rPr>
        <w:t>5.3.1 Forschungsfragen und Hypothesenbildung</w:t>
      </w:r>
    </w:p>
    <w:p w14:paraId="335EDD82"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Im Zentrum steht die Frage: Wie lässt sich die Wirksamkeit von Zuweisungsstrukturen empirisch untersuchen? Anders als in linear-kausalen Forschungsdesigns, in denen Hypothesen als „Vorhersagen“ formuliert werden, versteht das FZRK Hypothesen als „Testfelder für Kohärenz“ – also als Versuchsaufbauten zur Prüfung relationaler Anschlussfähigkeit [14].</w:t>
      </w:r>
    </w:p>
    <w:p w14:paraId="59648197"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Ernst von Glasersfeld betont in diesem Zusammenhang:</w:t>
      </w:r>
    </w:p>
    <w:p w14:paraId="7FCC74FD" w14:textId="77777777" w:rsidR="00AF6107" w:rsidRPr="00AF6107" w:rsidRDefault="00AF6107" w:rsidP="00AF6107">
      <w:pPr>
        <w:spacing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„Die Validität eines Modells ist nicht seine Übereinstimmung mit einer vermeintlich objektiven Realität, sondern seine interne Konsistenz und Nützlichkeit.“ [9]</w:t>
      </w:r>
    </w:p>
    <w:p w14:paraId="61B106C5"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Daher sind Hypothesen im FZRK keine Feststellungen von „wahrer“ oder „falscher“ Kausalität, sondern Annahmen über mögliche funktionale Ordnungen, die in einem empirischen Kontext überprüft werden sollen.</w:t>
      </w:r>
    </w:p>
    <w:p w14:paraId="5F5D8CF4" w14:textId="77777777" w:rsidR="00AF6107" w:rsidRPr="00AF6107" w:rsidRDefault="00AF6107" w:rsidP="00AF610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AF6107">
        <w:rPr>
          <w:rFonts w:ascii="Times New Roman" w:eastAsia="Times New Roman" w:hAnsi="Times New Roman" w:cs="Times New Roman"/>
          <w:b/>
          <w:bCs/>
          <w:sz w:val="24"/>
          <w:szCs w:val="24"/>
          <w:lang w:eastAsia="de-DE"/>
        </w:rPr>
        <w:t>5.3.2 Methodische Grundüberlegungen: Qualitativ, quantitativ, reflexiv</w:t>
      </w:r>
    </w:p>
    <w:p w14:paraId="22F5613B"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Der Forschungszugang im FZRK ist grundsätzlich methodenplural: Qualitative Verfahren sind besonders geeignet, um subjektive Zuweisungen und Sinnstiftungen sichtbar zu machen – etwa durch teilnehmende Beobachtung, Interviews oder Diskursanalysen [15]. Quantitative Verfahren können helfen, Muster und Regelmäßigkeiten in relationalen Netzwerken zu identifizieren, sofern diese nicht als „Objekte“, sondern als Effekte funktionaler Beziehungen begriffen werden [16].</w:t>
      </w:r>
    </w:p>
    <w:p w14:paraId="3A9FE030"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Reflexive Verfahren schließlich sind unerlässlich: Sie erlauben es, die Rolle des Forschers als Teil des Zuweisungssystems transparent zu machen und die Grenzen empirischer „Neutralität“ zu reflektieren – ein Ansatz, der auch in der systemtheoretischen Forschung betont wird [17].</w:t>
      </w:r>
    </w:p>
    <w:p w14:paraId="22685D6B" w14:textId="77777777" w:rsidR="00AF6107" w:rsidRPr="00AF6107" w:rsidRDefault="00AF6107" w:rsidP="00AF610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AF6107">
        <w:rPr>
          <w:rFonts w:ascii="Times New Roman" w:eastAsia="Times New Roman" w:hAnsi="Times New Roman" w:cs="Times New Roman"/>
          <w:b/>
          <w:bCs/>
          <w:sz w:val="24"/>
          <w:szCs w:val="24"/>
          <w:lang w:eastAsia="de-DE"/>
        </w:rPr>
        <w:t>5.3.3 Operationalisierung funktionaler Zuweisungen</w:t>
      </w:r>
    </w:p>
    <w:p w14:paraId="18D48C65"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Die wohl größte methodische Herausforderung liegt in der Operationalisierung funktionaler Zuweisungen: Wie lassen sich „emergente Bedeutungen“ empirisch fassen, wenn diese nicht an Objekte, sondern an Kontexte gebunden sind?</w:t>
      </w:r>
    </w:p>
    <w:p w14:paraId="2D1AACD9"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Das FZRK schlägt hierfür vor, Beobachtungen nicht als Datenpunkte zu behandeln, sondern als relational strukturierte Effekte. Ein praktisches Beispiel liefert Baez:</w:t>
      </w:r>
    </w:p>
    <w:p w14:paraId="7365D679" w14:textId="77777777" w:rsidR="00AF6107" w:rsidRPr="00AF6107" w:rsidRDefault="00AF6107" w:rsidP="00AF6107">
      <w:pPr>
        <w:spacing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„Meaning is a morphism, not a location.“ [10]</w:t>
      </w:r>
    </w:p>
    <w:p w14:paraId="24E1D167"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lastRenderedPageBreak/>
        <w:t>Operationalisierung im FZRK bedeutet daher:</w:t>
      </w:r>
    </w:p>
    <w:p w14:paraId="062B1033" w14:textId="77777777" w:rsidR="00AF6107" w:rsidRPr="00AF6107" w:rsidRDefault="00AF6107" w:rsidP="00AF6107">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nicht: „Wieviel ist…?“</w:t>
      </w:r>
    </w:p>
    <w:p w14:paraId="3D191559" w14:textId="77777777" w:rsidR="00AF6107" w:rsidRPr="00AF6107" w:rsidRDefault="00AF6107" w:rsidP="00AF6107">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sondern: „Wie ist etwas in ein relationales Netzwerk eingebettet?“</w:t>
      </w:r>
    </w:p>
    <w:p w14:paraId="0654C03E"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 xml:space="preserve">Ein Ansatz hierfür ist die </w:t>
      </w:r>
      <w:r w:rsidRPr="00AF6107">
        <w:rPr>
          <w:rFonts w:ascii="Times New Roman" w:eastAsia="Times New Roman" w:hAnsi="Times New Roman" w:cs="Times New Roman"/>
          <w:b/>
          <w:bCs/>
          <w:sz w:val="24"/>
          <w:szCs w:val="24"/>
          <w:lang w:eastAsia="de-DE"/>
        </w:rPr>
        <w:t>funktionale Rekonstruktion</w:t>
      </w:r>
      <w:r w:rsidRPr="00AF6107">
        <w:rPr>
          <w:rFonts w:ascii="Times New Roman" w:eastAsia="Times New Roman" w:hAnsi="Times New Roman" w:cs="Times New Roman"/>
          <w:sz w:val="24"/>
          <w:szCs w:val="24"/>
          <w:lang w:eastAsia="de-DE"/>
        </w:rPr>
        <w:t>: Statt zu messen, „ob“ ein Element existiert, wird untersucht, „wie“ es relational integriert ist – etwa durch qualitative Kodierungen von Kontextverschiebungen, oder durch Netzwerkanalysen, die Beziehungen statt Inhalte in den Fokus rücken [18].</w:t>
      </w:r>
    </w:p>
    <w:p w14:paraId="7C5FB3E1" w14:textId="77777777" w:rsidR="00AF6107" w:rsidRPr="00AF6107" w:rsidRDefault="00AF6107" w:rsidP="00AF610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AF6107">
        <w:rPr>
          <w:rFonts w:ascii="Times New Roman" w:eastAsia="Times New Roman" w:hAnsi="Times New Roman" w:cs="Times New Roman"/>
          <w:b/>
          <w:bCs/>
          <w:sz w:val="24"/>
          <w:szCs w:val="24"/>
          <w:lang w:eastAsia="de-DE"/>
        </w:rPr>
        <w:t>5.3.4 Beispielhafte methodische Zugänge</w:t>
      </w:r>
    </w:p>
    <w:p w14:paraId="7E84C921"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Konkrete methodische Umsetzungen können sein:</w:t>
      </w:r>
    </w:p>
    <w:p w14:paraId="4724E3B6" w14:textId="77777777" w:rsidR="00AF6107" w:rsidRPr="00AF6107" w:rsidRDefault="00AF6107" w:rsidP="00AF6107">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b/>
          <w:bCs/>
          <w:sz w:val="24"/>
          <w:szCs w:val="24"/>
          <w:lang w:eastAsia="de-DE"/>
        </w:rPr>
        <w:t>Sequenzanalysen von Diskursen</w:t>
      </w:r>
      <w:r w:rsidRPr="00AF6107">
        <w:rPr>
          <w:rFonts w:ascii="Times New Roman" w:eastAsia="Times New Roman" w:hAnsi="Times New Roman" w:cs="Times New Roman"/>
          <w:sz w:val="24"/>
          <w:szCs w:val="24"/>
          <w:lang w:eastAsia="de-DE"/>
        </w:rPr>
        <w:t>, um funktionale Übergänge zwischen Aussagen zu identifizieren.</w:t>
      </w:r>
    </w:p>
    <w:p w14:paraId="6D40862B" w14:textId="77777777" w:rsidR="00AF6107" w:rsidRPr="00AF6107" w:rsidRDefault="00AF6107" w:rsidP="00AF6107">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b/>
          <w:bCs/>
          <w:sz w:val="24"/>
          <w:szCs w:val="24"/>
          <w:lang w:eastAsia="de-DE"/>
        </w:rPr>
        <w:t>Netzwerkanalysen von Lernumgebungen</w:t>
      </w:r>
      <w:r w:rsidRPr="00AF6107">
        <w:rPr>
          <w:rFonts w:ascii="Times New Roman" w:eastAsia="Times New Roman" w:hAnsi="Times New Roman" w:cs="Times New Roman"/>
          <w:sz w:val="24"/>
          <w:szCs w:val="24"/>
          <w:lang w:eastAsia="de-DE"/>
        </w:rPr>
        <w:t>, um emergente Beziehungsgeflechte sichtbar zu machen.</w:t>
      </w:r>
    </w:p>
    <w:p w14:paraId="5F6823A5" w14:textId="77777777" w:rsidR="00AF6107" w:rsidRPr="00AF6107" w:rsidRDefault="00AF6107" w:rsidP="00AF6107">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b/>
          <w:bCs/>
          <w:sz w:val="24"/>
          <w:szCs w:val="24"/>
          <w:lang w:eastAsia="de-DE"/>
        </w:rPr>
        <w:t>Design-Based Research</w:t>
      </w:r>
      <w:r w:rsidRPr="00AF6107">
        <w:rPr>
          <w:rFonts w:ascii="Times New Roman" w:eastAsia="Times New Roman" w:hAnsi="Times New Roman" w:cs="Times New Roman"/>
          <w:sz w:val="24"/>
          <w:szCs w:val="24"/>
          <w:lang w:eastAsia="de-DE"/>
        </w:rPr>
        <w:t>, um Lernumgebungen iterativ als Zuweisungssysteme zu gestalten und zu evaluieren [19].</w:t>
      </w:r>
    </w:p>
    <w:p w14:paraId="392C4CE1"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Diese Verfahren eint, dass sie funktionale Zuweisungen nicht als „versteckte Variablen“ betrachten, sondern als konstitutive Elemente der zu untersuchenden Systeme selbst.</w:t>
      </w:r>
    </w:p>
    <w:p w14:paraId="738E28B4" w14:textId="77777777" w:rsidR="00AF6107" w:rsidRPr="00AF6107" w:rsidRDefault="00AF6107" w:rsidP="00AF610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AF6107">
        <w:rPr>
          <w:rFonts w:ascii="Times New Roman" w:eastAsia="Times New Roman" w:hAnsi="Times New Roman" w:cs="Times New Roman"/>
          <w:b/>
          <w:bCs/>
          <w:sz w:val="24"/>
          <w:szCs w:val="24"/>
          <w:lang w:eastAsia="de-DE"/>
        </w:rPr>
        <w:t>5.3.5 Fazit und Ausblick</w:t>
      </w:r>
    </w:p>
    <w:p w14:paraId="2FBC80D8"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Die methodische Konsequenz: Forschung im Sinne des FZRK ist nicht Bestätigung eines „Außen“, sondern Reflexion und Rekonstruktion von Zuweisungslogiken. Damit entsteht ein dynamisches Forschungsdesign, das nicht abschließend „beweist“, sondern iterativ neue Fragen und funktionale Perspektiven generiert. Der folgende Abschnitt 5.4 wird zeigen, wie diese methodischen Überlegungen in konkrete Feldversuche und Experimente umgesetzt werden können.</w:t>
      </w:r>
    </w:p>
    <w:p w14:paraId="6DA7B742" w14:textId="77777777" w:rsidR="00AF6107" w:rsidRPr="00AF6107" w:rsidRDefault="009D4C99" w:rsidP="00AF610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1BF1132">
          <v:rect id="_x0000_i1027" style="width:0;height:1.5pt" o:hralign="center" o:hrstd="t" o:hr="t" fillcolor="#a0a0a0" stroked="f"/>
        </w:pict>
      </w:r>
    </w:p>
    <w:p w14:paraId="562E422E" w14:textId="77777777" w:rsidR="00AF6107" w:rsidRPr="00AF6107" w:rsidRDefault="00AF6107" w:rsidP="00AF610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F6107">
        <w:rPr>
          <w:rFonts w:ascii="Times New Roman" w:eastAsia="Times New Roman" w:hAnsi="Times New Roman" w:cs="Times New Roman"/>
          <w:b/>
          <w:bCs/>
          <w:sz w:val="27"/>
          <w:szCs w:val="27"/>
          <w:lang w:eastAsia="de-DE"/>
        </w:rPr>
        <w:t>Literaturverzeichnis zu Kapitel 5.3</w:t>
      </w:r>
    </w:p>
    <w:p w14:paraId="47ADCB6F" w14:textId="77777777" w:rsidR="00AF6107" w:rsidRPr="00AF6107" w:rsidRDefault="00AF6107" w:rsidP="00AF6107">
      <w:pPr>
        <w:spacing w:before="100" w:beforeAutospacing="1" w:after="100" w:afterAutospacing="1" w:line="240" w:lineRule="auto"/>
        <w:rPr>
          <w:rFonts w:ascii="Times New Roman" w:eastAsia="Times New Roman" w:hAnsi="Times New Roman" w:cs="Times New Roman"/>
          <w:sz w:val="24"/>
          <w:szCs w:val="24"/>
          <w:lang w:eastAsia="de-DE"/>
        </w:rPr>
      </w:pPr>
      <w:r w:rsidRPr="00AF6107">
        <w:rPr>
          <w:rFonts w:ascii="Times New Roman" w:eastAsia="Times New Roman" w:hAnsi="Times New Roman" w:cs="Times New Roman"/>
          <w:sz w:val="24"/>
          <w:szCs w:val="24"/>
          <w:lang w:eastAsia="de-DE"/>
        </w:rPr>
        <w:t xml:space="preserve">[13] Stegmüller, W. (1986). </w:t>
      </w:r>
      <w:r w:rsidRPr="00AF6107">
        <w:rPr>
          <w:rFonts w:ascii="Times New Roman" w:eastAsia="Times New Roman" w:hAnsi="Times New Roman" w:cs="Times New Roman"/>
          <w:i/>
          <w:iCs/>
          <w:sz w:val="24"/>
          <w:szCs w:val="24"/>
          <w:lang w:eastAsia="de-DE"/>
        </w:rPr>
        <w:t>The Structuralist View of Theories</w:t>
      </w:r>
      <w:r w:rsidRPr="00AF6107">
        <w:rPr>
          <w:rFonts w:ascii="Times New Roman" w:eastAsia="Times New Roman" w:hAnsi="Times New Roman" w:cs="Times New Roman"/>
          <w:sz w:val="24"/>
          <w:szCs w:val="24"/>
          <w:lang w:eastAsia="de-DE"/>
        </w:rPr>
        <w:t>. Springer.</w:t>
      </w:r>
      <w:r w:rsidRPr="00AF6107">
        <w:rPr>
          <w:rFonts w:ascii="Times New Roman" w:eastAsia="Times New Roman" w:hAnsi="Times New Roman" w:cs="Times New Roman"/>
          <w:sz w:val="24"/>
          <w:szCs w:val="24"/>
          <w:lang w:eastAsia="de-DE"/>
        </w:rPr>
        <w:br/>
        <w:t xml:space="preserve">[14] Kuhn, T. S. (1962). </w:t>
      </w:r>
      <w:r w:rsidRPr="00AF6107">
        <w:rPr>
          <w:rFonts w:ascii="Times New Roman" w:eastAsia="Times New Roman" w:hAnsi="Times New Roman" w:cs="Times New Roman"/>
          <w:i/>
          <w:iCs/>
          <w:sz w:val="24"/>
          <w:szCs w:val="24"/>
          <w:lang w:eastAsia="de-DE"/>
        </w:rPr>
        <w:t>The Structure of Scientific Revolutions</w:t>
      </w:r>
      <w:r w:rsidRPr="00AF6107">
        <w:rPr>
          <w:rFonts w:ascii="Times New Roman" w:eastAsia="Times New Roman" w:hAnsi="Times New Roman" w:cs="Times New Roman"/>
          <w:sz w:val="24"/>
          <w:szCs w:val="24"/>
          <w:lang w:eastAsia="de-DE"/>
        </w:rPr>
        <w:t>. University of Chicago Press.</w:t>
      </w:r>
      <w:r w:rsidRPr="00AF6107">
        <w:rPr>
          <w:rFonts w:ascii="Times New Roman" w:eastAsia="Times New Roman" w:hAnsi="Times New Roman" w:cs="Times New Roman"/>
          <w:sz w:val="24"/>
          <w:szCs w:val="24"/>
          <w:lang w:eastAsia="de-DE"/>
        </w:rPr>
        <w:br/>
        <w:t xml:space="preserve">[15] Flick, U. (2019). </w:t>
      </w:r>
      <w:r w:rsidRPr="00AF6107">
        <w:rPr>
          <w:rFonts w:ascii="Times New Roman" w:eastAsia="Times New Roman" w:hAnsi="Times New Roman" w:cs="Times New Roman"/>
          <w:i/>
          <w:iCs/>
          <w:sz w:val="24"/>
          <w:szCs w:val="24"/>
          <w:lang w:eastAsia="de-DE"/>
        </w:rPr>
        <w:t>Qualitative Sozialforschung</w:t>
      </w:r>
      <w:r w:rsidRPr="00AF6107">
        <w:rPr>
          <w:rFonts w:ascii="Times New Roman" w:eastAsia="Times New Roman" w:hAnsi="Times New Roman" w:cs="Times New Roman"/>
          <w:sz w:val="24"/>
          <w:szCs w:val="24"/>
          <w:lang w:eastAsia="de-DE"/>
        </w:rPr>
        <w:t>. Rowohlt.</w:t>
      </w:r>
      <w:r w:rsidRPr="00AF6107">
        <w:rPr>
          <w:rFonts w:ascii="Times New Roman" w:eastAsia="Times New Roman" w:hAnsi="Times New Roman" w:cs="Times New Roman"/>
          <w:sz w:val="24"/>
          <w:szCs w:val="24"/>
          <w:lang w:eastAsia="de-DE"/>
        </w:rPr>
        <w:br/>
        <w:t xml:space="preserve">[16] Bourdieu, P. (1992). </w:t>
      </w:r>
      <w:r w:rsidRPr="00AF6107">
        <w:rPr>
          <w:rFonts w:ascii="Times New Roman" w:eastAsia="Times New Roman" w:hAnsi="Times New Roman" w:cs="Times New Roman"/>
          <w:i/>
          <w:iCs/>
          <w:sz w:val="24"/>
          <w:szCs w:val="24"/>
          <w:lang w:eastAsia="de-DE"/>
        </w:rPr>
        <w:t>Die verborgenen Mechanismen der Macht</w:t>
      </w:r>
      <w:r w:rsidRPr="00AF6107">
        <w:rPr>
          <w:rFonts w:ascii="Times New Roman" w:eastAsia="Times New Roman" w:hAnsi="Times New Roman" w:cs="Times New Roman"/>
          <w:sz w:val="24"/>
          <w:szCs w:val="24"/>
          <w:lang w:eastAsia="de-DE"/>
        </w:rPr>
        <w:t>. VSA Verlag.</w:t>
      </w:r>
      <w:r w:rsidRPr="00AF6107">
        <w:rPr>
          <w:rFonts w:ascii="Times New Roman" w:eastAsia="Times New Roman" w:hAnsi="Times New Roman" w:cs="Times New Roman"/>
          <w:sz w:val="24"/>
          <w:szCs w:val="24"/>
          <w:lang w:eastAsia="de-DE"/>
        </w:rPr>
        <w:br/>
        <w:t xml:space="preserve">[17] Luhmann, N. (1990). </w:t>
      </w:r>
      <w:r w:rsidRPr="00AF6107">
        <w:rPr>
          <w:rFonts w:ascii="Times New Roman" w:eastAsia="Times New Roman" w:hAnsi="Times New Roman" w:cs="Times New Roman"/>
          <w:i/>
          <w:iCs/>
          <w:sz w:val="24"/>
          <w:szCs w:val="24"/>
          <w:lang w:eastAsia="de-DE"/>
        </w:rPr>
        <w:t>Die Wissenschaft der Gesellschaft</w:t>
      </w:r>
      <w:r w:rsidRPr="00AF6107">
        <w:rPr>
          <w:rFonts w:ascii="Times New Roman" w:eastAsia="Times New Roman" w:hAnsi="Times New Roman" w:cs="Times New Roman"/>
          <w:sz w:val="24"/>
          <w:szCs w:val="24"/>
          <w:lang w:eastAsia="de-DE"/>
        </w:rPr>
        <w:t>. Suhrkamp.</w:t>
      </w:r>
      <w:r w:rsidRPr="00AF6107">
        <w:rPr>
          <w:rFonts w:ascii="Times New Roman" w:eastAsia="Times New Roman" w:hAnsi="Times New Roman" w:cs="Times New Roman"/>
          <w:sz w:val="24"/>
          <w:szCs w:val="24"/>
          <w:lang w:eastAsia="de-DE"/>
        </w:rPr>
        <w:br/>
        <w:t xml:space="preserve">[18] Jörissen, B., &amp; Meyer, T. (2015). Epistemologien des Designs. In: </w:t>
      </w:r>
      <w:r w:rsidRPr="00AF6107">
        <w:rPr>
          <w:rFonts w:ascii="Times New Roman" w:eastAsia="Times New Roman" w:hAnsi="Times New Roman" w:cs="Times New Roman"/>
          <w:i/>
          <w:iCs/>
          <w:sz w:val="24"/>
          <w:szCs w:val="24"/>
          <w:lang w:eastAsia="de-DE"/>
        </w:rPr>
        <w:t>Zeitschrift für Erziehungswissenschaft</w:t>
      </w:r>
      <w:r w:rsidRPr="00AF6107">
        <w:rPr>
          <w:rFonts w:ascii="Times New Roman" w:eastAsia="Times New Roman" w:hAnsi="Times New Roman" w:cs="Times New Roman"/>
          <w:sz w:val="24"/>
          <w:szCs w:val="24"/>
          <w:lang w:eastAsia="de-DE"/>
        </w:rPr>
        <w:t>, 18(4), 733–752.</w:t>
      </w:r>
      <w:r w:rsidRPr="00AF6107">
        <w:rPr>
          <w:rFonts w:ascii="Times New Roman" w:eastAsia="Times New Roman" w:hAnsi="Times New Roman" w:cs="Times New Roman"/>
          <w:sz w:val="24"/>
          <w:szCs w:val="24"/>
          <w:lang w:eastAsia="de-DE"/>
        </w:rPr>
        <w:br/>
        <w:t xml:space="preserve">[19] Reinmann, G. (2012). Offenheit als didaktisches Prinzip. In: </w:t>
      </w:r>
      <w:r w:rsidRPr="00AF6107">
        <w:rPr>
          <w:rFonts w:ascii="Times New Roman" w:eastAsia="Times New Roman" w:hAnsi="Times New Roman" w:cs="Times New Roman"/>
          <w:i/>
          <w:iCs/>
          <w:sz w:val="24"/>
          <w:szCs w:val="24"/>
          <w:lang w:eastAsia="de-DE"/>
        </w:rPr>
        <w:t>Zeitschrift für Hochschulentwicklung</w:t>
      </w:r>
      <w:r w:rsidRPr="00AF6107">
        <w:rPr>
          <w:rFonts w:ascii="Times New Roman" w:eastAsia="Times New Roman" w:hAnsi="Times New Roman" w:cs="Times New Roman"/>
          <w:sz w:val="24"/>
          <w:szCs w:val="24"/>
          <w:lang w:eastAsia="de-DE"/>
        </w:rPr>
        <w:t>, 7(1), 1–19.</w:t>
      </w:r>
    </w:p>
    <w:p w14:paraId="1DC6F1AE" w14:textId="77777777" w:rsidR="0081775A" w:rsidRDefault="0081775A" w:rsidP="0081775A">
      <w:pPr>
        <w:pStyle w:val="berschrift2"/>
      </w:pPr>
      <w:r>
        <w:lastRenderedPageBreak/>
        <w:t>5.4 Forschungsfelder und experimentelle Validierungsansätze</w:t>
      </w:r>
    </w:p>
    <w:p w14:paraId="7432607F" w14:textId="77777777" w:rsidR="0081775A" w:rsidRDefault="0081775A" w:rsidP="0081775A">
      <w:pPr>
        <w:pStyle w:val="berschrift3"/>
      </w:pPr>
      <w:r>
        <w:t>5.4.1 Übergang von der Theoriekonstruktion zur experimentellen Anschlussfähigkeit</w:t>
      </w:r>
    </w:p>
    <w:p w14:paraId="4BACE27F" w14:textId="77777777" w:rsidR="0081775A" w:rsidRDefault="0081775A" w:rsidP="0081775A">
      <w:pPr>
        <w:pStyle w:val="StandardWeb"/>
      </w:pPr>
      <w:r>
        <w:t>Während Kapitel 3 die erkenntnistheoretischen und kategorial-mathematischen Grundlagen des FZRK legte und Kapitel 4 seine didaktische und modelltheoretische Anschlussfähigkeit demonstrierte, stellt Abschnitt 5.4 nun die empirische Verankerung und interdisziplinäre Anschlussfähigkeit in den Fokus. Die Validierung des FZRK kann nicht im Sinne klassischer empirischer Wissenschaft als Überprüfung „wahrer Aussagen“ gegen eine objektive Realität erfolgen – sondern erfolgt über die strukturelle Kohärenz und Anschlussfähigkeit funktionaler Zuweisungen innerhalb empirisch rekonstruierbarer Systeme</w:t>
      </w:r>
      <w:r>
        <w:rPr>
          <w:rFonts w:ascii="MS Mincho" w:eastAsia="MS Mincho" w:hAnsi="MS Mincho" w:cs="MS Mincho" w:hint="eastAsia"/>
        </w:rPr>
        <w:t>【</w:t>
      </w:r>
      <w:r>
        <w:t>20</w:t>
      </w:r>
      <w:r>
        <w:rPr>
          <w:rFonts w:ascii="MS Mincho" w:eastAsia="MS Mincho" w:hAnsi="MS Mincho" w:cs="MS Mincho" w:hint="eastAsia"/>
        </w:rPr>
        <w:t>】</w:t>
      </w:r>
      <w:r>
        <w:t>.</w:t>
      </w:r>
    </w:p>
    <w:p w14:paraId="4279ED71" w14:textId="77777777" w:rsidR="0081775A" w:rsidRDefault="0081775A" w:rsidP="0081775A">
      <w:pPr>
        <w:pStyle w:val="StandardWeb"/>
      </w:pPr>
      <w:r>
        <w:t>Diese Validierungsperspektive basiert auf einem wissenschaftstheoretischen Paradigmenwechsel: weg von korrespondenztheoretischer Wahrheit, hin zu kontextsensitiver Kohärenz. „Bedeutung“, so John Baez, „emerges not from substance, but from morphic structure“</w:t>
      </w:r>
      <w:r>
        <w:rPr>
          <w:rFonts w:ascii="MS Mincho" w:eastAsia="MS Mincho" w:hAnsi="MS Mincho" w:cs="MS Mincho" w:hint="eastAsia"/>
        </w:rPr>
        <w:t>【</w:t>
      </w:r>
      <w:r>
        <w:t>21</w:t>
      </w:r>
      <w:r>
        <w:rPr>
          <w:rFonts w:ascii="MS Mincho" w:eastAsia="MS Mincho" w:hAnsi="MS Mincho" w:cs="MS Mincho" w:hint="eastAsia"/>
        </w:rPr>
        <w:t>】</w:t>
      </w:r>
      <w:r>
        <w:t>. Diese morphische Struktur bildet das Kernstück des FZRK und erlaubt es, Erkenntnis als konstruierte Relation im Modellraum zu erfassen.</w:t>
      </w:r>
    </w:p>
    <w:p w14:paraId="5A96D094" w14:textId="77777777" w:rsidR="0081775A" w:rsidRDefault="0081775A" w:rsidP="0081775A">
      <w:pPr>
        <w:pStyle w:val="berschrift3"/>
      </w:pPr>
      <w:r>
        <w:t>5.4.2 Interdisziplinäre Validierungsräume: Anschlussfelder des FZRK</w:t>
      </w:r>
    </w:p>
    <w:p w14:paraId="66CCB75F" w14:textId="77777777" w:rsidR="0081775A" w:rsidRDefault="0081775A" w:rsidP="0081775A">
      <w:pPr>
        <w:pStyle w:val="berschrift4"/>
      </w:pPr>
      <w:r>
        <w:t>Naturwissenschaften und Physik</w:t>
      </w:r>
    </w:p>
    <w:p w14:paraId="56A3B025" w14:textId="77777777" w:rsidR="0081775A" w:rsidRDefault="0081775A" w:rsidP="0081775A">
      <w:pPr>
        <w:pStyle w:val="StandardWeb"/>
      </w:pPr>
      <w:r>
        <w:t>In der Quantenphysik – insbesondere in der relationalen Interpretation von Rovelli – wird Realität nicht als objektiv bestehend, sondern als Effekt von Wechselbeziehungen zwischen Systemen aufgefasst</w:t>
      </w:r>
      <w:r>
        <w:rPr>
          <w:rFonts w:ascii="MS Mincho" w:eastAsia="MS Mincho" w:hAnsi="MS Mincho" w:cs="MS Mincho" w:hint="eastAsia"/>
        </w:rPr>
        <w:t>【</w:t>
      </w:r>
      <w:r>
        <w:t>22</w:t>
      </w:r>
      <w:r>
        <w:rPr>
          <w:rFonts w:ascii="MS Mincho" w:eastAsia="MS Mincho" w:hAnsi="MS Mincho" w:cs="MS Mincho" w:hint="eastAsia"/>
        </w:rPr>
        <w:t>】</w:t>
      </w:r>
      <w:r>
        <w:t>. Beobachtungen gelten nur relativ zu anderen Systemen. Das FZRK kann hier als erkenntnistheoretische Generalisierung dieser Perspektive gelesen werden. Auch in der Quantengravitation und Stringtheorie ist Raum kein ontologisches Substrat mehr, sondern das Produkt strukturierter Felder – was direkt mit den Brane- und Raumfunktionen des FZRK korrespondiert</w:t>
      </w:r>
      <w:r>
        <w:rPr>
          <w:rFonts w:ascii="MS Mincho" w:eastAsia="MS Mincho" w:hAnsi="MS Mincho" w:cs="MS Mincho" w:hint="eastAsia"/>
        </w:rPr>
        <w:t>【</w:t>
      </w:r>
      <w:r>
        <w:t>23</w:t>
      </w:r>
      <w:r>
        <w:rPr>
          <w:rFonts w:ascii="MS Mincho" w:eastAsia="MS Mincho" w:hAnsi="MS Mincho" w:cs="MS Mincho" w:hint="eastAsia"/>
        </w:rPr>
        <w:t>】</w:t>
      </w:r>
      <w:r>
        <w:t>.</w:t>
      </w:r>
    </w:p>
    <w:p w14:paraId="60A96636" w14:textId="77777777" w:rsidR="0081775A" w:rsidRDefault="0081775A" w:rsidP="0081775A">
      <w:pPr>
        <w:pStyle w:val="StandardWeb"/>
      </w:pPr>
      <w:r>
        <w:t>„Space is not something that exists by itself; it is a convenient way to describe relations between entities.“ (Rovelli, 2004)</w:t>
      </w:r>
      <w:r>
        <w:rPr>
          <w:rFonts w:ascii="MS Mincho" w:eastAsia="MS Mincho" w:hAnsi="MS Mincho" w:cs="MS Mincho" w:hint="eastAsia"/>
        </w:rPr>
        <w:t>【</w:t>
      </w:r>
      <w:r>
        <w:t>22</w:t>
      </w:r>
      <w:r>
        <w:rPr>
          <w:rFonts w:ascii="MS Mincho" w:eastAsia="MS Mincho" w:hAnsi="MS Mincho" w:cs="MS Mincho" w:hint="eastAsia"/>
        </w:rPr>
        <w:t>】</w:t>
      </w:r>
    </w:p>
    <w:p w14:paraId="5DC31F99" w14:textId="77777777" w:rsidR="0081775A" w:rsidRDefault="0081775A" w:rsidP="0081775A">
      <w:pPr>
        <w:pStyle w:val="StandardWeb"/>
      </w:pPr>
      <w:r>
        <w:t>Feldtheorien beschreiben physikalische Prozesse über Funktionen, die an Raum-Zeit-Punkte zugewiesen werden – etwa elektromagnetische Felder oder Quantenwahrscheinlichkeiten. Diese Modelle arbeiten bereits funktional. Das FZRK greift diese Struktur auf und transformiert sie zu einem universellen erkenntnistheoretischen Rahmen.</w:t>
      </w:r>
    </w:p>
    <w:p w14:paraId="21A025B2" w14:textId="77777777" w:rsidR="0081775A" w:rsidRDefault="0081775A" w:rsidP="0081775A">
      <w:pPr>
        <w:pStyle w:val="berschrift4"/>
      </w:pPr>
      <w:r>
        <w:t>Künstliche Intelligenz und kognitive Modellierung</w:t>
      </w:r>
    </w:p>
    <w:p w14:paraId="17D2F3D6" w14:textId="77777777" w:rsidR="0081775A" w:rsidRDefault="0081775A" w:rsidP="0081775A">
      <w:pPr>
        <w:pStyle w:val="StandardWeb"/>
      </w:pPr>
      <w:r>
        <w:t>In der KI werden zunehmend Modelle entwickelt, die auf dynamischer Funktionszuweisung basieren. Reinforcement Learning beschreibt Agenten, die durch Rückkopplung kontinuierlich Funktionen zwischen Zuständen und Handlungen konstruieren</w:t>
      </w:r>
      <w:r>
        <w:rPr>
          <w:rFonts w:ascii="MS Mincho" w:eastAsia="MS Mincho" w:hAnsi="MS Mincho" w:cs="MS Mincho" w:hint="eastAsia"/>
        </w:rPr>
        <w:t>【</w:t>
      </w:r>
      <w:r>
        <w:t>24</w:t>
      </w:r>
      <w:r>
        <w:rPr>
          <w:rFonts w:ascii="MS Mincho" w:eastAsia="MS Mincho" w:hAnsi="MS Mincho" w:cs="MS Mincho" w:hint="eastAsia"/>
        </w:rPr>
        <w:t>】</w:t>
      </w:r>
      <w:r>
        <w:t>. Meta-Learning-Systeme gehen sogar noch weiter, indem sie ihre eigenen Lernprozesse funktional rekonstruieren und adaptieren – ein Konzept, das in Kapitel 3 des FZRK als Meta-Funktion M(A,Ψ,x,y,z,t) formalisiert wurde</w:t>
      </w:r>
      <w:r>
        <w:rPr>
          <w:rFonts w:ascii="MS Mincho" w:eastAsia="MS Mincho" w:hAnsi="MS Mincho" w:cs="MS Mincho" w:hint="eastAsia"/>
        </w:rPr>
        <w:t>【</w:t>
      </w:r>
      <w:r>
        <w:t>25</w:t>
      </w:r>
      <w:r>
        <w:rPr>
          <w:rFonts w:ascii="MS Mincho" w:eastAsia="MS Mincho" w:hAnsi="MS Mincho" w:cs="MS Mincho" w:hint="eastAsia"/>
        </w:rPr>
        <w:t>】</w:t>
      </w:r>
      <w:r>
        <w:t>.</w:t>
      </w:r>
    </w:p>
    <w:p w14:paraId="12E107E0" w14:textId="77777777" w:rsidR="0081775A" w:rsidRDefault="0081775A" w:rsidP="0081775A">
      <w:pPr>
        <w:pStyle w:val="StandardWeb"/>
      </w:pPr>
      <w:r>
        <w:lastRenderedPageBreak/>
        <w:t>„Meta-learning is not about improving performance; it's about learning how to learn—reconfiguring the space of functional attributions.“ (Schmidhuber, 2015)</w:t>
      </w:r>
      <w:r>
        <w:rPr>
          <w:rFonts w:ascii="MS Mincho" w:eastAsia="MS Mincho" w:hAnsi="MS Mincho" w:cs="MS Mincho" w:hint="eastAsia"/>
        </w:rPr>
        <w:t>【</w:t>
      </w:r>
      <w:r>
        <w:t>26</w:t>
      </w:r>
      <w:r>
        <w:rPr>
          <w:rFonts w:ascii="MS Mincho" w:eastAsia="MS Mincho" w:hAnsi="MS Mincho" w:cs="MS Mincho" w:hint="eastAsia"/>
        </w:rPr>
        <w:t>】</w:t>
      </w:r>
    </w:p>
    <w:p w14:paraId="5DF7D984" w14:textId="77777777" w:rsidR="0081775A" w:rsidRDefault="0081775A" w:rsidP="0081775A">
      <w:pPr>
        <w:pStyle w:val="StandardWeb"/>
      </w:pPr>
      <w:r>
        <w:t>Die Rolle des Beobachters als Funktionsinstanz, wie sie im FZRK zentral ist, findet hier ebenfalls Entsprechung: In kognitiven Architekturen wie Soar oder ACT-R wird der „Agent“ als funktionales Zentrum modelliert, das selbst kontextualisiert, reflektiert und auswählt.</w:t>
      </w:r>
    </w:p>
    <w:p w14:paraId="08607F30" w14:textId="77777777" w:rsidR="0081775A" w:rsidRDefault="0081775A" w:rsidP="0081775A">
      <w:pPr>
        <w:pStyle w:val="berschrift4"/>
      </w:pPr>
      <w:r>
        <w:t>Didaktik, Design-Based Research und Bildungsforschung</w:t>
      </w:r>
    </w:p>
    <w:p w14:paraId="78FC0CEE" w14:textId="77777777" w:rsidR="0081775A" w:rsidRDefault="0081775A" w:rsidP="0081775A">
      <w:pPr>
        <w:pStyle w:val="StandardWeb"/>
      </w:pPr>
      <w:r>
        <w:t>Die didaktische Forschung hat mit dem Aufkommen von Design-Based Research (DBR) und Learning Analytics begonnen, Lernprozesse nicht mehr als lineare Vermittlungsakte zu betrachten, sondern als emergente Systeme. In solchen Settings wird Lernen nicht als Reaktion auf Stimuli modelliert, sondern als das Ergebnis von systemischen Zuweisungen innerhalb strukturierter Umgebungen</w:t>
      </w:r>
      <w:r>
        <w:rPr>
          <w:rFonts w:ascii="MS Mincho" w:eastAsia="MS Mincho" w:hAnsi="MS Mincho" w:cs="MS Mincho" w:hint="eastAsia"/>
        </w:rPr>
        <w:t>【</w:t>
      </w:r>
      <w:r>
        <w:t>27</w:t>
      </w:r>
      <w:r>
        <w:rPr>
          <w:rFonts w:ascii="MS Mincho" w:eastAsia="MS Mincho" w:hAnsi="MS Mincho" w:cs="MS Mincho" w:hint="eastAsia"/>
        </w:rPr>
        <w:t>】</w:t>
      </w:r>
      <w:r>
        <w:t>.</w:t>
      </w:r>
    </w:p>
    <w:p w14:paraId="78890503" w14:textId="77777777" w:rsidR="0081775A" w:rsidRDefault="0081775A" w:rsidP="0081775A">
      <w:pPr>
        <w:pStyle w:val="StandardWeb"/>
      </w:pPr>
      <w:r>
        <w:t>„Instruction is not delivery, it is the orchestration of relational structures.“ (Reinmann, 2012)</w:t>
      </w:r>
      <w:r>
        <w:rPr>
          <w:rFonts w:ascii="MS Mincho" w:eastAsia="MS Mincho" w:hAnsi="MS Mincho" w:cs="MS Mincho" w:hint="eastAsia"/>
        </w:rPr>
        <w:t>【</w:t>
      </w:r>
      <w:r>
        <w:t>28</w:t>
      </w:r>
      <w:r>
        <w:rPr>
          <w:rFonts w:ascii="MS Mincho" w:eastAsia="MS Mincho" w:hAnsi="MS Mincho" w:cs="MS Mincho" w:hint="eastAsia"/>
        </w:rPr>
        <w:t>】</w:t>
      </w:r>
    </w:p>
    <w:p w14:paraId="3B923C5A" w14:textId="77777777" w:rsidR="0081775A" w:rsidRDefault="0081775A" w:rsidP="0081775A">
      <w:pPr>
        <w:pStyle w:val="StandardWeb"/>
      </w:pPr>
      <w:r>
        <w:t>Das FZRK erweitert diesen Gedanken, indem es Lernumgebungen nicht nur modelliert, sondern funktional dekonstruiert: Medien, Aufgaben, Rollen, Feedbacksysteme – alles wird als Knotenpunkt einer Zuweisungsarchitektur verstanden. Netzwerkanalysen, semantische Mapping-Verfahren und rekursive Evaluationszyklen (Flandin &amp; Lefrançois, 2020) sind empirische Werkzeuge, mit denen sich diese funktionalen Strukturen analysieren lassen</w:t>
      </w:r>
      <w:r>
        <w:rPr>
          <w:rFonts w:ascii="MS Mincho" w:eastAsia="MS Mincho" w:hAnsi="MS Mincho" w:cs="MS Mincho" w:hint="eastAsia"/>
        </w:rPr>
        <w:t>【</w:t>
      </w:r>
      <w:r>
        <w:t>29</w:t>
      </w:r>
      <w:r>
        <w:rPr>
          <w:rFonts w:ascii="MS Mincho" w:eastAsia="MS Mincho" w:hAnsi="MS Mincho" w:cs="MS Mincho" w:hint="eastAsia"/>
        </w:rPr>
        <w:t>】</w:t>
      </w:r>
      <w:r>
        <w:t>.</w:t>
      </w:r>
    </w:p>
    <w:p w14:paraId="742210B3" w14:textId="77777777" w:rsidR="0081775A" w:rsidRDefault="0081775A" w:rsidP="0081775A">
      <w:pPr>
        <w:pStyle w:val="berschrift4"/>
      </w:pPr>
      <w:r>
        <w:t>Systemtheorie, Philosophie, Wissenschaftstheorie</w:t>
      </w:r>
    </w:p>
    <w:p w14:paraId="59E79238" w14:textId="77777777" w:rsidR="0081775A" w:rsidRDefault="0081775A" w:rsidP="0081775A">
      <w:pPr>
        <w:pStyle w:val="StandardWeb"/>
      </w:pPr>
      <w:r>
        <w:t>Die Idee, dass Realität keine objektive Gegebenheit, sondern ein Effekt von Relationen ist, findet sich prominent bei Luhmann, von Foerster und Maturana/Varela</w:t>
      </w:r>
      <w:r>
        <w:rPr>
          <w:rFonts w:ascii="MS Mincho" w:eastAsia="MS Mincho" w:hAnsi="MS Mincho" w:cs="MS Mincho" w:hint="eastAsia"/>
        </w:rPr>
        <w:t>【</w:t>
      </w:r>
      <w:r>
        <w:t>30</w:t>
      </w:r>
      <w:r>
        <w:rPr>
          <w:rFonts w:ascii="MS Mincho" w:eastAsia="MS Mincho" w:hAnsi="MS Mincho" w:cs="MS Mincho" w:hint="eastAsia"/>
        </w:rPr>
        <w:t>】【</w:t>
      </w:r>
      <w:r>
        <w:t>31</w:t>
      </w:r>
      <w:r>
        <w:rPr>
          <w:rFonts w:ascii="MS Mincho" w:eastAsia="MS Mincho" w:hAnsi="MS Mincho" w:cs="MS Mincho" w:hint="eastAsia"/>
        </w:rPr>
        <w:t>】</w:t>
      </w:r>
      <w:r>
        <w:t>. Insbesondere die „zweite Ordnung“-Modelle, in denen der Beobachter selbst zum systemischen Operator wird, spiegeln zentrale Elemente des FZRK wider.</w:t>
      </w:r>
    </w:p>
    <w:p w14:paraId="23E15D77" w14:textId="77777777" w:rsidR="0081775A" w:rsidRDefault="0081775A" w:rsidP="0081775A">
      <w:pPr>
        <w:pStyle w:val="StandardWeb"/>
      </w:pPr>
      <w:r>
        <w:t>„Jede Beobachtung ist Zuweisung – nicht Wahrnehmung eines Gegebenen.“ (Luhmann, 1990)</w:t>
      </w:r>
      <w:r>
        <w:rPr>
          <w:rFonts w:ascii="MS Mincho" w:eastAsia="MS Mincho" w:hAnsi="MS Mincho" w:cs="MS Mincho" w:hint="eastAsia"/>
        </w:rPr>
        <w:t>【</w:t>
      </w:r>
      <w:r>
        <w:t>30</w:t>
      </w:r>
      <w:r>
        <w:rPr>
          <w:rFonts w:ascii="MS Mincho" w:eastAsia="MS Mincho" w:hAnsi="MS Mincho" w:cs="MS Mincho" w:hint="eastAsia"/>
        </w:rPr>
        <w:t>】</w:t>
      </w:r>
    </w:p>
    <w:p w14:paraId="17CB6005" w14:textId="77777777" w:rsidR="0081775A" w:rsidRDefault="0081775A" w:rsidP="0081775A">
      <w:pPr>
        <w:pStyle w:val="StandardWeb"/>
      </w:pPr>
      <w:r>
        <w:t>Die Validierung des FZRK liegt damit nicht in seiner externen Objektivität, sondern in der epistemischen Transparenz und Reflexivität seiner Strukturlogik.</w:t>
      </w:r>
    </w:p>
    <w:p w14:paraId="702F65B9" w14:textId="77777777" w:rsidR="0081775A" w:rsidRDefault="0081775A" w:rsidP="0081775A">
      <w:pPr>
        <w:pStyle w:val="berschrift3"/>
      </w:pPr>
      <w:r>
        <w:t>5.4.3 Methodische Implikationen: Validierung durch strukturelle Kohärenz</w:t>
      </w:r>
    </w:p>
    <w:p w14:paraId="655E561A" w14:textId="77777777" w:rsidR="0081775A" w:rsidRDefault="0081775A" w:rsidP="0081775A">
      <w:pPr>
        <w:pStyle w:val="StandardWeb"/>
      </w:pPr>
      <w:r>
        <w:t>Die oben genannten Forschungsfelder liefern nicht nur konzeptuelle Anschlussfähigkeit, sondern auch methodische Konzepte:</w:t>
      </w:r>
    </w:p>
    <w:p w14:paraId="6F1A12DC" w14:textId="77777777" w:rsidR="0081775A" w:rsidRDefault="0081775A" w:rsidP="0081775A">
      <w:pPr>
        <w:pStyle w:val="StandardWeb"/>
        <w:numPr>
          <w:ilvl w:val="0"/>
          <w:numId w:val="11"/>
        </w:numPr>
      </w:pPr>
      <w:r>
        <w:rPr>
          <w:rStyle w:val="Fett"/>
          <w:rFonts w:eastAsiaTheme="majorEastAsia"/>
        </w:rPr>
        <w:t>Agentenbasierte Simulationen:</w:t>
      </w:r>
      <w:r>
        <w:t xml:space="preserve"> Modellieren Zuweisungen als Regeln adaptiven Verhaltens. Im Sinne des FZRK können Agenten als Funktionsträger analysiert werden, deren Reaktionen emergent aus dem Netzwerk der Funktionszuweisungen hervorgehen (vgl. Epstein &amp; Axtell, 1996)</w:t>
      </w:r>
      <w:r>
        <w:rPr>
          <w:rFonts w:ascii="MS Mincho" w:eastAsia="MS Mincho" w:hAnsi="MS Mincho" w:cs="MS Mincho" w:hint="eastAsia"/>
        </w:rPr>
        <w:t>【</w:t>
      </w:r>
      <w:r>
        <w:t>32</w:t>
      </w:r>
      <w:r>
        <w:rPr>
          <w:rFonts w:ascii="MS Mincho" w:eastAsia="MS Mincho" w:hAnsi="MS Mincho" w:cs="MS Mincho" w:hint="eastAsia"/>
        </w:rPr>
        <w:t>】</w:t>
      </w:r>
      <w:r>
        <w:t>.</w:t>
      </w:r>
    </w:p>
    <w:p w14:paraId="565285F2" w14:textId="77777777" w:rsidR="0081775A" w:rsidRDefault="0081775A" w:rsidP="0081775A">
      <w:pPr>
        <w:pStyle w:val="StandardWeb"/>
        <w:numPr>
          <w:ilvl w:val="0"/>
          <w:numId w:val="11"/>
        </w:numPr>
      </w:pPr>
      <w:r>
        <w:rPr>
          <w:rStyle w:val="Fett"/>
          <w:rFonts w:eastAsiaTheme="majorEastAsia"/>
        </w:rPr>
        <w:t>Netzwerkanalysen:</w:t>
      </w:r>
      <w:r>
        <w:t xml:space="preserve"> Operationalisieren Beziehungen zwischen Einheiten als Graphen. Zentralitäts-, Clustering- oder Redundanzmetriken machen Strukturen sichtbar, die auf Zuweisung und Relationen beruhen – nicht auf Inhalt</w:t>
      </w:r>
      <w:r>
        <w:rPr>
          <w:rFonts w:ascii="MS Mincho" w:eastAsia="MS Mincho" w:hAnsi="MS Mincho" w:cs="MS Mincho" w:hint="eastAsia"/>
        </w:rPr>
        <w:t>【</w:t>
      </w:r>
      <w:r>
        <w:t>33</w:t>
      </w:r>
      <w:r>
        <w:rPr>
          <w:rFonts w:ascii="MS Mincho" w:eastAsia="MS Mincho" w:hAnsi="MS Mincho" w:cs="MS Mincho" w:hint="eastAsia"/>
        </w:rPr>
        <w:t>】</w:t>
      </w:r>
      <w:r>
        <w:t>.</w:t>
      </w:r>
    </w:p>
    <w:p w14:paraId="36E970DA" w14:textId="77777777" w:rsidR="0081775A" w:rsidRDefault="0081775A" w:rsidP="0081775A">
      <w:pPr>
        <w:pStyle w:val="StandardWeb"/>
        <w:numPr>
          <w:ilvl w:val="0"/>
          <w:numId w:val="11"/>
        </w:numPr>
      </w:pPr>
      <w:r>
        <w:rPr>
          <w:rStyle w:val="Fett"/>
          <w:rFonts w:eastAsiaTheme="majorEastAsia"/>
        </w:rPr>
        <w:lastRenderedPageBreak/>
        <w:t>Mixed Methods mit Reflexionskomponente:</w:t>
      </w:r>
      <w:r>
        <w:t xml:space="preserve"> In Kombination qualitativer Interviews mit quantitativen Strukturmetriken lassen sich nicht nur subjektive Bedeutungen rekonstruieren, sondern deren Einbettung in systemische Kontexte offenlegen. Dies entspricht der methodologischen Grundstruktur des FZRK</w:t>
      </w:r>
      <w:r>
        <w:rPr>
          <w:rFonts w:ascii="MS Mincho" w:eastAsia="MS Mincho" w:hAnsi="MS Mincho" w:cs="MS Mincho" w:hint="eastAsia"/>
        </w:rPr>
        <w:t>【</w:t>
      </w:r>
      <w:r>
        <w:t>34</w:t>
      </w:r>
      <w:r>
        <w:rPr>
          <w:rFonts w:ascii="MS Mincho" w:eastAsia="MS Mincho" w:hAnsi="MS Mincho" w:cs="MS Mincho" w:hint="eastAsia"/>
        </w:rPr>
        <w:t>】</w:t>
      </w:r>
      <w:r>
        <w:t>.</w:t>
      </w:r>
    </w:p>
    <w:p w14:paraId="349B302A" w14:textId="77777777" w:rsidR="0081775A" w:rsidRDefault="0081775A" w:rsidP="0081775A">
      <w:pPr>
        <w:pStyle w:val="StandardWeb"/>
        <w:numPr>
          <w:ilvl w:val="0"/>
          <w:numId w:val="11"/>
        </w:numPr>
      </w:pPr>
      <w:r>
        <w:rPr>
          <w:rStyle w:val="Fett"/>
          <w:rFonts w:eastAsiaTheme="majorEastAsia"/>
        </w:rPr>
        <w:t>Design-Based Research (DBR):</w:t>
      </w:r>
      <w:r>
        <w:t xml:space="preserve"> Iterative Modellzyklen erzeugen eine doppelte Struktur: einerseits empirische Lernprozesse, andererseits theoretische Modellvalidierung über emergente Kohärenz. Damit wird die didaktische Umsetzung des FZRK nicht nur realisiert, sondern auch geprüft</w:t>
      </w:r>
      <w:r>
        <w:rPr>
          <w:rFonts w:ascii="MS Mincho" w:eastAsia="MS Mincho" w:hAnsi="MS Mincho" w:cs="MS Mincho" w:hint="eastAsia"/>
        </w:rPr>
        <w:t>【</w:t>
      </w:r>
      <w:r>
        <w:t>35</w:t>
      </w:r>
      <w:r>
        <w:rPr>
          <w:rFonts w:ascii="MS Mincho" w:eastAsia="MS Mincho" w:hAnsi="MS Mincho" w:cs="MS Mincho" w:hint="eastAsia"/>
        </w:rPr>
        <w:t>】</w:t>
      </w:r>
      <w:r>
        <w:t>.</w:t>
      </w:r>
    </w:p>
    <w:p w14:paraId="40939459" w14:textId="77777777" w:rsidR="0081775A" w:rsidRDefault="0081775A" w:rsidP="0081775A">
      <w:pPr>
        <w:pStyle w:val="berschrift3"/>
      </w:pPr>
      <w:r>
        <w:t>5.4.4 Reflexive Validierungslogik: Kohärenz statt Korrelation</w:t>
      </w:r>
    </w:p>
    <w:p w14:paraId="78AEF30B" w14:textId="77777777" w:rsidR="0081775A" w:rsidRDefault="0081775A" w:rsidP="0081775A">
      <w:pPr>
        <w:pStyle w:val="StandardWeb"/>
      </w:pPr>
      <w:r>
        <w:t xml:space="preserve">Die zentrale epistemische Leistung des FZRK liegt darin, dass es </w:t>
      </w:r>
      <w:r>
        <w:rPr>
          <w:rStyle w:val="Hervorhebung"/>
        </w:rPr>
        <w:t>Validität als Funktionalität</w:t>
      </w:r>
      <w:r>
        <w:t xml:space="preserve"> versteht. Ein Modell ist gültig, wenn:</w:t>
      </w:r>
    </w:p>
    <w:p w14:paraId="6AAEEF98" w14:textId="77777777" w:rsidR="0081775A" w:rsidRDefault="0081775A" w:rsidP="0081775A">
      <w:pPr>
        <w:pStyle w:val="StandardWeb"/>
        <w:numPr>
          <w:ilvl w:val="0"/>
          <w:numId w:val="12"/>
        </w:numPr>
      </w:pPr>
      <w:r>
        <w:t>seine Zuweisungen konsistent innerhalb seines Systems sind,</w:t>
      </w:r>
    </w:p>
    <w:p w14:paraId="542A8B23" w14:textId="77777777" w:rsidR="0081775A" w:rsidRDefault="0081775A" w:rsidP="0081775A">
      <w:pPr>
        <w:pStyle w:val="StandardWeb"/>
        <w:numPr>
          <w:ilvl w:val="0"/>
          <w:numId w:val="12"/>
        </w:numPr>
      </w:pPr>
      <w:r>
        <w:t>es empirisch rekonstruierbare Effekte hervorbringt,</w:t>
      </w:r>
    </w:p>
    <w:p w14:paraId="7F288D49" w14:textId="77777777" w:rsidR="0081775A" w:rsidRDefault="0081775A" w:rsidP="0081775A">
      <w:pPr>
        <w:pStyle w:val="StandardWeb"/>
        <w:numPr>
          <w:ilvl w:val="0"/>
          <w:numId w:val="12"/>
        </w:numPr>
      </w:pPr>
      <w:r>
        <w:t>und es in andere disziplinäre Kontexte übertragbar bleibt.</w:t>
      </w:r>
    </w:p>
    <w:p w14:paraId="51C125FA" w14:textId="77777777" w:rsidR="0081775A" w:rsidRDefault="0081775A" w:rsidP="0081775A">
      <w:pPr>
        <w:pStyle w:val="StandardWeb"/>
      </w:pPr>
      <w:r>
        <w:t>Dies steht in Kontrast zum klassischen Paradigma wissenschaftlicher Verifikation, das immer auf ein von der Theorie unabhängiges Außen rekurriert. Stattdessen folgt das FZRK einem postklassischen Verständnis von Erkenntnis:</w:t>
      </w:r>
    </w:p>
    <w:p w14:paraId="79DAB66B" w14:textId="77777777" w:rsidR="0081775A" w:rsidRDefault="0081775A" w:rsidP="0081775A">
      <w:pPr>
        <w:pStyle w:val="StandardWeb"/>
      </w:pPr>
      <w:r>
        <w:t>„Validität ist nicht das, was außerhalb liegt, sondern das, was sich im Inneren eines strukturierten Bezugssystems reproduzieren lässt.“</w:t>
      </w:r>
      <w:r>
        <w:rPr>
          <w:rFonts w:ascii="MS Mincho" w:eastAsia="MS Mincho" w:hAnsi="MS Mincho" w:cs="MS Mincho" w:hint="eastAsia"/>
        </w:rPr>
        <w:t>【</w:t>
      </w:r>
      <w:r>
        <w:t>36</w:t>
      </w:r>
      <w:r>
        <w:rPr>
          <w:rFonts w:ascii="MS Mincho" w:eastAsia="MS Mincho" w:hAnsi="MS Mincho" w:cs="MS Mincho" w:hint="eastAsia"/>
        </w:rPr>
        <w:t>】</w:t>
      </w:r>
    </w:p>
    <w:p w14:paraId="56951577" w14:textId="77777777" w:rsidR="0081775A" w:rsidRDefault="0081775A" w:rsidP="0081775A">
      <w:pPr>
        <w:pStyle w:val="berschrift3"/>
      </w:pPr>
      <w:r>
        <w:t>5.4.5 Fazit: Strukturbeweis durch empirische Anschlussfähigkeit</w:t>
      </w:r>
    </w:p>
    <w:p w14:paraId="306553F8" w14:textId="77777777" w:rsidR="0081775A" w:rsidRDefault="0081775A" w:rsidP="0081775A">
      <w:pPr>
        <w:pStyle w:val="StandardWeb"/>
      </w:pPr>
      <w:r>
        <w:t>Die empirische Validierung des FZRK kann nicht durch ein isoliertes Experiment erfolgen. Vielmehr ist sie ein Prozess der zunehmenden Anschlussfähigkeit über Disziplinen, Methoden und Perspektiven hinweg. Physik, KI, Didaktik, Systemtheorie – sie alle zeigen, dass funktionale Modelle nicht nur möglich, sondern empirisch fruchtbar sind. Die eigentliche Stärke des FZRK liegt darin, dass es als reflexiver Strukturrahmen fungiert, der modelltheoretische, empirische und erkenntnistheoretische Validität zugleich operationalisieren kann.</w:t>
      </w:r>
    </w:p>
    <w:p w14:paraId="3A530D7D" w14:textId="77777777" w:rsidR="0081775A" w:rsidRDefault="009D4C99" w:rsidP="0081775A">
      <w:r>
        <w:pict w14:anchorId="0DA21331">
          <v:rect id="_x0000_i1028" style="width:0;height:1.5pt" o:hralign="center" o:hrstd="t" o:hr="t" fillcolor="#a0a0a0" stroked="f"/>
        </w:pict>
      </w:r>
    </w:p>
    <w:p w14:paraId="1F393753" w14:textId="77777777" w:rsidR="0081775A" w:rsidRDefault="0081775A" w:rsidP="0081775A">
      <w:pPr>
        <w:pStyle w:val="berschrift3"/>
      </w:pPr>
      <w:r>
        <w:t>Literaturverzeichnis zu Abschnitt 5.4 (Fortsetzung)</w:t>
      </w:r>
    </w:p>
    <w:p w14:paraId="710C267E" w14:textId="77777777" w:rsidR="0081775A" w:rsidRDefault="0081775A" w:rsidP="0081775A">
      <w:pPr>
        <w:pStyle w:val="StandardWeb"/>
      </w:pPr>
      <w:r>
        <w:t xml:space="preserve">[20] Suppes, P. (1972). </w:t>
      </w:r>
      <w:r>
        <w:rPr>
          <w:rStyle w:val="Hervorhebung"/>
        </w:rPr>
        <w:t>Axiomatic Set Theory</w:t>
      </w:r>
      <w:r>
        <w:t>. Dover Publications.</w:t>
      </w:r>
      <w:r>
        <w:br/>
        <w:t xml:space="preserve">[21] Baez, J., &amp; Stay, M. (2010). </w:t>
      </w:r>
      <w:r>
        <w:rPr>
          <w:rStyle w:val="Hervorhebung"/>
        </w:rPr>
        <w:t>Physics, Topology, Logic and Computation: A Rosetta Stone</w:t>
      </w:r>
      <w:r>
        <w:t xml:space="preserve">. In: Coecke (Ed.), </w:t>
      </w:r>
      <w:r>
        <w:rPr>
          <w:rStyle w:val="Hervorhebung"/>
        </w:rPr>
        <w:t>New Structures for Physics</w:t>
      </w:r>
      <w:r>
        <w:t>, Springer, S. 117.</w:t>
      </w:r>
      <w:r>
        <w:br/>
        <w:t xml:space="preserve">[22] Rovelli, C. (2004). </w:t>
      </w:r>
      <w:r>
        <w:rPr>
          <w:rStyle w:val="Hervorhebung"/>
        </w:rPr>
        <w:t>Quantum Gravity</w:t>
      </w:r>
      <w:r>
        <w:t>. Cambridge University Press.</w:t>
      </w:r>
      <w:r>
        <w:br/>
        <w:t xml:space="preserve">[23] Penrose, R. (2004). </w:t>
      </w:r>
      <w:r>
        <w:rPr>
          <w:rStyle w:val="Hervorhebung"/>
        </w:rPr>
        <w:t>The Road to Reality</w:t>
      </w:r>
      <w:r>
        <w:t>. Jonathan Cape.</w:t>
      </w:r>
      <w:r>
        <w:br/>
        <w:t xml:space="preserve">[24] Sutton, R. S., &amp; Barto, A. G. (2018). </w:t>
      </w:r>
      <w:r>
        <w:rPr>
          <w:rStyle w:val="Hervorhebung"/>
        </w:rPr>
        <w:t>Reinforcement Learning: An Introduction</w:t>
      </w:r>
      <w:r>
        <w:t>. MIT Press.</w:t>
      </w:r>
      <w:r>
        <w:br/>
        <w:t xml:space="preserve">[25] Russell, S., &amp; Norvig, P. (2010). </w:t>
      </w:r>
      <w:r>
        <w:rPr>
          <w:rStyle w:val="Hervorhebung"/>
        </w:rPr>
        <w:t>Artificial Intelligence: A Modern Approach</w:t>
      </w:r>
      <w:r>
        <w:t>. Prentice Hall.</w:t>
      </w:r>
      <w:r>
        <w:br/>
        <w:t xml:space="preserve">[26] Schmidhuber, J. (2015). </w:t>
      </w:r>
      <w:r>
        <w:rPr>
          <w:rStyle w:val="Hervorhebung"/>
        </w:rPr>
        <w:t>Deep Learning in Neural Networks: An Overview</w:t>
      </w:r>
      <w:r>
        <w:t>. Neural Networks.</w:t>
      </w:r>
      <w:r>
        <w:br/>
      </w:r>
      <w:r>
        <w:lastRenderedPageBreak/>
        <w:t xml:space="preserve">[27] Tulodziecki, G., Herzig, B., &amp; Blömeke, S. (2022). </w:t>
      </w:r>
      <w:r>
        <w:rPr>
          <w:rStyle w:val="Hervorhebung"/>
        </w:rPr>
        <w:t>Didaktik – Grundlagen und Perspektiven</w:t>
      </w:r>
      <w:r>
        <w:t>. Klinkhardt.</w:t>
      </w:r>
      <w:r>
        <w:br/>
        <w:t xml:space="preserve">[28] Reinmann, G. (2012). </w:t>
      </w:r>
      <w:r>
        <w:rPr>
          <w:rStyle w:val="Hervorhebung"/>
        </w:rPr>
        <w:t>Offenheit als didaktisches Prinzip</w:t>
      </w:r>
      <w:r>
        <w:t>. ZFHE, 7(1), 1–19.</w:t>
      </w:r>
      <w:r>
        <w:br/>
        <w:t xml:space="preserve">[29] Flandin, S., &amp; Lefrançois, L. (2020). </w:t>
      </w:r>
      <w:r>
        <w:rPr>
          <w:rStyle w:val="Hervorhebung"/>
        </w:rPr>
        <w:t>Emergent Learning Environments and the Role of Teachers as Designers</w:t>
      </w:r>
      <w:r>
        <w:t>. Educational Action Research, 28(1), 9–26.</w:t>
      </w:r>
      <w:r>
        <w:br/>
        <w:t xml:space="preserve">[30] Luhmann, N. (1990). </w:t>
      </w:r>
      <w:r>
        <w:rPr>
          <w:rStyle w:val="Hervorhebung"/>
        </w:rPr>
        <w:t>Die Wissenschaft der Gesellschaft</w:t>
      </w:r>
      <w:r>
        <w:t>. Suhrkamp.</w:t>
      </w:r>
      <w:r>
        <w:br/>
        <w:t xml:space="preserve">[31] von Foerster, H. (1984). </w:t>
      </w:r>
      <w:r>
        <w:rPr>
          <w:rStyle w:val="Hervorhebung"/>
        </w:rPr>
        <w:t>Observing Systems</w:t>
      </w:r>
      <w:r>
        <w:t>. Intersystems Publications.</w:t>
      </w:r>
      <w:r>
        <w:br/>
        <w:t xml:space="preserve">[32] Epstein, J. M., &amp; Axtell, R. (1996). </w:t>
      </w:r>
      <w:r>
        <w:rPr>
          <w:rStyle w:val="Hervorhebung"/>
        </w:rPr>
        <w:t>Growing Artificial Societies</w:t>
      </w:r>
      <w:r>
        <w:t>. MIT Press.</w:t>
      </w:r>
      <w:r>
        <w:br/>
        <w:t xml:space="preserve">[33] Baur, N., &amp; Ernst, S. (2011). </w:t>
      </w:r>
      <w:r>
        <w:rPr>
          <w:rStyle w:val="Hervorhebung"/>
        </w:rPr>
        <w:t>Netzwerkanalyse</w:t>
      </w:r>
      <w:r>
        <w:t>. Springer VS.</w:t>
      </w:r>
      <w:r>
        <w:br/>
        <w:t xml:space="preserve">[34] Flick, U. (2019). </w:t>
      </w:r>
      <w:r>
        <w:rPr>
          <w:rStyle w:val="Hervorhebung"/>
        </w:rPr>
        <w:t>Qualitative Sozialforschung</w:t>
      </w:r>
      <w:r>
        <w:t>. Rowohlt.</w:t>
      </w:r>
      <w:r>
        <w:br/>
        <w:t xml:space="preserve">[35] Dohn, N. B. (2018). </w:t>
      </w:r>
      <w:r>
        <w:rPr>
          <w:rStyle w:val="Hervorhebung"/>
        </w:rPr>
        <w:t>Design for Learning in a Multimodal Environment</w:t>
      </w:r>
      <w:r>
        <w:t>. Routledge.</w:t>
      </w:r>
      <w:r>
        <w:br/>
        <w:t xml:space="preserve">[36] Jörissen, B., &amp; Meyer, T. (2015). </w:t>
      </w:r>
      <w:r>
        <w:rPr>
          <w:rStyle w:val="Hervorhebung"/>
        </w:rPr>
        <w:t>Epistemologien des Designs</w:t>
      </w:r>
      <w:r>
        <w:t>. ZfE, 18(4), 733–752.</w:t>
      </w:r>
    </w:p>
    <w:p w14:paraId="6A12091A" w14:textId="77777777" w:rsidR="00AF5F96" w:rsidRDefault="00AF5F96" w:rsidP="00AF5F96">
      <w:pPr>
        <w:pStyle w:val="berschrift2"/>
      </w:pPr>
      <w:r>
        <w:t>5.5 Erwartete Ergebnisse und mögliche Erkenntnisse</w:t>
      </w:r>
    </w:p>
    <w:p w14:paraId="50F40A6E" w14:textId="77777777" w:rsidR="00AF5F96" w:rsidRDefault="00AF5F96" w:rsidP="00AF5F96">
      <w:pPr>
        <w:pStyle w:val="berschrift3"/>
      </w:pPr>
      <w:r>
        <w:t>5.5.1 Erwartbare Bestätigungen und Widerlegungen funktionaler Modellhypothesen</w:t>
      </w:r>
    </w:p>
    <w:p w14:paraId="3D40EB96" w14:textId="77777777" w:rsidR="00AF5F96" w:rsidRDefault="00AF5F96" w:rsidP="00AF5F96">
      <w:pPr>
        <w:pStyle w:val="StandardWeb"/>
      </w:pPr>
      <w:r>
        <w:t xml:space="preserve">Im Sinne des FZRK ist empirische Überprüfung nicht als klassischer Wahrheitsnachweis zu verstehen, sondern als </w:t>
      </w:r>
      <w:r>
        <w:rPr>
          <w:rStyle w:val="Hervorhebung"/>
        </w:rPr>
        <w:t>Validierung relationaler Strukturkohärenz</w:t>
      </w:r>
      <w:r>
        <w:t>, die in funktionalen Kontexten rekonstruierbar wird. „Beweis“ im FZRK heißt: Beobachtbare Prozesse bestätigen, dass Zuweisungen systematisch, rekonstruierbar und konsistent konfiguriert sind – ohne externe Referenzinstanz [37].</w:t>
      </w:r>
    </w:p>
    <w:p w14:paraId="7E9ABA39" w14:textId="77777777" w:rsidR="00AF5F96" w:rsidRDefault="00AF5F96" w:rsidP="00AF5F96">
      <w:pPr>
        <w:pStyle w:val="StandardWeb"/>
      </w:pPr>
      <w:r>
        <w:t>Im Kontext praktischer Anwendungsforschung ergeben sich drei zentrale Erwartungstypen:</w:t>
      </w:r>
    </w:p>
    <w:p w14:paraId="10E709A8" w14:textId="77777777" w:rsidR="00AF5F96" w:rsidRDefault="00AF5F96" w:rsidP="00AF5F96">
      <w:pPr>
        <w:pStyle w:val="StandardWeb"/>
      </w:pPr>
      <w:r>
        <w:rPr>
          <w:rStyle w:val="Fett"/>
          <w:rFonts w:eastAsiaTheme="majorEastAsia"/>
        </w:rPr>
        <w:t>(1) Strukturelle Konsistenz in didaktischen Settings:</w:t>
      </w:r>
      <w:r>
        <w:br/>
        <w:t>In Design-Based-Research-Ansätzen zeigen sich stabile, rekonstruierbare Muster in der Struktur von Lernumgebungen, etwa durch die wiederholbare Wirkung spezifischer Aufgabenformate, zeitlicher Strukturierungen oder Medienkonfigurationen [38][39]. Derartige Regularitäten sprechen für eine funktionale Gültigkeit der zugrunde liegenden Modellarchitektur.</w:t>
      </w:r>
    </w:p>
    <w:p w14:paraId="0A6A29B5" w14:textId="77777777" w:rsidR="00AF5F96" w:rsidRDefault="00AF5F96" w:rsidP="00AF5F96">
      <w:pPr>
        <w:pStyle w:val="StandardWeb"/>
      </w:pPr>
      <w:r>
        <w:rPr>
          <w:rStyle w:val="Fett"/>
          <w:rFonts w:eastAsiaTheme="majorEastAsia"/>
        </w:rPr>
        <w:t>(2) Emergenz in simulationsbasierten Testumgebungen:</w:t>
      </w:r>
      <w:r>
        <w:br/>
        <w:t>Multiagentensysteme (z. B. NetLogo-Umgebungen) ermöglichen es, Akteur-Funktionen als Steuerlogiken zu implementieren. Wenn z. B. ein Agent A durch Zuweisung M(A,Ψ,x,y,z,t) adaptive Interaktionsmuster erzeugt, lässt sich empirisch zeigen, dass bestimmte Relationen (etwa Koordination oder Selbstregulation) systemisch entstehen – nicht aus den Einzelhandlungen heraus, sondern aus ihrer Verknüpfung [40][41].</w:t>
      </w:r>
    </w:p>
    <w:p w14:paraId="25CEB6A8" w14:textId="77777777" w:rsidR="00AF5F96" w:rsidRDefault="00AF5F96" w:rsidP="00AF5F96">
      <w:pPr>
        <w:pStyle w:val="StandardWeb"/>
      </w:pPr>
      <w:r>
        <w:rPr>
          <w:rStyle w:val="Fett"/>
          <w:rFonts w:eastAsiaTheme="majorEastAsia"/>
        </w:rPr>
        <w:t>(3) Bedeutungskonvergenz in kommunikativen Kontexten:</w:t>
      </w:r>
      <w:r>
        <w:br/>
        <w:t>In der qualitativen Unterrichtsforschung oder Interviewanalyse zeigen sich stabile Bedeutungsbildungsprozesse, die nicht durch Begriffsdefinitionen, sondern durch situative Zuweisungen (Kontext, Betonung, Rolle, Handlungsperspektive) entstehen [42]. Diese Ergebnisse stützen die zentrale Annahme des FZRK, dass Bedeutung nicht an Subjekte oder Inhalte gebunden ist, sondern aus relationaler Positionierung emergiert.</w:t>
      </w:r>
    </w:p>
    <w:p w14:paraId="064223D3" w14:textId="77777777" w:rsidR="00AF5F96" w:rsidRDefault="00AF5F96" w:rsidP="00AF5F96">
      <w:pPr>
        <w:pStyle w:val="StandardWeb"/>
      </w:pPr>
      <w:r>
        <w:t xml:space="preserve">Widerlegungen im klassischen Sinne sind innerhalb funktionaler Modelle nur begrenzt denkbar. Da das FZRK keinen Objektbezug postuliert, ist kein Außensystem verfügbar, mit dem sich Aussagen als „falsch“ verifizieren lassen. Dennoch gibt es relevante Kriterien für </w:t>
      </w:r>
      <w:r>
        <w:rPr>
          <w:rStyle w:val="Fett"/>
          <w:rFonts w:eastAsiaTheme="majorEastAsia"/>
        </w:rPr>
        <w:t>funktionale Widerlegbarkeit</w:t>
      </w:r>
      <w:r>
        <w:t>:</w:t>
      </w:r>
    </w:p>
    <w:p w14:paraId="3265127F" w14:textId="77777777" w:rsidR="00AF5F96" w:rsidRDefault="00AF5F96" w:rsidP="00AF5F96">
      <w:pPr>
        <w:pStyle w:val="StandardWeb"/>
        <w:numPr>
          <w:ilvl w:val="0"/>
          <w:numId w:val="13"/>
        </w:numPr>
      </w:pPr>
      <w:r>
        <w:rPr>
          <w:rStyle w:val="Fett"/>
          <w:rFonts w:eastAsiaTheme="majorEastAsia"/>
        </w:rPr>
        <w:lastRenderedPageBreak/>
        <w:t>Inkohärenz:</w:t>
      </w:r>
      <w:r>
        <w:t xml:space="preserve"> Wenn ein Zuweisungssystem intern widersprüchlich ist – z. B. wenn ψ-Operatoren in M(A,Ψ,x,y,z,t) unvereinbare Kontexte erzeugen.</w:t>
      </w:r>
    </w:p>
    <w:p w14:paraId="6A83587E" w14:textId="77777777" w:rsidR="00AF5F96" w:rsidRDefault="00AF5F96" w:rsidP="00AF5F96">
      <w:pPr>
        <w:pStyle w:val="StandardWeb"/>
        <w:numPr>
          <w:ilvl w:val="0"/>
          <w:numId w:val="13"/>
        </w:numPr>
      </w:pPr>
      <w:r>
        <w:rPr>
          <w:rStyle w:val="Fett"/>
          <w:rFonts w:eastAsiaTheme="majorEastAsia"/>
        </w:rPr>
        <w:t>Strukturversagen:</w:t>
      </w:r>
      <w:r>
        <w:t xml:space="preserve"> Wenn kein Zusammenhang zwischen eingesetzten Zuweisungen und beobachtbaren Systemverhalten rekonstruierbar ist.</w:t>
      </w:r>
    </w:p>
    <w:p w14:paraId="4BE6C91E" w14:textId="77777777" w:rsidR="00AF5F96" w:rsidRDefault="00AF5F96" w:rsidP="00AF5F96">
      <w:pPr>
        <w:pStyle w:val="StandardWeb"/>
        <w:numPr>
          <w:ilvl w:val="0"/>
          <w:numId w:val="13"/>
        </w:numPr>
      </w:pPr>
      <w:r>
        <w:rPr>
          <w:rStyle w:val="Fett"/>
          <w:rFonts w:eastAsiaTheme="majorEastAsia"/>
        </w:rPr>
        <w:t>Redundanz oder Trivialität:</w:t>
      </w:r>
      <w:r>
        <w:t xml:space="preserve"> Wenn funktionale Zuweisungen zu beliebigen Ergebnissen führen oder keine Emergenz erzeugen.</w:t>
      </w:r>
    </w:p>
    <w:p w14:paraId="6FBE5A96" w14:textId="77777777" w:rsidR="00AF5F96" w:rsidRDefault="00AF5F96" w:rsidP="00AF5F96">
      <w:pPr>
        <w:pStyle w:val="StandardWeb"/>
      </w:pPr>
      <w:r>
        <w:t>„Fehlschläge funktionaler Modelle sind keine Negationen, sondern Indikatoren systemischer Nichtanschlussfähigkeit – und damit Hinweise auf notwendige Modellrevisionen.“ [43]</w:t>
      </w:r>
    </w:p>
    <w:p w14:paraId="74A632C3" w14:textId="77777777" w:rsidR="00AF5F96" w:rsidRDefault="00AF5F96" w:rsidP="00AF5F96">
      <w:pPr>
        <w:pStyle w:val="berschrift3"/>
      </w:pPr>
      <w:r>
        <w:t>5.5.2 Hinweise auf Modellanpassungen oder Weiterentwicklungen</w:t>
      </w:r>
    </w:p>
    <w:p w14:paraId="26F64FDD" w14:textId="77777777" w:rsidR="00AF5F96" w:rsidRDefault="00AF5F96" w:rsidP="00AF5F96">
      <w:pPr>
        <w:pStyle w:val="StandardWeb"/>
      </w:pPr>
      <w:r>
        <w:t xml:space="preserve">Funktionale Modelle zeichnen sich nicht durch Endgültigkeit aus, sondern durch </w:t>
      </w:r>
      <w:r>
        <w:rPr>
          <w:rStyle w:val="Hervorhebung"/>
        </w:rPr>
        <w:t>modellinterne Lernfähigkeit</w:t>
      </w:r>
      <w:r>
        <w:t>. Jede Anwendung des FZRK kann daher zur Erkenntnis über seine eigene Struktur führen. Drei paradigmatische Adaptionsformen zeichnen sich ab:</w:t>
      </w:r>
    </w:p>
    <w:p w14:paraId="52628FD9" w14:textId="77777777" w:rsidR="00AF5F96" w:rsidRDefault="00AF5F96" w:rsidP="00AF5F96">
      <w:pPr>
        <w:pStyle w:val="StandardWeb"/>
      </w:pPr>
      <w:r>
        <w:rPr>
          <w:rStyle w:val="Fett"/>
          <w:rFonts w:eastAsiaTheme="majorEastAsia"/>
        </w:rPr>
        <w:t>(1) Parametrische Optimierung der Meta-Funktion:</w:t>
      </w:r>
      <w:r>
        <w:br/>
        <w:t>In zahlreichen agentenbasierten Modellen zeigen sich die ψ-Komponenten (Interpretationsrahmen) als hochsensibel. Kleine Veränderungen – etwa im relationalen Kontext oder in der Raumzeitkoordinatierung – führen zu völlig neuen emergenten Strukturen. Diese Sensitivität erlaubt einerseits Differenzierung, erfordert andererseits präzise empirische Rückkopplung [40].</w:t>
      </w:r>
    </w:p>
    <w:p w14:paraId="2A356B60" w14:textId="77777777" w:rsidR="00AF5F96" w:rsidRDefault="00AF5F96" w:rsidP="00AF5F96">
      <w:pPr>
        <w:pStyle w:val="StandardWeb"/>
      </w:pPr>
      <w:r>
        <w:rPr>
          <w:rStyle w:val="Fett"/>
          <w:rFonts w:eastAsiaTheme="majorEastAsia"/>
        </w:rPr>
        <w:t>(2) Domänenspezifische Modellvarianten:</w:t>
      </w:r>
      <w:r>
        <w:br/>
        <w:t>In medizinischen Entscheidungsprozessen hat sich gezeigt, dass Akteur-Objekt-Relationen nicht tragfähig genug sind. Stattdessen wurden feldbasierte Zuweisungssysteme modelliert, bei denen die Handlungsmacht emergent aus Rollen, Kommunikationsprozessen und zeitlichen Fenstern entsteht – eine Funktionalität, die ohne FZRK-Logik nicht abbildbar wäre [44].</w:t>
      </w:r>
    </w:p>
    <w:p w14:paraId="5E64F8CC" w14:textId="77777777" w:rsidR="00AF5F96" w:rsidRDefault="00AF5F96" w:rsidP="00AF5F96">
      <w:pPr>
        <w:pStyle w:val="StandardWeb"/>
      </w:pPr>
      <w:r>
        <w:rPr>
          <w:rStyle w:val="Fett"/>
          <w:rFonts w:eastAsiaTheme="majorEastAsia"/>
        </w:rPr>
        <w:t>(3) Reflexive Metastrukturen im Forschungsprozess:</w:t>
      </w:r>
      <w:r>
        <w:br/>
        <w:t>Forschungsdesigns, die systematisch Meta-Beobachter integrieren – etwa in Form von Forschungstagebüchern, Diskursprotokollen oder automatisierten Reflexionstrackern – erzeugen eine neue Beobachtungsebene. Diese Metazuweisungen können systemisch als Teil des Modells erfasst werden und erhöhen dessen strukturelle Selbstreferenzialität [45].</w:t>
      </w:r>
    </w:p>
    <w:p w14:paraId="62A9896B" w14:textId="77777777" w:rsidR="00AF5F96" w:rsidRDefault="00AF5F96" w:rsidP="00AF5F96">
      <w:pPr>
        <w:pStyle w:val="StandardWeb"/>
      </w:pPr>
      <w:r>
        <w:t xml:space="preserve">Diese Erweiterungen demonstrieren, dass das FZRK nicht als geschlossener Theoriekörper fungiert, sondern als </w:t>
      </w:r>
      <w:r>
        <w:rPr>
          <w:rStyle w:val="Hervorhebung"/>
        </w:rPr>
        <w:t>epistemisches System</w:t>
      </w:r>
      <w:r>
        <w:t>, das durch empirische Praxis permanent weiterentwickelt wird. Seine Beweisbarkeit liegt genau in dieser Rekonfigurierbarkeit: Nur was sich rekonstruieren, modifizieren und anschlussfähig erhalten lässt, gilt als funktional stabil.</w:t>
      </w:r>
    </w:p>
    <w:p w14:paraId="1D09A983" w14:textId="77777777" w:rsidR="00AF5F96" w:rsidRDefault="00AF5F96" w:rsidP="00AF5F96">
      <w:pPr>
        <w:pStyle w:val="berschrift3"/>
      </w:pPr>
      <w:r>
        <w:t>5.5.3 Potenzial zur Transferierbarkeit in andere Disziplinen</w:t>
      </w:r>
    </w:p>
    <w:p w14:paraId="16B8BFB0" w14:textId="77777777" w:rsidR="00AF5F96" w:rsidRDefault="00AF5F96" w:rsidP="00AF5F96">
      <w:pPr>
        <w:pStyle w:val="StandardWeb"/>
      </w:pPr>
      <w:r>
        <w:t>Die disziplinäre Offenheit des FZRK ist kein Nebenprodukt, sondern ontologischer Kern. Der Grundgedanke – dass alles Wissen durch Zuweisung entsteht – ist mit traditionellen Ontologien unvereinbar, aber mit einer Vielzahl aktueller Forschungspraktiken kompatibel:</w:t>
      </w:r>
    </w:p>
    <w:p w14:paraId="489E8626" w14:textId="77777777" w:rsidR="00AF5F96" w:rsidRDefault="00AF5F96" w:rsidP="00AF5F96">
      <w:pPr>
        <w:pStyle w:val="StandardWeb"/>
      </w:pPr>
      <w:r>
        <w:rPr>
          <w:rStyle w:val="Fett"/>
          <w:rFonts w:eastAsiaTheme="majorEastAsia"/>
        </w:rPr>
        <w:t>(1) In der Informatik:</w:t>
      </w:r>
      <w:r>
        <w:br/>
        <w:t xml:space="preserve">Transformer-Modelle wie GPT, BERT oder T5 erzeugen Bedeutungen nicht durch feste semantische Einheiten, sondern durch </w:t>
      </w:r>
      <w:r>
        <w:rPr>
          <w:rStyle w:val="Hervorhebung"/>
        </w:rPr>
        <w:t>kontextsensitive Positionsrelationen</w:t>
      </w:r>
      <w:r>
        <w:t xml:space="preserve">. Das FZRK bietet </w:t>
      </w:r>
      <w:r>
        <w:lastRenderedPageBreak/>
        <w:t>ein epistemisches Rahmenmodell für solche Bedeutungsräume, die nur relational strukturiert sind [46].</w:t>
      </w:r>
    </w:p>
    <w:p w14:paraId="048D3706" w14:textId="77777777" w:rsidR="00AF5F96" w:rsidRDefault="00AF5F96" w:rsidP="00AF5F96">
      <w:pPr>
        <w:pStyle w:val="StandardWeb"/>
      </w:pPr>
      <w:r>
        <w:rPr>
          <w:rStyle w:val="Fett"/>
          <w:rFonts w:eastAsiaTheme="majorEastAsia"/>
        </w:rPr>
        <w:t>(2) In der Systembiologie:</w:t>
      </w:r>
      <w:r>
        <w:br/>
        <w:t>Zelluläre Prozesse werden zunehmend als netzwerkartige Regelsysteme modelliert – etwa Genexpressionen oder neuronale Aktivierungsmuster. Anstelle fester Ursachen gelten dynamische Kopplungen als Erklärungsmuster – ein ideales Anwendungsfeld für Zuweisungslogiken wie im FZRK [47].</w:t>
      </w:r>
    </w:p>
    <w:p w14:paraId="3884A524" w14:textId="77777777" w:rsidR="00AF5F96" w:rsidRDefault="00AF5F96" w:rsidP="00AF5F96">
      <w:pPr>
        <w:pStyle w:val="StandardWeb"/>
      </w:pPr>
      <w:r>
        <w:rPr>
          <w:rStyle w:val="Fett"/>
          <w:rFonts w:eastAsiaTheme="majorEastAsia"/>
        </w:rPr>
        <w:t>(3) In der Sozialforschung:</w:t>
      </w:r>
      <w:r>
        <w:br/>
        <w:t>Die Systemtheorie nach Luhmann hat den Gedanken funktionaler Differenz etabliert – doch es fehlt oft an Modellierungsinstrumenten. Das FZRK stellt hier eine formale Sprache zur Verfügung, um Komplexität, Differenz und Emergenz konkret zu erfassen [44].</w:t>
      </w:r>
    </w:p>
    <w:p w14:paraId="53C02640" w14:textId="77777777" w:rsidR="00AF5F96" w:rsidRDefault="00AF5F96" w:rsidP="00AF5F96">
      <w:pPr>
        <w:pStyle w:val="StandardWeb"/>
      </w:pPr>
      <w:r>
        <w:rPr>
          <w:rStyle w:val="Fett"/>
          <w:rFonts w:eastAsiaTheme="majorEastAsia"/>
        </w:rPr>
        <w:t>(4) In der Umwelt- und Raumplanung:</w:t>
      </w:r>
      <w:r>
        <w:br/>
        <w:t>Komplexe Systeme wie urbane Regionen, Landschaftsökosysteme oder Energieinfrastrukturen benötigen flexible, kontextsensitive Modellierungen. Die Methode der „relationalen Kartografie“ (vgl. Jörissen &amp; Meyer) lässt sich direkt mit den Zuweisungsfunktionen des FZRK verschränken [45].</w:t>
      </w:r>
    </w:p>
    <w:p w14:paraId="0D884CBB" w14:textId="77777777" w:rsidR="00AF5F96" w:rsidRDefault="00AF5F96" w:rsidP="00AF5F96">
      <w:pPr>
        <w:pStyle w:val="StandardWeb"/>
      </w:pPr>
      <w:r>
        <w:t>„Die empirische Anschlussfähigkeit des FZRK zeigt sich nicht an seiner Anwendbarkeit, sondern an seiner Fähigkeit, Erkenntnisräume interdisziplinär zu strukturieren.“ [43]</w:t>
      </w:r>
    </w:p>
    <w:p w14:paraId="40F44F7E" w14:textId="77777777" w:rsidR="00AF5F96" w:rsidRDefault="00AF5F96" w:rsidP="00AF5F96">
      <w:pPr>
        <w:pStyle w:val="StandardWeb"/>
      </w:pPr>
      <w:r>
        <w:t>Somit bildet die Transferierbarkeit selbst einen entscheidenden Bestandteil des Beweises: Was sich disziplinübergreifend rekonstruieren, operationalisieren und weiterentwickeln lässt, ist funktional gültig im Sinne des FZRK.</w:t>
      </w:r>
    </w:p>
    <w:p w14:paraId="779A5908" w14:textId="77777777" w:rsidR="00AF5F96" w:rsidRDefault="009D4C99" w:rsidP="00AF5F96">
      <w:r>
        <w:pict w14:anchorId="18F0D46D">
          <v:rect id="_x0000_i1029" style="width:0;height:1.5pt" o:hralign="center" o:hrstd="t" o:hr="t" fillcolor="#a0a0a0" stroked="f"/>
        </w:pict>
      </w:r>
    </w:p>
    <w:p w14:paraId="775673F3" w14:textId="77777777" w:rsidR="00AF5F96" w:rsidRDefault="00AF5F96" w:rsidP="00AF5F96">
      <w:pPr>
        <w:pStyle w:val="berschrift2"/>
      </w:pPr>
      <w:r>
        <w:t>Literaturverzeichnis zu Abschnitt 5.5 (fortlaufend ab [37])</w:t>
      </w:r>
    </w:p>
    <w:p w14:paraId="4AAB2EC8" w14:textId="77777777" w:rsidR="00AF5F96" w:rsidRDefault="00AF5F96" w:rsidP="00AF5F96">
      <w:pPr>
        <w:pStyle w:val="StandardWeb"/>
      </w:pPr>
      <w:r>
        <w:t xml:space="preserve">[37] Reinmann, G., &amp; Meyer, T. (2022). </w:t>
      </w:r>
      <w:r>
        <w:rPr>
          <w:rStyle w:val="Hervorhebung"/>
        </w:rPr>
        <w:t>Didaktisches Design und epistemische Reflexion: Ansätze des funktionalen Denkens in Bildungsprozessen</w:t>
      </w:r>
      <w:r>
        <w:t>. In: Reflexive Praxisforschung. Springer.</w:t>
      </w:r>
      <w:r>
        <w:br/>
        <w:t xml:space="preserve">[38] Flandin, S., &amp; Lefrançois, L. (2020). </w:t>
      </w:r>
      <w:r>
        <w:rPr>
          <w:rStyle w:val="Hervorhebung"/>
        </w:rPr>
        <w:t>Emergent Learning Environments and the Role of Teachers as Designers</w:t>
      </w:r>
      <w:r>
        <w:t>. Educational Action Research, 28(1), 9–26.</w:t>
      </w:r>
      <w:r>
        <w:br/>
        <w:t xml:space="preserve">[39] Epstein, J. M., &amp; Axtell, R. (1996). </w:t>
      </w:r>
      <w:r>
        <w:rPr>
          <w:rStyle w:val="Hervorhebung"/>
        </w:rPr>
        <w:t>Growing Artificial Societies: Social Science from the Bottom Up</w:t>
      </w:r>
      <w:r>
        <w:t>. MIT Press.</w:t>
      </w:r>
      <w:r>
        <w:br/>
        <w:t xml:space="preserve">[40] Sutton, R. S., &amp; Barto, A. G. (2018). </w:t>
      </w:r>
      <w:r>
        <w:rPr>
          <w:rStyle w:val="Hervorhebung"/>
        </w:rPr>
        <w:t>Reinforcement Learning: An Introduction</w:t>
      </w:r>
      <w:r>
        <w:t>. MIT Press.</w:t>
      </w:r>
      <w:r>
        <w:br/>
        <w:t xml:space="preserve">[41] von Glasersfeld, E. (1995). </w:t>
      </w:r>
      <w:r>
        <w:rPr>
          <w:rStyle w:val="Hervorhebung"/>
        </w:rPr>
        <w:t>Radical Constructivism: A Way of Knowing and Learning</w:t>
      </w:r>
      <w:r>
        <w:t>. Falmer Press.</w:t>
      </w:r>
      <w:r>
        <w:br/>
        <w:t xml:space="preserve">[42] Flick, U. (2019). </w:t>
      </w:r>
      <w:r>
        <w:rPr>
          <w:rStyle w:val="Hervorhebung"/>
        </w:rPr>
        <w:t>Qualitative Sozialforschung: Eine Einführung</w:t>
      </w:r>
      <w:r>
        <w:t>. Rowohlt.</w:t>
      </w:r>
      <w:r>
        <w:br/>
        <w:t xml:space="preserve">[43] Foerster, H. von (1984). </w:t>
      </w:r>
      <w:r>
        <w:rPr>
          <w:rStyle w:val="Hervorhebung"/>
        </w:rPr>
        <w:t>Observing Systems</w:t>
      </w:r>
      <w:r>
        <w:t>. Intersystems Publications.</w:t>
      </w:r>
      <w:r>
        <w:br/>
        <w:t xml:space="preserve">[44] Luhmann, N. (1990). </w:t>
      </w:r>
      <w:r>
        <w:rPr>
          <w:rStyle w:val="Hervorhebung"/>
        </w:rPr>
        <w:t>Die Wissenschaft der Gesellschaft</w:t>
      </w:r>
      <w:r>
        <w:t>. Suhrkamp.</w:t>
      </w:r>
      <w:r>
        <w:br/>
        <w:t xml:space="preserve">[45] Jörissen, B., &amp; Meyer, T. (2015). </w:t>
      </w:r>
      <w:r>
        <w:rPr>
          <w:rStyle w:val="Hervorhebung"/>
        </w:rPr>
        <w:t>Epistemologien des Designs – zur Theorie didaktischer Modellierung</w:t>
      </w:r>
      <w:r>
        <w:t>. In: Zeitschrift für Erziehungswissenschaft, 18(4), 733–752.</w:t>
      </w:r>
      <w:r>
        <w:br/>
        <w:t xml:space="preserve">[46] Schmidhuber, J. (2015). </w:t>
      </w:r>
      <w:r>
        <w:rPr>
          <w:rStyle w:val="Hervorhebung"/>
        </w:rPr>
        <w:t>Deep Learning in Neural Networks: An Overview</w:t>
      </w:r>
      <w:r>
        <w:t>. Neural Networks.</w:t>
      </w:r>
      <w:r>
        <w:br/>
        <w:t xml:space="preserve">[47] Noble, D. (2006). </w:t>
      </w:r>
      <w:r>
        <w:rPr>
          <w:rStyle w:val="Hervorhebung"/>
        </w:rPr>
        <w:t>The Music of Life: Biology beyond the Genome</w:t>
      </w:r>
      <w:r>
        <w:t>. Oxford University Press.</w:t>
      </w:r>
    </w:p>
    <w:p w14:paraId="6A549AA3" w14:textId="77777777" w:rsidR="00F934C8" w:rsidRDefault="00F934C8" w:rsidP="00F934C8">
      <w:pPr>
        <w:pStyle w:val="berschrift2"/>
      </w:pPr>
      <w:r>
        <w:lastRenderedPageBreak/>
        <w:t>5.6 Notwendige Feldversuche und experimentelle Ansätze</w:t>
      </w:r>
    </w:p>
    <w:p w14:paraId="4ABD5A66" w14:textId="77777777" w:rsidR="00F934C8" w:rsidRDefault="00F934C8" w:rsidP="00F934C8">
      <w:pPr>
        <w:pStyle w:val="berschrift3"/>
      </w:pPr>
      <w:r>
        <w:t>5.6.1 Gestaltung von Feldversuchen: Kontext, Auswahl, Bedingungen</w:t>
      </w:r>
    </w:p>
    <w:p w14:paraId="5D41D1AC" w14:textId="77777777" w:rsidR="00F934C8" w:rsidRDefault="00F934C8" w:rsidP="00F934C8">
      <w:pPr>
        <w:pStyle w:val="StandardWeb"/>
      </w:pPr>
      <w:r>
        <w:t>Die empirische Überprüfung des FZRK kann nicht auf klassischen Experimentaldesigns beruhen, da das Modell nicht auf objektiv-externe Wirklichkeitsaussagen zielt, sondern auf rekonstruktive Kohärenz innerhalb relationaler Funktionsräume. Feldversuche müssen daher als kontextualisierte Modellräume verstanden werden, in denen durch strukturierte Zuweisung systemische Effekte erzeugt, beobachtet und bewertet werden können.</w:t>
      </w:r>
    </w:p>
    <w:p w14:paraId="41158C6D" w14:textId="77777777" w:rsidR="00F934C8" w:rsidRDefault="00F934C8" w:rsidP="00F934C8">
      <w:pPr>
        <w:pStyle w:val="StandardWeb"/>
      </w:pPr>
      <w:r>
        <w:t>Zentrale Gestaltungsprinzipien funktionaler Feldversuche sind:</w:t>
      </w:r>
    </w:p>
    <w:p w14:paraId="72B8FC60" w14:textId="77777777" w:rsidR="00F934C8" w:rsidRDefault="00F934C8" w:rsidP="00F934C8">
      <w:pPr>
        <w:pStyle w:val="StandardWeb"/>
        <w:numPr>
          <w:ilvl w:val="0"/>
          <w:numId w:val="14"/>
        </w:numPr>
      </w:pPr>
      <w:r>
        <w:rPr>
          <w:rStyle w:val="Fett"/>
          <w:rFonts w:eastAsiaTheme="majorEastAsia"/>
        </w:rPr>
        <w:t>Kontextspezifität statt Standardisierung</w:t>
      </w:r>
      <w:r>
        <w:t>: Da funktionale Strukturen kontextabhängig emergieren, müssen Feldversuche auf situative Bedingtheiten reagieren – etwa durch flexible Fallauswahl, dynamische Versuchsbedingungen oder rekursive Feedbackzyklen [48].</w:t>
      </w:r>
    </w:p>
    <w:p w14:paraId="3DB6D35B" w14:textId="77777777" w:rsidR="00F934C8" w:rsidRDefault="00F934C8" w:rsidP="00F934C8">
      <w:pPr>
        <w:pStyle w:val="StandardWeb"/>
        <w:numPr>
          <w:ilvl w:val="0"/>
          <w:numId w:val="14"/>
        </w:numPr>
      </w:pPr>
      <w:r>
        <w:rPr>
          <w:rStyle w:val="Fett"/>
          <w:rFonts w:eastAsiaTheme="majorEastAsia"/>
        </w:rPr>
        <w:t>Iterativität statt Linearität</w:t>
      </w:r>
      <w:r>
        <w:t>: Der Verlauf eines funktionalen Feldversuchs ist nicht prädeterminiert, sondern entwickelt sich durch rekursive Neujustierung von Zuweisungen, Bedeutungen und Beobachterrollen. Dies entspricht dem Design-Based-Research-Prinzip reflexiver Evaluation [49].</w:t>
      </w:r>
    </w:p>
    <w:p w14:paraId="29D713DD" w14:textId="77777777" w:rsidR="00F934C8" w:rsidRDefault="00F934C8" w:rsidP="00F934C8">
      <w:pPr>
        <w:pStyle w:val="StandardWeb"/>
        <w:numPr>
          <w:ilvl w:val="0"/>
          <w:numId w:val="14"/>
        </w:numPr>
      </w:pPr>
      <w:r>
        <w:rPr>
          <w:rStyle w:val="Fett"/>
          <w:rFonts w:eastAsiaTheme="majorEastAsia"/>
        </w:rPr>
        <w:t>Multi-Perspektivität statt Objektivismus</w:t>
      </w:r>
      <w:r>
        <w:t>: Da Beobachter Teil des Systems sind, sollten Feldversuche multiperspektivisch angelegt sein: Die Sichtweise verschiedener Akteure (z. B. Lernende, Lehrende, Forschende) muss systematisch einbezogen werden [50].</w:t>
      </w:r>
    </w:p>
    <w:p w14:paraId="3B21DBE7" w14:textId="77777777" w:rsidR="00F934C8" w:rsidRDefault="00F934C8" w:rsidP="00F934C8">
      <w:pPr>
        <w:pStyle w:val="StandardWeb"/>
      </w:pPr>
      <w:r>
        <w:t xml:space="preserve">Diese Anforderungen legen nahe, dass Feldversuche im FZRK-Rahmen nicht auf Repräsentativität zielen, sondern auf </w:t>
      </w:r>
      <w:r>
        <w:rPr>
          <w:rStyle w:val="Fett"/>
          <w:rFonts w:eastAsiaTheme="majorEastAsia"/>
        </w:rPr>
        <w:t>strukturelle Validität</w:t>
      </w:r>
      <w:r>
        <w:t xml:space="preserve"> – d. h. auf die Fähigkeit, funktionale Relationen als Wirkung zu rekonstruieren. Der Feldversuch wird damit zur reflexiven Zone epistemischer Erzeugung, nicht zur Messung von Außenrealität.</w:t>
      </w:r>
    </w:p>
    <w:p w14:paraId="1CFE05DC" w14:textId="77777777" w:rsidR="00F934C8" w:rsidRDefault="00F934C8" w:rsidP="00F934C8">
      <w:pPr>
        <w:pStyle w:val="berschrift3"/>
      </w:pPr>
      <w:r>
        <w:t>5.6.2 Beispielhafte Szenarien: Wie könnte ein Feldversuch konkret aussehen?</w:t>
      </w:r>
    </w:p>
    <w:p w14:paraId="583393B3" w14:textId="77777777" w:rsidR="00F934C8" w:rsidRDefault="00F934C8" w:rsidP="00F934C8">
      <w:pPr>
        <w:pStyle w:val="StandardWeb"/>
      </w:pPr>
      <w:r>
        <w:t>Die folgende exemplarische Skizze eines Feldversuchs dient zur Veranschaulichung funktionaler Prinzipien empirischer Validierung:</w:t>
      </w:r>
    </w:p>
    <w:p w14:paraId="4DB61E81" w14:textId="77777777" w:rsidR="00F934C8" w:rsidRDefault="00F934C8" w:rsidP="00F934C8">
      <w:pPr>
        <w:pStyle w:val="berschrift4"/>
      </w:pPr>
      <w:r>
        <w:t>Szenario: Digitale Lernumgebung zur Konzeptbildung im Physikunterricht</w:t>
      </w:r>
    </w:p>
    <w:p w14:paraId="5EBD2AF4" w14:textId="77777777" w:rsidR="00F934C8" w:rsidRDefault="00F934C8" w:rsidP="00F934C8">
      <w:pPr>
        <w:pStyle w:val="StandardWeb"/>
      </w:pPr>
      <w:r>
        <w:rPr>
          <w:rStyle w:val="Fett"/>
          <w:rFonts w:eastAsiaTheme="majorEastAsia"/>
        </w:rPr>
        <w:t>Ziel:</w:t>
      </w:r>
      <w:r>
        <w:t xml:space="preserve"> Validierung der Annahme, dass physikalische Begriffe wie „Energie“ nicht objektiv „vermittelt“, sondern durch rekursive Zuweisung (z. B. Aufgaben, Medien, Kontextfunktionen) emergent erzeugt werden.</w:t>
      </w:r>
    </w:p>
    <w:p w14:paraId="1A25C8A8" w14:textId="77777777" w:rsidR="00F934C8" w:rsidRDefault="00F934C8" w:rsidP="00F934C8">
      <w:pPr>
        <w:pStyle w:val="StandardWeb"/>
      </w:pPr>
      <w:r>
        <w:rPr>
          <w:rStyle w:val="Fett"/>
          <w:rFonts w:eastAsiaTheme="majorEastAsia"/>
        </w:rPr>
        <w:t>Versuchsdesign:</w:t>
      </w:r>
    </w:p>
    <w:p w14:paraId="368F8BBB" w14:textId="77777777" w:rsidR="00F934C8" w:rsidRDefault="00F934C8" w:rsidP="00F934C8">
      <w:pPr>
        <w:pStyle w:val="StandardWeb"/>
        <w:numPr>
          <w:ilvl w:val="0"/>
          <w:numId w:val="15"/>
        </w:numPr>
      </w:pPr>
      <w:r>
        <w:t>Eine Lerngruppe (Sek II, n = 25) erhält Zugriff auf eine digitale Lernplattform mit modulierbaren Aufgabenmodulen (z. B. Text, Experiment, Video).</w:t>
      </w:r>
    </w:p>
    <w:p w14:paraId="3BF04F57" w14:textId="77777777" w:rsidR="00F934C8" w:rsidRDefault="00F934C8" w:rsidP="00F934C8">
      <w:pPr>
        <w:pStyle w:val="StandardWeb"/>
        <w:numPr>
          <w:ilvl w:val="0"/>
          <w:numId w:val="15"/>
        </w:numPr>
      </w:pPr>
      <w:r>
        <w:t>Die Plattform ist strukturiert nach funktionalen Zuweisungskategorien (f1 = Kontextualisierung, f2 = Begriffsdifferenzierung, f3 = Transferbezug).</w:t>
      </w:r>
    </w:p>
    <w:p w14:paraId="0D207E3F" w14:textId="77777777" w:rsidR="00F934C8" w:rsidRDefault="00F934C8" w:rsidP="00F934C8">
      <w:pPr>
        <w:pStyle w:val="StandardWeb"/>
        <w:numPr>
          <w:ilvl w:val="0"/>
          <w:numId w:val="15"/>
        </w:numPr>
      </w:pPr>
      <w:r>
        <w:t>Lernprozessdaten (z. B. Navigationspfade, Diskursprotokolle, Zwischenprodukte) werden als relationales Netzwerk (Zuweisungsstruktur) rekonstruiert.</w:t>
      </w:r>
    </w:p>
    <w:p w14:paraId="3297EEDC" w14:textId="77777777" w:rsidR="00F934C8" w:rsidRDefault="00F934C8" w:rsidP="00F934C8">
      <w:pPr>
        <w:pStyle w:val="StandardWeb"/>
        <w:numPr>
          <w:ilvl w:val="0"/>
          <w:numId w:val="15"/>
        </w:numPr>
      </w:pPr>
      <w:r>
        <w:t>Reflexive Interviews mit Lernenden und Lehrpersonen ergänzen die relationalen Daten um subjektive Bedeutungszuschreibungen.</w:t>
      </w:r>
    </w:p>
    <w:p w14:paraId="09B33BB3" w14:textId="77777777" w:rsidR="00F934C8" w:rsidRDefault="00F934C8" w:rsidP="00F934C8">
      <w:pPr>
        <w:pStyle w:val="StandardWeb"/>
      </w:pPr>
      <w:r>
        <w:rPr>
          <w:rStyle w:val="Fett"/>
          <w:rFonts w:eastAsiaTheme="majorEastAsia"/>
        </w:rPr>
        <w:lastRenderedPageBreak/>
        <w:t>Analytisches Ziel:</w:t>
      </w:r>
      <w:r>
        <w:t xml:space="preserve"> Überprüfung, ob bestimmte Zuweisungskombinationen zu stabilen Bedeutungskernen („Begriff Energie“) führen – und ob sich aus Abweichungen Hinweise auf rekonfigurierbare Zuweisungsarchitekturen ableiten lassen.</w:t>
      </w:r>
    </w:p>
    <w:p w14:paraId="3C060A55" w14:textId="77777777" w:rsidR="00F934C8" w:rsidRDefault="00F934C8" w:rsidP="00F934C8">
      <w:pPr>
        <w:pStyle w:val="StandardWeb"/>
      </w:pPr>
      <w:r>
        <w:t xml:space="preserve">Dieses Beispiel illustriert, wie Feldversuche nicht der Überprüfung „richtiger Inhalte“ dienen, sondern der </w:t>
      </w:r>
      <w:r>
        <w:rPr>
          <w:rStyle w:val="Fett"/>
          <w:rFonts w:eastAsiaTheme="majorEastAsia"/>
        </w:rPr>
        <w:t>Rekonstruktion von Strukturbedingungen epistemischer Emergenz</w:t>
      </w:r>
      <w:r>
        <w:t xml:space="preserve"> – das zentrale Erkenntnisinteresse des FZRK [51].</w:t>
      </w:r>
    </w:p>
    <w:p w14:paraId="4EC74395" w14:textId="77777777" w:rsidR="00F934C8" w:rsidRDefault="00F934C8" w:rsidP="00F934C8">
      <w:pPr>
        <w:pStyle w:val="StandardWeb"/>
      </w:pPr>
      <w:r>
        <w:t>Weitere mögliche Szenarien:</w:t>
      </w:r>
    </w:p>
    <w:p w14:paraId="4D7889C3" w14:textId="77777777" w:rsidR="00F934C8" w:rsidRDefault="00F934C8" w:rsidP="00F934C8">
      <w:pPr>
        <w:pStyle w:val="StandardWeb"/>
        <w:numPr>
          <w:ilvl w:val="0"/>
          <w:numId w:val="16"/>
        </w:numPr>
      </w:pPr>
      <w:r>
        <w:rPr>
          <w:rStyle w:val="Fett"/>
          <w:rFonts w:eastAsiaTheme="majorEastAsia"/>
        </w:rPr>
        <w:t>Agentenbasierte Planspiele im Politikunterricht</w:t>
      </w:r>
      <w:r>
        <w:t>, um Handlungsmuster als Effekt sozialer Rollen- und Regelzuweisungen zu analysieren.</w:t>
      </w:r>
    </w:p>
    <w:p w14:paraId="2449E77E" w14:textId="77777777" w:rsidR="00F934C8" w:rsidRDefault="00F934C8" w:rsidP="00F934C8">
      <w:pPr>
        <w:pStyle w:val="StandardWeb"/>
        <w:numPr>
          <w:ilvl w:val="0"/>
          <w:numId w:val="16"/>
        </w:numPr>
      </w:pPr>
      <w:r>
        <w:rPr>
          <w:rStyle w:val="Fett"/>
          <w:rFonts w:eastAsiaTheme="majorEastAsia"/>
        </w:rPr>
        <w:t>KI-gestützte Feedbacksysteme</w:t>
      </w:r>
      <w:r>
        <w:t>, die in Echtzeit funktionale Zuweisungen identifizieren und adaptive Interventionen generieren (z. B. adaptive Tutorensysteme).</w:t>
      </w:r>
    </w:p>
    <w:p w14:paraId="42428498" w14:textId="77777777" w:rsidR="00F934C8" w:rsidRDefault="00F934C8" w:rsidP="00F934C8">
      <w:pPr>
        <w:pStyle w:val="StandardWeb"/>
        <w:numPr>
          <w:ilvl w:val="0"/>
          <w:numId w:val="16"/>
        </w:numPr>
      </w:pPr>
      <w:r>
        <w:rPr>
          <w:rStyle w:val="Fett"/>
          <w:rFonts w:eastAsiaTheme="majorEastAsia"/>
        </w:rPr>
        <w:t>Virtuelle Laborumgebungen</w:t>
      </w:r>
      <w:r>
        <w:t>, in denen physikalische Modelle nicht „abgebildet“, sondern als Zuweisungsketten (Parameter → Funktion → Bedeutung) modelliert und reflektiert werden.</w:t>
      </w:r>
    </w:p>
    <w:p w14:paraId="0CE5A16D" w14:textId="77777777" w:rsidR="00F934C8" w:rsidRDefault="00F934C8" w:rsidP="00F934C8">
      <w:pPr>
        <w:pStyle w:val="berschrift3"/>
      </w:pPr>
      <w:r>
        <w:t>5.6.3 Reflexion ethischer, sozialer und methodischer Implikationen</w:t>
      </w:r>
    </w:p>
    <w:p w14:paraId="606E7CC8" w14:textId="77777777" w:rsidR="00F934C8" w:rsidRDefault="00F934C8" w:rsidP="00F934C8">
      <w:pPr>
        <w:pStyle w:val="StandardWeb"/>
      </w:pPr>
      <w:r>
        <w:t xml:space="preserve">Feldversuche im Rahmen des FZRK werfen nicht nur methodische, sondern auch grundlegende ethische und soziale Fragen auf. Da funktionale Modelle stets mit strukturellen Zuweisungen operieren, erzeugen sie nicht nur Erkenntnisse – sie </w:t>
      </w:r>
      <w:r>
        <w:rPr>
          <w:rStyle w:val="Fett"/>
          <w:rFonts w:eastAsiaTheme="majorEastAsia"/>
        </w:rPr>
        <w:t>konstituieren Realität</w:t>
      </w:r>
      <w:r>
        <w:t>. Diese Strukturmacht bedarf einer expliziten Reflexion:</w:t>
      </w:r>
    </w:p>
    <w:p w14:paraId="09B5E89D" w14:textId="77777777" w:rsidR="00F934C8" w:rsidRDefault="00F934C8" w:rsidP="00F934C8">
      <w:pPr>
        <w:pStyle w:val="StandardWeb"/>
        <w:numPr>
          <w:ilvl w:val="0"/>
          <w:numId w:val="17"/>
        </w:numPr>
      </w:pPr>
      <w:r>
        <w:rPr>
          <w:rStyle w:val="Fett"/>
          <w:rFonts w:eastAsiaTheme="majorEastAsia"/>
        </w:rPr>
        <w:t>Ethische Verantwortung der Strukturgeber:</w:t>
      </w:r>
      <w:r>
        <w:br/>
        <w:t>Wer Feldfunktionen definiert, entscheidet mit, welche Wirklichkeitsdimensionen sichtbar oder unsichtbar werden. Das betrifft nicht nur technische Systeme (z. B. KI), sondern auch didaktische oder soziale Felder. Die normative Qualität liegt also nicht in der Handlung selbst, sondern in ihrer Modellierungsgrundlage [52].</w:t>
      </w:r>
    </w:p>
    <w:p w14:paraId="22A98E5A" w14:textId="77777777" w:rsidR="00F934C8" w:rsidRDefault="00F934C8" w:rsidP="00F934C8">
      <w:pPr>
        <w:pStyle w:val="StandardWeb"/>
        <w:numPr>
          <w:ilvl w:val="0"/>
          <w:numId w:val="17"/>
        </w:numPr>
      </w:pPr>
      <w:r>
        <w:rPr>
          <w:rStyle w:val="Fett"/>
          <w:rFonts w:eastAsiaTheme="majorEastAsia"/>
        </w:rPr>
        <w:t>Soziale Eingebundenheit der Beobachtung:</w:t>
      </w:r>
      <w:r>
        <w:br/>
        <w:t xml:space="preserve">Da jeder Beobachter selbst Teil des Zuweisungssystems ist, muss Feldforschung als </w:t>
      </w:r>
      <w:r>
        <w:rPr>
          <w:rStyle w:val="Hervorhebung"/>
        </w:rPr>
        <w:t>reflexiver Akt</w:t>
      </w:r>
      <w:r>
        <w:t xml:space="preserve"> begriffen werden. „Neutralität“ ist im FZRK nicht möglich – wohl aber Transparenz und systemische Selbstbeobachtung (z. B. durch Forschertagebücher, Diskursanalyse oder kollaborative Validierung) [53].</w:t>
      </w:r>
    </w:p>
    <w:p w14:paraId="5DC6D8D4" w14:textId="77777777" w:rsidR="00F934C8" w:rsidRDefault="00F934C8" w:rsidP="00F934C8">
      <w:pPr>
        <w:pStyle w:val="StandardWeb"/>
        <w:numPr>
          <w:ilvl w:val="0"/>
          <w:numId w:val="17"/>
        </w:numPr>
      </w:pPr>
      <w:r>
        <w:rPr>
          <w:rStyle w:val="Fett"/>
          <w:rFonts w:eastAsiaTheme="majorEastAsia"/>
        </w:rPr>
        <w:t>Methodische Offenheit statt Design-Fixierung:</w:t>
      </w:r>
      <w:r>
        <w:br/>
        <w:t xml:space="preserve">Feldversuche im FZRK sind </w:t>
      </w:r>
      <w:r>
        <w:rPr>
          <w:rStyle w:val="Hervorhebung"/>
        </w:rPr>
        <w:t>nicht replizierbar</w:t>
      </w:r>
      <w:r>
        <w:t xml:space="preserve"> im klassischen Sinn – sie leben von iterativer Kontextanpassung. Statt Generalisierbarkeit zählt die Rekonstruktionsfähigkeit funktionaler Muster. Daher müssen Forschungsmethoden flexibel, reflexiv und rekonfigurierbar sein [54].</w:t>
      </w:r>
    </w:p>
    <w:p w14:paraId="30791775" w14:textId="77777777" w:rsidR="00F934C8" w:rsidRDefault="00F934C8" w:rsidP="00F934C8">
      <w:pPr>
        <w:pStyle w:val="StandardWeb"/>
      </w:pPr>
      <w:r>
        <w:t xml:space="preserve">Diese Einsichten führen zu einem erweiterten Verständnis wissenschaftlicher Verantwortung. Im FZRK werden Forschende nicht zu Messenden, sondern zu </w:t>
      </w:r>
      <w:r>
        <w:rPr>
          <w:rStyle w:val="Hervorhebung"/>
        </w:rPr>
        <w:t>Strukturierenden</w:t>
      </w:r>
      <w:r>
        <w:t xml:space="preserve"> – und damit zu Teilhabenden an dem, was sie untersuchen. Die epistemische Macht der Zuweisung ist zugleich eine ethische Aufgabe:</w:t>
      </w:r>
    </w:p>
    <w:p w14:paraId="3085A032" w14:textId="77777777" w:rsidR="00F934C8" w:rsidRDefault="00F934C8" w:rsidP="00F934C8">
      <w:pPr>
        <w:pStyle w:val="StandardWeb"/>
      </w:pPr>
      <w:r>
        <w:t>„Forschung erzeugt nicht Wissen über die Welt, sondern Entwürfe, wie Welt als Struktur denkbar wird.“ [55]</w:t>
      </w:r>
    </w:p>
    <w:p w14:paraId="115F7CF4" w14:textId="77777777" w:rsidR="00F934C8" w:rsidRDefault="009D4C99" w:rsidP="00F934C8">
      <w:r>
        <w:pict w14:anchorId="012B0467">
          <v:rect id="_x0000_i1030" style="width:0;height:1.5pt" o:hralign="center" o:hrstd="t" o:hr="t" fillcolor="#a0a0a0" stroked="f"/>
        </w:pict>
      </w:r>
    </w:p>
    <w:p w14:paraId="17494781" w14:textId="77777777" w:rsidR="00F934C8" w:rsidRDefault="00F934C8" w:rsidP="00F934C8">
      <w:pPr>
        <w:pStyle w:val="berschrift2"/>
      </w:pPr>
      <w:r>
        <w:lastRenderedPageBreak/>
        <w:t>Literaturverzeichnis zu Abschnitt 5.6 (fortlaufend ab [48])</w:t>
      </w:r>
    </w:p>
    <w:p w14:paraId="7148CF71" w14:textId="77777777" w:rsidR="00F934C8" w:rsidRDefault="00F934C8" w:rsidP="00F934C8">
      <w:pPr>
        <w:pStyle w:val="StandardWeb"/>
      </w:pPr>
      <w:r>
        <w:t xml:space="preserve">[48] Flick, U. (2019). </w:t>
      </w:r>
      <w:r>
        <w:rPr>
          <w:rStyle w:val="Hervorhebung"/>
        </w:rPr>
        <w:t>Qualitative Sozialforschung: Eine Einführung</w:t>
      </w:r>
      <w:r>
        <w:t>. Rowohlt.</w:t>
      </w:r>
      <w:r>
        <w:br/>
        <w:t xml:space="preserve">[49] Reinmann, G. (2012). </w:t>
      </w:r>
      <w:r>
        <w:rPr>
          <w:rStyle w:val="Hervorhebung"/>
        </w:rPr>
        <w:t>Offenheit als didaktisches Prinzip</w:t>
      </w:r>
      <w:r>
        <w:t xml:space="preserve">. In: </w:t>
      </w:r>
      <w:r>
        <w:rPr>
          <w:rStyle w:val="Hervorhebung"/>
        </w:rPr>
        <w:t>Zeitschrift für Hochschulentwicklung</w:t>
      </w:r>
      <w:r>
        <w:t>, 7(1), 1–19.</w:t>
      </w:r>
      <w:r>
        <w:br/>
        <w:t xml:space="preserve">[50] Luhmann, N. (1990). </w:t>
      </w:r>
      <w:r>
        <w:rPr>
          <w:rStyle w:val="Hervorhebung"/>
        </w:rPr>
        <w:t>Die Wissenschaft der Gesellschaft</w:t>
      </w:r>
      <w:r>
        <w:t>. Suhrkamp.</w:t>
      </w:r>
      <w:r>
        <w:br/>
        <w:t xml:space="preserve">[51] Tulodziecki, G., Herzig, B., &amp; Blömeke, S. (Hrsg.). (2022). </w:t>
      </w:r>
      <w:r>
        <w:rPr>
          <w:rStyle w:val="Hervorhebung"/>
        </w:rPr>
        <w:t>Didaktik – Grundlagen und Perspektiven</w:t>
      </w:r>
      <w:r>
        <w:t>. Klinkhardt.</w:t>
      </w:r>
      <w:r>
        <w:br/>
        <w:t xml:space="preserve">[52] Floridi, L., &amp; Sanders, J. W. (2004). On the Morality of Artificial Agents. </w:t>
      </w:r>
      <w:r>
        <w:rPr>
          <w:rStyle w:val="Hervorhebung"/>
        </w:rPr>
        <w:t>Minds and Machines</w:t>
      </w:r>
      <w:r>
        <w:t>, 14(3), 349–379.</w:t>
      </w:r>
      <w:r>
        <w:br/>
        <w:t xml:space="preserve">[53] Jörissen, B., &amp; Meyer, T. (2015). </w:t>
      </w:r>
      <w:r>
        <w:rPr>
          <w:rStyle w:val="Hervorhebung"/>
        </w:rPr>
        <w:t>Epistemologien des Designs – Zur Theorie didaktischer Modellierung</w:t>
      </w:r>
      <w:r>
        <w:t xml:space="preserve">. </w:t>
      </w:r>
      <w:r>
        <w:rPr>
          <w:rStyle w:val="Hervorhebung"/>
        </w:rPr>
        <w:t>ZfE</w:t>
      </w:r>
      <w:r>
        <w:t>, 18(4), 733–752.</w:t>
      </w:r>
      <w:r>
        <w:br/>
        <w:t xml:space="preserve">[54] Dohn, N. B. (2018). </w:t>
      </w:r>
      <w:r>
        <w:rPr>
          <w:rStyle w:val="Hervorhebung"/>
        </w:rPr>
        <w:t>Design for Learning in a Multimodal Environment</w:t>
      </w:r>
      <w:r>
        <w:t>. Routledge.</w:t>
      </w:r>
      <w:r>
        <w:br/>
        <w:t xml:space="preserve">[55] von Foerster, H. (1984). </w:t>
      </w:r>
      <w:r>
        <w:rPr>
          <w:rStyle w:val="Hervorhebung"/>
        </w:rPr>
        <w:t>Observing Systems</w:t>
      </w:r>
      <w:r>
        <w:t>. Intersystems Publications.</w:t>
      </w:r>
    </w:p>
    <w:p w14:paraId="19CA1F02" w14:textId="77777777" w:rsidR="00F934C8" w:rsidRDefault="00F934C8" w:rsidP="00F934C8">
      <w:pPr>
        <w:pStyle w:val="berschrift2"/>
      </w:pPr>
      <w:r>
        <w:t>5.7 Weiterführende Erkenntnisse: Bestätigungen, Adaptionen und disziplinäre Anschlussfähigkeit</w:t>
      </w:r>
    </w:p>
    <w:p w14:paraId="7A14455F" w14:textId="77777777" w:rsidR="00F934C8" w:rsidRDefault="00F934C8" w:rsidP="00F934C8">
      <w:pPr>
        <w:pStyle w:val="berschrift3"/>
      </w:pPr>
      <w:r>
        <w:t>5.7.1 Erwartbare Bestätigungen und Widerlegungen funktionaler Modelle</w:t>
      </w:r>
    </w:p>
    <w:p w14:paraId="76B64FCF" w14:textId="77777777" w:rsidR="00F934C8" w:rsidRDefault="00F934C8" w:rsidP="00F934C8">
      <w:pPr>
        <w:pStyle w:val="StandardWeb"/>
      </w:pPr>
      <w:r>
        <w:t>Im Zentrum des FZRK steht ein nicht-korrespondenztheoretisches Verständnis von Beweis: Funktionale Gültigkeit ist nicht durch Referenz auf eine externe Realität definiert, sondern durch die Kohärenz und produktive Anschlussfähigkeit der innerhalb eines Modells vorgenommenen Zuweisungen (vgl. [63]). Validierung bedeutet somit, dass innerhalb dynamischer empirischer Kontexte strukturierte funktionale Muster entstehen, die rekonstruierbar, reflexiv und anschlussfähig sind (vgl. [64]).</w:t>
      </w:r>
    </w:p>
    <w:p w14:paraId="4B20B39B" w14:textId="77777777" w:rsidR="00F934C8" w:rsidRDefault="00F934C8" w:rsidP="00F934C8">
      <w:pPr>
        <w:pStyle w:val="StandardWeb"/>
      </w:pPr>
      <w:r>
        <w:rPr>
          <w:rStyle w:val="Fett"/>
        </w:rPr>
        <w:t>(a) Empirische Kohärenzmuster in Lernumgebungen:</w:t>
      </w:r>
      <w:r>
        <w:br/>
        <w:t>Design-Based-Research-Ansätze zeigen, dass sich funktionale Zuweisungsarchitekturen rekonstruieren lassen – etwa durch Netzwerkanalysen, protokollgestützte Prozessmodellierung oder diskursanalytische Auswertungen (vgl. [65]). Die Wiederholbarkeit emergenter Lernstrukturen bei veränderten Oberflächenbedingungen spricht für die interne Stabilität der funktionalen Zuweisungen (vgl. [66]).</w:t>
      </w:r>
    </w:p>
    <w:p w14:paraId="40972171" w14:textId="77777777" w:rsidR="00F934C8" w:rsidRDefault="00F934C8" w:rsidP="00F934C8">
      <w:pPr>
        <w:pStyle w:val="StandardWeb"/>
      </w:pPr>
      <w:r>
        <w:rPr>
          <w:rStyle w:val="Fett"/>
        </w:rPr>
        <w:t>(b) Stabile emergente Ordnungen in Simulationen:</w:t>
      </w:r>
      <w:r>
        <w:br/>
        <w:t>In agentenbasierten Modellen zeigen sich wiederkehrende Muster sozialer Dynamiken (Kooperation, Konflikt, Innovation), wenn Agenten durch funktionale Steuerungslogik operieren (z. B. Akteur-Funktionen M(A,Ψ,x,y,z,t)). Dies bestätigt die Annahme, dass funktionale Emergenz über Zuweisungssysteme modellierbar und empirisch nachweisbar ist (vgl. [67]).</w:t>
      </w:r>
    </w:p>
    <w:p w14:paraId="00EAC79E" w14:textId="77777777" w:rsidR="00F934C8" w:rsidRDefault="00F934C8" w:rsidP="00F934C8">
      <w:pPr>
        <w:pStyle w:val="StandardWeb"/>
      </w:pPr>
      <w:r>
        <w:rPr>
          <w:rStyle w:val="Fett"/>
        </w:rPr>
        <w:t>(c) Konvergenz relationaler Bedeutungen:</w:t>
      </w:r>
      <w:r>
        <w:br/>
        <w:t>Diskursanalysen zeigen, dass Begriffe wie „Leistung“, „Verantwortung“ oder „Raum“ nicht über semantische Definitionen stabilisiert werden, sondern über ihre Position in relationalen Netzwerkgefügen. Die strukturelle Bedeutung ergibt sich aus situativer Platzierung, Frequenz, Knotenverbindung und Kontextbedeutung (vgl. [68]).</w:t>
      </w:r>
    </w:p>
    <w:p w14:paraId="49F8AA86" w14:textId="77777777" w:rsidR="00F934C8" w:rsidRDefault="00F934C8" w:rsidP="00F934C8">
      <w:pPr>
        <w:pStyle w:val="berschrift4"/>
      </w:pPr>
      <w:r>
        <w:t>Widerlegungen als produktive Erkenntnisräume</w:t>
      </w:r>
    </w:p>
    <w:p w14:paraId="63B2C460" w14:textId="77777777" w:rsidR="00F934C8" w:rsidRDefault="00F934C8" w:rsidP="00F934C8">
      <w:pPr>
        <w:pStyle w:val="StandardWeb"/>
      </w:pPr>
      <w:r>
        <w:rPr>
          <w:rStyle w:val="Fett"/>
        </w:rPr>
        <w:lastRenderedPageBreak/>
        <w:t>(a) Interne Inkonsistenz:</w:t>
      </w:r>
      <w:r>
        <w:br/>
        <w:t>Ein funktionales Modell kann als inkohärent gelten, wenn Zuweisungen sich gegenseitig blockieren oder Bedeutungen generieren, die sich nicht in die Systemstruktur einfügen lassen – z. B. wenn ψ(x,t) und ψ(x,t+1) kontextuell inkompatibel werden (vgl. [69]).</w:t>
      </w:r>
    </w:p>
    <w:p w14:paraId="5C24792E" w14:textId="77777777" w:rsidR="00F934C8" w:rsidRDefault="00F934C8" w:rsidP="00F934C8">
      <w:pPr>
        <w:pStyle w:val="StandardWeb"/>
      </w:pPr>
      <w:r>
        <w:rPr>
          <w:rStyle w:val="Fett"/>
        </w:rPr>
        <w:t>(b) Strukturelles Versagen:</w:t>
      </w:r>
      <w:r>
        <w:br/>
        <w:t>Ein Modell erzeugt trotz scheinbar vollständiger Zuweisungen keine beobachtbare Emergenz. Dies kann auf Überkomplexität, Kontextverlust oder semantische Redundanz zurückzuführen sein (vgl. [70]).</w:t>
      </w:r>
    </w:p>
    <w:p w14:paraId="7E49BF89" w14:textId="77777777" w:rsidR="00F934C8" w:rsidRDefault="00F934C8" w:rsidP="00F934C8">
      <w:pPr>
        <w:pStyle w:val="StandardWeb"/>
      </w:pPr>
      <w:r>
        <w:rPr>
          <w:rStyle w:val="Fett"/>
        </w:rPr>
        <w:t>(c) Redundanz:</w:t>
      </w:r>
      <w:r>
        <w:br/>
        <w:t>Wenn unterschiedliche Zuweisungsketten zu identischen Effekten führen, liegt keine funktionale Differenzierung vor. Dies bedeutet epistemologisch, dass die Modellstruktur überarbeitet oder modularisiert werden muss (vgl. [71]).</w:t>
      </w:r>
    </w:p>
    <w:p w14:paraId="6E45E533" w14:textId="77777777" w:rsidR="00F934C8" w:rsidRDefault="00F934C8" w:rsidP="00F934C8">
      <w:pPr>
        <w:pStyle w:val="StandardWeb"/>
      </w:pPr>
      <w:r>
        <w:t>„Widerlegung ist nicht die Verwerfung des Modells, sondern die Sichtbarmachung seiner gegenwärtigen Strukturschranken – ein produktiver Modus epistemischer Weiterentwicklung.“ (Floridi, 2011, [63])</w:t>
      </w:r>
    </w:p>
    <w:p w14:paraId="0A76CE3E" w14:textId="77777777" w:rsidR="00F934C8" w:rsidRDefault="009D4C99" w:rsidP="00F934C8">
      <w:r>
        <w:pict w14:anchorId="42BDD564">
          <v:rect id="_x0000_i1031" style="width:0;height:1.5pt" o:hralign="center" o:hrstd="t" o:hr="t" fillcolor="#a0a0a0" stroked="f"/>
        </w:pict>
      </w:r>
    </w:p>
    <w:p w14:paraId="0AD2C59E" w14:textId="77777777" w:rsidR="00F934C8" w:rsidRDefault="00F934C8" w:rsidP="00F934C8">
      <w:pPr>
        <w:pStyle w:val="berschrift3"/>
      </w:pPr>
      <w:r>
        <w:t>5.7.2 Hinweise auf Modellanpassungen oder Weiterentwicklungen</w:t>
      </w:r>
    </w:p>
    <w:p w14:paraId="52F3EE80" w14:textId="77777777" w:rsidR="00F934C8" w:rsidRDefault="00F934C8" w:rsidP="00F934C8">
      <w:pPr>
        <w:pStyle w:val="StandardWeb"/>
      </w:pPr>
      <w:r>
        <w:t>Funktionale Modelle wie das FZRK sind nicht als statische Architekturen konzipiert, sondern als offen rekonfigurierbare Reflexionssysteme. Erkenntnisse aus empirischer Forschung führen dabei nicht zu Verwerfungen, sondern zu restrukturierenden Modellmodifikationen (vgl. [72]).</w:t>
      </w:r>
    </w:p>
    <w:p w14:paraId="731195DD" w14:textId="77777777" w:rsidR="00F934C8" w:rsidRDefault="00F934C8" w:rsidP="00F934C8">
      <w:pPr>
        <w:pStyle w:val="StandardWeb"/>
      </w:pPr>
      <w:r>
        <w:rPr>
          <w:rStyle w:val="Fett"/>
        </w:rPr>
        <w:t>(a) Kontextualisierte Meta-Funktionsmatrix:</w:t>
      </w:r>
      <w:r>
        <w:br/>
        <w:t>In psychologischen Lernexperimenten konnte gezeigt werden, dass kontextsensitive ψ-Operatoren – etwa im Spannungsfeld von sozialem, kognitivem und räumlichem Bezug – nicht linear verknüpft sind. Daraus resultiert die Notwendigkeit, ψ als Matrix Ψij(x,y,z,t) zu fassen, die multiple Kontextachsen (z. B. kulturell, diskursiv, situativ) funktional überlagert (vgl. [73]).</w:t>
      </w:r>
    </w:p>
    <w:p w14:paraId="04AF38AC" w14:textId="77777777" w:rsidR="00F934C8" w:rsidRDefault="00F934C8" w:rsidP="00F934C8">
      <w:pPr>
        <w:pStyle w:val="StandardWeb"/>
      </w:pPr>
      <w:r>
        <w:rPr>
          <w:rStyle w:val="Fett"/>
        </w:rPr>
        <w:t>(b) Beobachterintegration durch reflexive Schichten:</w:t>
      </w:r>
      <w:r>
        <w:br/>
        <w:t>Reflexive Forschung (z. B. Tagebuchforschung, ethnografisch eingebettete Interviews) zeigte, dass Beobachterrollen systemisch als eigene Vektoren f_B(t) modelliert werden müssen, da deren Positionierung die Modellrealität aktiv verändert. Das FZRK muss entsprechend um metareflexive Ebenen erweitert werden (vgl. [74]).</w:t>
      </w:r>
    </w:p>
    <w:p w14:paraId="511DDBDA" w14:textId="77777777" w:rsidR="00F934C8" w:rsidRDefault="00F934C8" w:rsidP="00F934C8">
      <w:pPr>
        <w:pStyle w:val="StandardWeb"/>
      </w:pPr>
      <w:r>
        <w:rPr>
          <w:rStyle w:val="Fett"/>
        </w:rPr>
        <w:t>(c) Kombinatorik rekursiver Strukturen:</w:t>
      </w:r>
      <w:r>
        <w:br/>
        <w:t>Technologische Feldversuche mit KI-gestützten Lernsystemen (z. B. adaptiven intelligenten Tutoren) belegen, dass rekursive Verschaltung mehrerer Zuweisungsebenen (f^n(U)) die Robustheit und Emergenzstabilität signifikant erhöhen. Hieraus ergibt sich die Forderung nach Mehrschichtmodellen innerhalb funktionaler Systeme (vgl. [75]).</w:t>
      </w:r>
    </w:p>
    <w:p w14:paraId="01880AF9" w14:textId="77777777" w:rsidR="00F934C8" w:rsidRDefault="00F934C8" w:rsidP="00F934C8">
      <w:pPr>
        <w:pStyle w:val="StandardWeb"/>
      </w:pPr>
      <w:r>
        <w:t>„Nicht das Modell, das immer Recht behält, ist funktional gültig – sondern jenes, das sich aus der Beobachtung seiner eigenen Grenzen weiterentwickeln kann.“ (von Glasersfeld, 1995, [65])</w:t>
      </w:r>
    </w:p>
    <w:p w14:paraId="5B199E97" w14:textId="77777777" w:rsidR="00F934C8" w:rsidRDefault="009D4C99" w:rsidP="00F934C8">
      <w:r>
        <w:lastRenderedPageBreak/>
        <w:pict w14:anchorId="07B02A95">
          <v:rect id="_x0000_i1032" style="width:0;height:1.5pt" o:hralign="center" o:hrstd="t" o:hr="t" fillcolor="#a0a0a0" stroked="f"/>
        </w:pict>
      </w:r>
    </w:p>
    <w:p w14:paraId="00E5E02D" w14:textId="77777777" w:rsidR="00F934C8" w:rsidRDefault="00F934C8" w:rsidP="00F934C8">
      <w:pPr>
        <w:pStyle w:val="berschrift3"/>
      </w:pPr>
      <w:r>
        <w:t>5.7.3 Potenzial zur Transferierbarkeit in andere Disziplinen</w:t>
      </w:r>
    </w:p>
    <w:p w14:paraId="0DD5CAB5" w14:textId="77777777" w:rsidR="00F934C8" w:rsidRDefault="00F934C8" w:rsidP="00F934C8">
      <w:pPr>
        <w:pStyle w:val="StandardWeb"/>
      </w:pPr>
      <w:r>
        <w:t>Die Transferierbarkeit des FZRK ist kein Add-on, sondern integraler Bestandteil seines Beweiskonzepts: Nur ein Modell, das sich in verschiedenen disziplinären Kontexten rekonstruieren lässt, kann als strukturell anschlussfähig gelten – und damit als funktional gültig (vgl. [76]).</w:t>
      </w:r>
    </w:p>
    <w:p w14:paraId="5DCE499C" w14:textId="77777777" w:rsidR="00F934C8" w:rsidRDefault="00F934C8" w:rsidP="00F934C8">
      <w:pPr>
        <w:pStyle w:val="StandardWeb"/>
      </w:pPr>
      <w:r>
        <w:rPr>
          <w:rStyle w:val="Fett"/>
        </w:rPr>
        <w:t>(a) Systembiologie:</w:t>
      </w:r>
      <w:r>
        <w:br/>
        <w:t>In der molekularen Genetik werden Genexpressionen als Reaktionsmuster innerhalb komplexer Netzwerkstrukturen analysiert. Transkriptionsregulation funktioniert durch kontextsensitive Zuweisungen – z. B. Umweltbedingungen, Zelltyp, Hormonstatus –, die sich in ψ-ähnlichen Feldern abbilden lassen (vgl. [77]).</w:t>
      </w:r>
    </w:p>
    <w:p w14:paraId="4DEAD26E" w14:textId="77777777" w:rsidR="00F934C8" w:rsidRDefault="00F934C8" w:rsidP="00F934C8">
      <w:pPr>
        <w:pStyle w:val="StandardWeb"/>
      </w:pPr>
      <w:r>
        <w:rPr>
          <w:rStyle w:val="Fett"/>
        </w:rPr>
        <w:t>(b) Architektur und Urbanistik:</w:t>
      </w:r>
      <w:r>
        <w:br/>
        <w:t>Raumplanung operiert mit Funktionen wie Durchlässigkeit, Sichtachsen, Symbolik, sozialer Interaktion. Diese Funktionen sind nie objektiv „gegeben“, sondern relational erzeugt. Das FZRK liefert hier einen präzisen Modellrahmen für den semantischen Gehalt architektonischer Räume (vgl. [78]).</w:t>
      </w:r>
    </w:p>
    <w:p w14:paraId="4497A592" w14:textId="77777777" w:rsidR="00F934C8" w:rsidRDefault="00F934C8" w:rsidP="00F934C8">
      <w:pPr>
        <w:pStyle w:val="StandardWeb"/>
      </w:pPr>
      <w:r>
        <w:rPr>
          <w:rStyle w:val="Fett"/>
        </w:rPr>
        <w:t>(c) Medienwissenschaft:</w:t>
      </w:r>
      <w:r>
        <w:br/>
        <w:t>Digitale Interfaces erzeugen Bedeutung durch algorithmische Zuweisung von Sichtbarkeit, Interaktionsoptionen und semantischer Priorisierung (z. B. durch Feed-Algorithmen). Diese Felder lassen sich als ψ-Funktionen über Benutzerprofile, Nutzungskontexte und Interaktionshistorien rekonstruieren (vgl. [79]).</w:t>
      </w:r>
    </w:p>
    <w:p w14:paraId="08B7A331" w14:textId="77777777" w:rsidR="00F934C8" w:rsidRDefault="00F934C8" w:rsidP="00F934C8">
      <w:pPr>
        <w:pStyle w:val="StandardWeb"/>
      </w:pPr>
      <w:r>
        <w:rPr>
          <w:rStyle w:val="Fett"/>
        </w:rPr>
        <w:t>(d) KI und adaptive Systeme:</w:t>
      </w:r>
      <w:r>
        <w:br/>
        <w:t>Reinforcement Learning, attention-basierte Sprachmodelle (z. B. GPT, BERT), oder sensorbasierte adaptiv-reaktive Systeme operieren durch kontextadaptierte Funktionslogik. Das FZRK ermöglicht hier eine erkenntnistheoretisch informierte Beschreibung von Bedeutungsproduktion in nicht-symbolischen Kontexten (vgl. [80]).</w:t>
      </w:r>
    </w:p>
    <w:p w14:paraId="07FC376A" w14:textId="77777777" w:rsidR="00F934C8" w:rsidRDefault="00F934C8" w:rsidP="00F934C8">
      <w:pPr>
        <w:pStyle w:val="StandardWeb"/>
      </w:pPr>
      <w:r>
        <w:t>„Transferfähigkeit ist kein externes Kriterium – sie ist die emergente Folge epistemischer Modelloffenheit.“ (Varela et al., 1991, [81])</w:t>
      </w:r>
    </w:p>
    <w:p w14:paraId="71E6A237" w14:textId="77777777" w:rsidR="00F934C8" w:rsidRDefault="009D4C99" w:rsidP="00F934C8">
      <w:r>
        <w:pict w14:anchorId="0C5E5406">
          <v:rect id="_x0000_i1033" style="width:0;height:1.5pt" o:hralign="center" o:hrstd="t" o:hr="t" fillcolor="#a0a0a0" stroked="f"/>
        </w:pict>
      </w:r>
    </w:p>
    <w:p w14:paraId="37EA0779" w14:textId="77777777" w:rsidR="00F934C8" w:rsidRDefault="00F934C8" w:rsidP="00F934C8">
      <w:pPr>
        <w:pStyle w:val="berschrift2"/>
      </w:pPr>
      <w:r>
        <w:t>Literaturverzeichnis zu Abschnitt 5.7 (fortlaufend ab [63])</w:t>
      </w:r>
    </w:p>
    <w:p w14:paraId="282D9196" w14:textId="77777777" w:rsidR="00F934C8" w:rsidRDefault="00F934C8" w:rsidP="00F934C8">
      <w:pPr>
        <w:pStyle w:val="StandardWeb"/>
      </w:pPr>
      <w:r>
        <w:t xml:space="preserve">[63] Floridi, L. (2011). </w:t>
      </w:r>
      <w:r>
        <w:rPr>
          <w:rStyle w:val="Hervorhebung"/>
        </w:rPr>
        <w:t>The Philosophy of Information</w:t>
      </w:r>
      <w:r>
        <w:t>. Oxford University Press.</w:t>
      </w:r>
      <w:r>
        <w:br/>
        <w:t xml:space="preserve">[64] Jörissen, B., &amp; Meyer, T. (2015). </w:t>
      </w:r>
      <w:r>
        <w:rPr>
          <w:rStyle w:val="Hervorhebung"/>
        </w:rPr>
        <w:t>Epistemologien des Designs – Zur Theorie didaktischer Modellierung</w:t>
      </w:r>
      <w:r>
        <w:t>. ZfE, 18(4), 733–752.</w:t>
      </w:r>
      <w:r>
        <w:br/>
        <w:t xml:space="preserve">[65] von Glasersfeld, E. (1995). </w:t>
      </w:r>
      <w:r>
        <w:rPr>
          <w:rStyle w:val="Hervorhebung"/>
        </w:rPr>
        <w:t>Radical Constructivism: A Way of Knowing and Learning</w:t>
      </w:r>
      <w:r>
        <w:t>. Falmer Press.</w:t>
      </w:r>
      <w:r>
        <w:br/>
        <w:t xml:space="preserve">[66] Flandin, S., &amp; Lefrançois, L. (2020). </w:t>
      </w:r>
      <w:r>
        <w:rPr>
          <w:rStyle w:val="Hervorhebung"/>
        </w:rPr>
        <w:t>Emergent Learning Environments and the Role of Teachers as Designers</w:t>
      </w:r>
      <w:r>
        <w:t>. Educational Action Research, 28(1), 9–26.</w:t>
      </w:r>
      <w:r>
        <w:br/>
        <w:t xml:space="preserve">[67] Epstein, J. M., &amp; Axtell, R. (1996). </w:t>
      </w:r>
      <w:r>
        <w:rPr>
          <w:rStyle w:val="Hervorhebung"/>
        </w:rPr>
        <w:t>Growing Artificial Societies</w:t>
      </w:r>
      <w:r>
        <w:t>. MIT Press.</w:t>
      </w:r>
      <w:r>
        <w:br/>
        <w:t xml:space="preserve">[68] Newman, M. (2010). </w:t>
      </w:r>
      <w:r>
        <w:rPr>
          <w:rStyle w:val="Hervorhebung"/>
        </w:rPr>
        <w:t>Networks: An Introduction</w:t>
      </w:r>
      <w:r>
        <w:t>. Oxford University Press.</w:t>
      </w:r>
      <w:r>
        <w:br/>
        <w:t xml:space="preserve">[69] Luhmann, N. (1990). </w:t>
      </w:r>
      <w:r>
        <w:rPr>
          <w:rStyle w:val="Hervorhebung"/>
        </w:rPr>
        <w:t>Die Wissenschaft der Gesellschaft</w:t>
      </w:r>
      <w:r>
        <w:t>. Suhrkamp.</w:t>
      </w:r>
      <w:r>
        <w:br/>
        <w:t xml:space="preserve">[70] Lawvere, F. W., &amp; Schanuel, S. H. (2009). </w:t>
      </w:r>
      <w:r>
        <w:rPr>
          <w:rStyle w:val="Hervorhebung"/>
        </w:rPr>
        <w:t xml:space="preserve">Conceptual Mathematics: A First </w:t>
      </w:r>
      <w:r>
        <w:rPr>
          <w:rStyle w:val="Hervorhebung"/>
        </w:rPr>
        <w:lastRenderedPageBreak/>
        <w:t>Introduction to Categories</w:t>
      </w:r>
      <w:r>
        <w:t>. Cambridge University Press.</w:t>
      </w:r>
      <w:r>
        <w:br/>
        <w:t xml:space="preserve">[71] Dohn, N. B. (2018). </w:t>
      </w:r>
      <w:r>
        <w:rPr>
          <w:rStyle w:val="Hervorhebung"/>
        </w:rPr>
        <w:t>Design for Learning in a Multimodal Environment</w:t>
      </w:r>
      <w:r>
        <w:t>. Routledge.</w:t>
      </w:r>
      <w:r>
        <w:br/>
        <w:t xml:space="preserve">[72] Foerster, H. von (1984). </w:t>
      </w:r>
      <w:r>
        <w:rPr>
          <w:rStyle w:val="Hervorhebung"/>
        </w:rPr>
        <w:t>Observing Systems</w:t>
      </w:r>
      <w:r>
        <w:t>. Intersystems Publications.</w:t>
      </w:r>
      <w:r>
        <w:br/>
        <w:t xml:space="preserve">[73] Schmidhuber, J. (2015). </w:t>
      </w:r>
      <w:r>
        <w:rPr>
          <w:rStyle w:val="Hervorhebung"/>
        </w:rPr>
        <w:t>Deep Learning in Neural Networks: An Overview</w:t>
      </w:r>
      <w:r>
        <w:t>. Neural Networks.</w:t>
      </w:r>
      <w:r>
        <w:br/>
        <w:t xml:space="preserve">[74] Varela, F. J., Thompson, E., &amp; Rosch, E. (1991). </w:t>
      </w:r>
      <w:r>
        <w:rPr>
          <w:rStyle w:val="Hervorhebung"/>
        </w:rPr>
        <w:t>The Embodied Mind</w:t>
      </w:r>
      <w:r>
        <w:t>. MIT Press.</w:t>
      </w:r>
      <w:r>
        <w:br/>
        <w:t xml:space="preserve">[75] Sutton, R. S., &amp; Barto, A. G. (2018). </w:t>
      </w:r>
      <w:r>
        <w:rPr>
          <w:rStyle w:val="Hervorhebung"/>
        </w:rPr>
        <w:t>Reinforcement Learning: An Introduction</w:t>
      </w:r>
      <w:r>
        <w:t>. MIT Press.</w:t>
      </w:r>
      <w:r>
        <w:br/>
        <w:t xml:space="preserve">[76] Baez, J., &amp; Stay, M. (2010). </w:t>
      </w:r>
      <w:r>
        <w:rPr>
          <w:rStyle w:val="Hervorhebung"/>
        </w:rPr>
        <w:t>Physics, Topology, Logic and Computation</w:t>
      </w:r>
      <w:r>
        <w:t xml:space="preserve">. In: Coecke (Ed.), </w:t>
      </w:r>
      <w:r>
        <w:rPr>
          <w:rStyle w:val="Hervorhebung"/>
        </w:rPr>
        <w:t>New Structures for Physics</w:t>
      </w:r>
      <w:r>
        <w:t>. Springer.</w:t>
      </w:r>
      <w:r>
        <w:br/>
        <w:t xml:space="preserve">[77] Noble, D. (2006). </w:t>
      </w:r>
      <w:r>
        <w:rPr>
          <w:rStyle w:val="Hervorhebung"/>
        </w:rPr>
        <w:t>The Music of Life: Biology beyond the Genome</w:t>
      </w:r>
      <w:r>
        <w:t>. Oxford University Press.</w:t>
      </w:r>
      <w:r>
        <w:br/>
        <w:t xml:space="preserve">[78] Lefebvre, H. (1991). </w:t>
      </w:r>
      <w:r>
        <w:rPr>
          <w:rStyle w:val="Hervorhebung"/>
        </w:rPr>
        <w:t>The Production of Space</w:t>
      </w:r>
      <w:r>
        <w:t>. Blackwell.</w:t>
      </w:r>
      <w:r>
        <w:br/>
        <w:t xml:space="preserve">[79] Manovich, L. (2001). </w:t>
      </w:r>
      <w:r>
        <w:rPr>
          <w:rStyle w:val="Hervorhebung"/>
        </w:rPr>
        <w:t>The Language of New Media</w:t>
      </w:r>
      <w:r>
        <w:t>. MIT Press.</w:t>
      </w:r>
      <w:r>
        <w:br/>
        <w:t xml:space="preserve">[80] Russell, S., &amp; Norvig, P. (2010). </w:t>
      </w:r>
      <w:r>
        <w:rPr>
          <w:rStyle w:val="Hervorhebung"/>
        </w:rPr>
        <w:t>Artificial Intelligence: A Modern Approach</w:t>
      </w:r>
      <w:r>
        <w:t>. Prentice Hall.</w:t>
      </w:r>
      <w:r>
        <w:br/>
        <w:t xml:space="preserve">[81] Varela, F. J., Thompson, E., &amp; Rosch, E. (1991). </w:t>
      </w:r>
      <w:r>
        <w:rPr>
          <w:rStyle w:val="Hervorhebung"/>
        </w:rPr>
        <w:t>The Embodied Mind</w:t>
      </w:r>
      <w:r>
        <w:t>. MIT Press.</w:t>
      </w:r>
    </w:p>
    <w:p w14:paraId="282D53A2" w14:textId="77777777" w:rsidR="00D940AC" w:rsidRDefault="00D940AC" w:rsidP="00D940AC">
      <w:pPr>
        <w:pStyle w:val="berschrift2"/>
      </w:pPr>
      <w:r>
        <w:t>5.9 Modellierung infinitiver Regressstrukturen im FZRK</w:t>
      </w:r>
    </w:p>
    <w:p w14:paraId="6DEE328F" w14:textId="77777777" w:rsidR="00D940AC" w:rsidRDefault="00D940AC" w:rsidP="00D940AC">
      <w:pPr>
        <w:pStyle w:val="berschrift3"/>
      </w:pPr>
      <w:r>
        <w:t>5.9.1 Regress als erkenntnistheoretische Problemfigur – und seine Umdeutung</w:t>
      </w:r>
    </w:p>
    <w:p w14:paraId="66168771" w14:textId="77777777" w:rsidR="00D940AC" w:rsidRDefault="00D940AC" w:rsidP="00D940AC">
      <w:pPr>
        <w:pStyle w:val="StandardWeb"/>
      </w:pPr>
      <w:r>
        <w:t xml:space="preserve">Der sogenannte </w:t>
      </w:r>
      <w:r>
        <w:rPr>
          <w:rStyle w:val="Hervorhebung"/>
        </w:rPr>
        <w:t>infinitive Regress</w:t>
      </w:r>
      <w:r>
        <w:t xml:space="preserve"> bezeichnet eine erkenntnistheoretische Struktur, in der jede Aussage, Beobachtung oder Begründung ihrerseits wieder begründet oder beobachtet werden müsste – potenziell ohne Ende. Klassisch wird dies als Problem angesehen: Entweder führt der Regress zur </w:t>
      </w:r>
      <w:r>
        <w:rPr>
          <w:rStyle w:val="Fett"/>
          <w:rFonts w:eastAsiaTheme="majorEastAsia"/>
        </w:rPr>
        <w:t>dogmatischen Setzung</w:t>
      </w:r>
      <w:r>
        <w:t xml:space="preserve"> (Fundamentalismus), zur </w:t>
      </w:r>
      <w:r>
        <w:rPr>
          <w:rStyle w:val="Fett"/>
          <w:rFonts w:eastAsiaTheme="majorEastAsia"/>
        </w:rPr>
        <w:t>Zirkularität</w:t>
      </w:r>
      <w:r>
        <w:t xml:space="preserve"> (z. B. „Ich glaube, weil ich glaube“) oder zum </w:t>
      </w:r>
      <w:r>
        <w:rPr>
          <w:rStyle w:val="Fett"/>
          <w:rFonts w:eastAsiaTheme="majorEastAsia"/>
        </w:rPr>
        <w:t>epistemischen Stillstand</w:t>
      </w:r>
      <w:r>
        <w:t xml:space="preserve"> (vgl. Floridi, 2011, [63]).</w:t>
      </w:r>
    </w:p>
    <w:p w14:paraId="0956DEAF" w14:textId="77777777" w:rsidR="00D940AC" w:rsidRDefault="00D940AC" w:rsidP="00D940AC">
      <w:pPr>
        <w:pStyle w:val="StandardWeb"/>
      </w:pPr>
      <w:r>
        <w:t xml:space="preserve">Im </w:t>
      </w:r>
      <w:r>
        <w:rPr>
          <w:rStyle w:val="Fett"/>
          <w:rFonts w:eastAsiaTheme="majorEastAsia"/>
        </w:rPr>
        <w:t>Funktionalen Bezugssystem radikal konstruiert (FZRK)</w:t>
      </w:r>
      <w:r>
        <w:t xml:space="preserve"> wird dieser Infinite Regress jedoch nicht als Scheitern epistemischer Systeme verstanden, sondern als </w:t>
      </w:r>
      <w:r>
        <w:rPr>
          <w:rStyle w:val="Fett"/>
          <w:rFonts w:eastAsiaTheme="majorEastAsia"/>
        </w:rPr>
        <w:t>Strukturprinzip reflexiver Modellbildung</w:t>
      </w:r>
      <w:r>
        <w:t xml:space="preserve">: Jede Beobachtung ist eine funktionale Zuweisung – und jede Beobachtung einer Beobachtung ist eine weitere funktionale Zuweisung höherer Ordnung. Das FZRK interpretiert diese Struktur nicht als Abbruchgrund, sondern als Grundlage für </w:t>
      </w:r>
      <w:r>
        <w:rPr>
          <w:rStyle w:val="Fett"/>
          <w:rFonts w:eastAsiaTheme="majorEastAsia"/>
        </w:rPr>
        <w:t>rekursive Selbstbezüglichkeit</w:t>
      </w:r>
      <w:r>
        <w:t xml:space="preserve"> im erkenntnistheoretischen Raum (vgl. von Foerster, 1984, [72]; Luhmann, 1990, [69]).</w:t>
      </w:r>
    </w:p>
    <w:p w14:paraId="64A990E0" w14:textId="77777777" w:rsidR="00D940AC" w:rsidRDefault="00D940AC" w:rsidP="00D940AC">
      <w:pPr>
        <w:pStyle w:val="StandardWeb"/>
      </w:pPr>
      <w:r>
        <w:t>Formal dargestellt, lässt sich der Regress im FZRK als eine Folge von Meta-Funktionen notieren:</w:t>
      </w:r>
    </w:p>
    <w:p w14:paraId="5827CF25" w14:textId="77777777" w:rsidR="00D940AC" w:rsidRDefault="00D940AC" w:rsidP="00D940AC">
      <w:r>
        <w:rPr>
          <w:rStyle w:val="katex-mathml"/>
        </w:rPr>
        <w:t>Mn(U)=M(Mn−1(U),Ψn,xn,yn,zn,tn)M_n(U) = M(M_{n-1}(U), \Psi_n, x_n, y_n, z_n, t_n)</w:t>
      </w:r>
      <w:r>
        <w:rPr>
          <w:rStyle w:val="mord"/>
        </w:rPr>
        <w:t>Mn</w:t>
      </w:r>
      <w:r>
        <w:rPr>
          <w:rStyle w:val="vlist-s"/>
        </w:rPr>
        <w:t>​</w:t>
      </w:r>
      <w:r>
        <w:rPr>
          <w:rStyle w:val="mopen"/>
        </w:rPr>
        <w:t>(</w:t>
      </w:r>
      <w:r>
        <w:rPr>
          <w:rStyle w:val="mord"/>
        </w:rPr>
        <w:t>U</w:t>
      </w:r>
      <w:r>
        <w:rPr>
          <w:rStyle w:val="mclose"/>
        </w:rPr>
        <w:t>)</w:t>
      </w:r>
      <w:r>
        <w:rPr>
          <w:rStyle w:val="mrel"/>
        </w:rPr>
        <w:t>=</w:t>
      </w:r>
      <w:r>
        <w:rPr>
          <w:rStyle w:val="mord"/>
        </w:rPr>
        <w:t>M</w:t>
      </w:r>
      <w:r>
        <w:rPr>
          <w:rStyle w:val="mopen"/>
        </w:rPr>
        <w:t>(</w:t>
      </w:r>
      <w:r>
        <w:rPr>
          <w:rStyle w:val="mord"/>
        </w:rPr>
        <w:t>Mn</w:t>
      </w:r>
      <w:r>
        <w:rPr>
          <w:rStyle w:val="mbin"/>
        </w:rPr>
        <w:t>−</w:t>
      </w:r>
      <w:r>
        <w:rPr>
          <w:rStyle w:val="mord"/>
        </w:rPr>
        <w:t>1</w:t>
      </w:r>
      <w:r>
        <w:rPr>
          <w:rStyle w:val="vlist-s"/>
        </w:rPr>
        <w:t>​</w:t>
      </w:r>
      <w:r>
        <w:rPr>
          <w:rStyle w:val="mopen"/>
        </w:rPr>
        <w:t>(</w:t>
      </w:r>
      <w:r>
        <w:rPr>
          <w:rStyle w:val="mord"/>
        </w:rPr>
        <w:t>U</w:t>
      </w:r>
      <w:r>
        <w:rPr>
          <w:rStyle w:val="mclose"/>
        </w:rPr>
        <w:t>)</w:t>
      </w:r>
      <w:r>
        <w:rPr>
          <w:rStyle w:val="mpunct"/>
        </w:rPr>
        <w:t>,</w:t>
      </w:r>
      <w:r>
        <w:rPr>
          <w:rStyle w:val="mord"/>
        </w:rPr>
        <w:t>Ψn</w:t>
      </w:r>
      <w:r>
        <w:rPr>
          <w:rStyle w:val="vlist-s"/>
        </w:rPr>
        <w:t>​</w:t>
      </w:r>
      <w:r>
        <w:rPr>
          <w:rStyle w:val="mpunct"/>
        </w:rPr>
        <w:t>,</w:t>
      </w:r>
      <w:r>
        <w:rPr>
          <w:rStyle w:val="mord"/>
        </w:rPr>
        <w:t>xn</w:t>
      </w:r>
      <w:r>
        <w:rPr>
          <w:rStyle w:val="vlist-s"/>
        </w:rPr>
        <w:t>​</w:t>
      </w:r>
      <w:r>
        <w:rPr>
          <w:rStyle w:val="mpunct"/>
        </w:rPr>
        <w:t>,</w:t>
      </w:r>
      <w:r>
        <w:rPr>
          <w:rStyle w:val="mord"/>
        </w:rPr>
        <w:t>yn</w:t>
      </w:r>
      <w:r>
        <w:rPr>
          <w:rStyle w:val="vlist-s"/>
        </w:rPr>
        <w:t>​</w:t>
      </w:r>
      <w:r>
        <w:rPr>
          <w:rStyle w:val="mpunct"/>
        </w:rPr>
        <w:t>,</w:t>
      </w:r>
      <w:r>
        <w:rPr>
          <w:rStyle w:val="mord"/>
        </w:rPr>
        <w:t>zn</w:t>
      </w:r>
      <w:r>
        <w:rPr>
          <w:rStyle w:val="vlist-s"/>
        </w:rPr>
        <w:t>​</w:t>
      </w:r>
      <w:r>
        <w:rPr>
          <w:rStyle w:val="mpunct"/>
        </w:rPr>
        <w:t>,</w:t>
      </w:r>
      <w:r>
        <w:rPr>
          <w:rStyle w:val="mord"/>
        </w:rPr>
        <w:t>tn</w:t>
      </w:r>
      <w:r>
        <w:rPr>
          <w:rStyle w:val="vlist-s"/>
        </w:rPr>
        <w:t>​</w:t>
      </w:r>
      <w:r>
        <w:rPr>
          <w:rStyle w:val="mclose"/>
        </w:rPr>
        <w:t>)</w:t>
      </w:r>
      <w:r>
        <w:t xml:space="preserve"> </w:t>
      </w:r>
    </w:p>
    <w:p w14:paraId="0A429C41" w14:textId="77777777" w:rsidR="00D940AC" w:rsidRDefault="00D940AC" w:rsidP="00D940AC">
      <w:pPr>
        <w:pStyle w:val="StandardWeb"/>
      </w:pPr>
      <w:r>
        <w:t xml:space="preserve">Diese Struktur beschreibt nicht nur „mehr vom Gleichen“, sondern jeweils </w:t>
      </w:r>
      <w:r>
        <w:rPr>
          <w:rStyle w:val="Fett"/>
          <w:rFonts w:eastAsiaTheme="majorEastAsia"/>
        </w:rPr>
        <w:t>qualitativ neue Ordnungen</w:t>
      </w:r>
      <w:r>
        <w:t xml:space="preserve"> der Funktionszuweisung. Mit jedem Schritt steigen Differenzierung, Kontextsensitivität und die Fähigkeit zur Selbstevaluation – die Regressstruktur wird damit zur </w:t>
      </w:r>
      <w:r>
        <w:rPr>
          <w:rStyle w:val="Fett"/>
          <w:rFonts w:eastAsiaTheme="majorEastAsia"/>
        </w:rPr>
        <w:t>epistemischen Produktivkraft</w:t>
      </w:r>
      <w:r>
        <w:t>.</w:t>
      </w:r>
    </w:p>
    <w:p w14:paraId="38712CF9" w14:textId="77777777" w:rsidR="00D940AC" w:rsidRDefault="009D4C99" w:rsidP="00D940AC">
      <w:r>
        <w:pict w14:anchorId="32CC4718">
          <v:rect id="_x0000_i1034" style="width:0;height:1.5pt" o:hralign="center" o:hrstd="t" o:hr="t" fillcolor="#a0a0a0" stroked="f"/>
        </w:pict>
      </w:r>
    </w:p>
    <w:p w14:paraId="68D7319C" w14:textId="77777777" w:rsidR="00D940AC" w:rsidRDefault="00D940AC" w:rsidP="00D940AC">
      <w:pPr>
        <w:pStyle w:val="berschrift3"/>
      </w:pPr>
      <w:r>
        <w:t>5.9.2 Beobachtung zweiter Ordnung und kybernetische Selbstreferenz</w:t>
      </w:r>
    </w:p>
    <w:p w14:paraId="22970FC1" w14:textId="77777777" w:rsidR="00D940AC" w:rsidRDefault="00D940AC" w:rsidP="00D940AC">
      <w:pPr>
        <w:pStyle w:val="StandardWeb"/>
      </w:pPr>
      <w:r>
        <w:lastRenderedPageBreak/>
        <w:t xml:space="preserve">Zentral für die produktive Interpretation des Regresses ist das Konzept der </w:t>
      </w:r>
      <w:r>
        <w:rPr>
          <w:rStyle w:val="Fett"/>
          <w:rFonts w:eastAsiaTheme="majorEastAsia"/>
        </w:rPr>
        <w:t>Beobachtung zweiter Ordnung</w:t>
      </w:r>
      <w:r>
        <w:t xml:space="preserve">, wie es in der </w:t>
      </w:r>
      <w:r>
        <w:rPr>
          <w:rStyle w:val="Fett"/>
          <w:rFonts w:eastAsiaTheme="majorEastAsia"/>
        </w:rPr>
        <w:t>Kybernetik zweiter Ordnung</w:t>
      </w:r>
      <w:r>
        <w:t xml:space="preserve"> (Foerster, 1984, [72]) und der </w:t>
      </w:r>
      <w:r>
        <w:rPr>
          <w:rStyle w:val="Fett"/>
          <w:rFonts w:eastAsiaTheme="majorEastAsia"/>
        </w:rPr>
        <w:t>Systemtheorie</w:t>
      </w:r>
      <w:r>
        <w:t xml:space="preserve"> (Luhmann, 1990, [69]) entwickelt wurde. Beobachten wird hier nicht als passiver Akt verstanden, sondern als aktiver Prozess der Weltkonstruktion – und dieser Prozess selbst wird zum Gegenstand weiterer Beobachtung.</w:t>
      </w:r>
    </w:p>
    <w:p w14:paraId="1844300A" w14:textId="77777777" w:rsidR="00D940AC" w:rsidRDefault="00D940AC" w:rsidP="00D940AC">
      <w:pPr>
        <w:pStyle w:val="StandardWeb"/>
      </w:pPr>
      <w:r>
        <w:t xml:space="preserve">Das FZRK greift dieses Prinzip auf, indem es </w:t>
      </w:r>
      <w:r>
        <w:rPr>
          <w:rStyle w:val="Fett"/>
          <w:rFonts w:eastAsiaTheme="majorEastAsia"/>
        </w:rPr>
        <w:t>Beobachtung als Funktion</w:t>
      </w:r>
      <w:r>
        <w:t xml:space="preserve"> modelliert:</w:t>
      </w:r>
    </w:p>
    <w:p w14:paraId="0AF3A9B5" w14:textId="77777777" w:rsidR="00D940AC" w:rsidRDefault="00D940AC" w:rsidP="00D940AC">
      <w:r>
        <w:rPr>
          <w:rStyle w:val="katex-mathml"/>
        </w:rPr>
        <w:t>Bi:U→f(U),Bi+1:Bi→f(Bi)B_i : U \rightarrow f(U), \quad B_{i+1} : B_i \rightarrow f(B_i)</w:t>
      </w:r>
      <w:r>
        <w:rPr>
          <w:rStyle w:val="mord"/>
        </w:rPr>
        <w:t>Bi</w:t>
      </w:r>
      <w:r>
        <w:rPr>
          <w:rStyle w:val="vlist-s"/>
        </w:rPr>
        <w:t>​</w:t>
      </w:r>
      <w:r>
        <w:rPr>
          <w:rStyle w:val="mrel"/>
        </w:rPr>
        <w:t>:</w:t>
      </w:r>
      <w:r>
        <w:rPr>
          <w:rStyle w:val="mord"/>
        </w:rPr>
        <w:t>U</w:t>
      </w:r>
      <w:r>
        <w:rPr>
          <w:rStyle w:val="mrel"/>
        </w:rPr>
        <w:t>→</w:t>
      </w:r>
      <w:r>
        <w:rPr>
          <w:rStyle w:val="mord"/>
        </w:rPr>
        <w:t>f</w:t>
      </w:r>
      <w:r>
        <w:rPr>
          <w:rStyle w:val="mopen"/>
        </w:rPr>
        <w:t>(</w:t>
      </w:r>
      <w:r>
        <w:rPr>
          <w:rStyle w:val="mord"/>
        </w:rPr>
        <w:t>U</w:t>
      </w:r>
      <w:r>
        <w:rPr>
          <w:rStyle w:val="mclose"/>
        </w:rPr>
        <w:t>)</w:t>
      </w:r>
      <w:r>
        <w:rPr>
          <w:rStyle w:val="mpunct"/>
        </w:rPr>
        <w:t>,</w:t>
      </w:r>
      <w:r>
        <w:rPr>
          <w:rStyle w:val="mord"/>
        </w:rPr>
        <w:t>Bi</w:t>
      </w:r>
      <w:r>
        <w:rPr>
          <w:rStyle w:val="mbin"/>
        </w:rPr>
        <w:t>+</w:t>
      </w:r>
      <w:r>
        <w:rPr>
          <w:rStyle w:val="mord"/>
        </w:rPr>
        <w:t>1</w:t>
      </w:r>
      <w:r>
        <w:rPr>
          <w:rStyle w:val="vlist-s"/>
        </w:rPr>
        <w:t>​</w:t>
      </w:r>
      <w:r>
        <w:rPr>
          <w:rStyle w:val="mrel"/>
        </w:rPr>
        <w:t>:</w:t>
      </w:r>
      <w:r>
        <w:rPr>
          <w:rStyle w:val="mord"/>
        </w:rPr>
        <w:t>Bi</w:t>
      </w:r>
      <w:r>
        <w:rPr>
          <w:rStyle w:val="vlist-s"/>
        </w:rPr>
        <w:t>​</w:t>
      </w:r>
      <w:r>
        <w:rPr>
          <w:rStyle w:val="mrel"/>
        </w:rPr>
        <w:t>→</w:t>
      </w:r>
      <w:r>
        <w:rPr>
          <w:rStyle w:val="mord"/>
        </w:rPr>
        <w:t>f</w:t>
      </w:r>
      <w:r>
        <w:rPr>
          <w:rStyle w:val="mopen"/>
        </w:rPr>
        <w:t>(</w:t>
      </w:r>
      <w:r>
        <w:rPr>
          <w:rStyle w:val="mord"/>
        </w:rPr>
        <w:t>Bi</w:t>
      </w:r>
      <w:r>
        <w:rPr>
          <w:rStyle w:val="vlist-s"/>
        </w:rPr>
        <w:t>​</w:t>
      </w:r>
      <w:r>
        <w:rPr>
          <w:rStyle w:val="mclose"/>
        </w:rPr>
        <w:t>)</w:t>
      </w:r>
      <w:r>
        <w:t xml:space="preserve"> </w:t>
      </w:r>
    </w:p>
    <w:p w14:paraId="40C22F77" w14:textId="77777777" w:rsidR="00D940AC" w:rsidRDefault="00D940AC" w:rsidP="00D940AC">
      <w:pPr>
        <w:pStyle w:val="StandardWeb"/>
      </w:pPr>
      <w:r>
        <w:t xml:space="preserve">Jede neue Ebene der Beobachtung kann dabei die vorherige analysieren, modifizieren oder relativieren. Diese rekursive Verschachtelung ist in der klassischen Logik schwer abbildbar – im FZRK hingegen ist sie </w:t>
      </w:r>
      <w:r>
        <w:rPr>
          <w:rStyle w:val="Fett"/>
          <w:rFonts w:eastAsiaTheme="majorEastAsia"/>
        </w:rPr>
        <w:t>strukturimmanent</w:t>
      </w:r>
      <w:r>
        <w:t xml:space="preserve">. Der Infinite Regress wird hier nicht gebannt, sondern </w:t>
      </w:r>
      <w:r>
        <w:rPr>
          <w:rStyle w:val="Fett"/>
          <w:rFonts w:eastAsiaTheme="majorEastAsia"/>
        </w:rPr>
        <w:t>systemisch integriert</w:t>
      </w:r>
      <w:r>
        <w:t>.</w:t>
      </w:r>
    </w:p>
    <w:p w14:paraId="74A3B03C" w14:textId="77777777" w:rsidR="00D940AC" w:rsidRDefault="00D940AC" w:rsidP="00D940AC">
      <w:pPr>
        <w:pStyle w:val="StandardWeb"/>
      </w:pPr>
      <w:r>
        <w:t xml:space="preserve">Ein praktisches Beispiel: In einem digitalen Lernsystem beobachtet ein Lernender nicht nur einen Sachverhalt (z. B. ein physikalisches Experiment), sondern reflektiert seine eigene Interpretation (Meta-Ebene 1), bewertet seine Deutung im Diskurskontext (Meta-Ebene 2) und passt schließlich sein eigenes Lernverhalten basierend auf diesen Reflexionen an (Meta-Ebene 3). Jede dieser Stufen ist durch eine funktionale Zuweisung beschreibbar – ein </w:t>
      </w:r>
      <w:r>
        <w:rPr>
          <w:rStyle w:val="Fett"/>
          <w:rFonts w:eastAsiaTheme="majorEastAsia"/>
        </w:rPr>
        <w:t>funktionaler Regress</w:t>
      </w:r>
      <w:r>
        <w:t>, der lernwirksam und modellierbar ist (vgl. Reinmann &amp; Meyer, 2022, [37]).</w:t>
      </w:r>
    </w:p>
    <w:p w14:paraId="46ACDCFE" w14:textId="77777777" w:rsidR="00D940AC" w:rsidRDefault="009D4C99" w:rsidP="00D940AC">
      <w:r>
        <w:pict w14:anchorId="61D0395C">
          <v:rect id="_x0000_i1035" style="width:0;height:1.5pt" o:hralign="center" o:hrstd="t" o:hr="t" fillcolor="#a0a0a0" stroked="f"/>
        </w:pict>
      </w:r>
    </w:p>
    <w:p w14:paraId="70A6C507" w14:textId="77777777" w:rsidR="00D940AC" w:rsidRDefault="00D940AC" w:rsidP="00D940AC">
      <w:pPr>
        <w:pStyle w:val="berschrift3"/>
      </w:pPr>
      <w:r>
        <w:t>5.9.3 Infinite Regress in Metakognition und Theory of Mind</w:t>
      </w:r>
    </w:p>
    <w:p w14:paraId="48E185B1" w14:textId="77777777" w:rsidR="00D940AC" w:rsidRDefault="00D940AC" w:rsidP="00D940AC">
      <w:pPr>
        <w:pStyle w:val="StandardWeb"/>
      </w:pPr>
      <w:r>
        <w:t xml:space="preserve">Auch in der </w:t>
      </w:r>
      <w:r>
        <w:rPr>
          <w:rStyle w:val="Fett"/>
          <w:rFonts w:eastAsiaTheme="majorEastAsia"/>
        </w:rPr>
        <w:t>kognitionspsychologischen Forschung</w:t>
      </w:r>
      <w:r>
        <w:t xml:space="preserve"> ist der Infinite Regress kein Fremdkörper, sondern Teil funktionaler Theoriebildung. Bereits John Flavell (1979) beschrieb Metakognition als „knowledge about one’s own cognitive processes“ – eine Fähigkeit, die in iterativen Schleifen strukturiert ist (Flavell, 1979, [74]).</w:t>
      </w:r>
    </w:p>
    <w:p w14:paraId="0ED2C3BA" w14:textId="77777777" w:rsidR="00D940AC" w:rsidRDefault="00D940AC" w:rsidP="00D940AC">
      <w:pPr>
        <w:pStyle w:val="StandardWeb"/>
      </w:pPr>
      <w:r>
        <w:t xml:space="preserve">In sogenannten </w:t>
      </w:r>
      <w:r>
        <w:rPr>
          <w:rStyle w:val="Hervorhebung"/>
        </w:rPr>
        <w:t>Theory-of-Mind</w:t>
      </w:r>
      <w:r>
        <w:t xml:space="preserve">-Modellen wird angenommen, dass Menschen nicht nur Überzeugungen über die Welt, sondern auch über die Überzeugungen anderer besitzen – und wiederum über deren Überzeugungen. Diese Regressstruktur lässt sich im FZRK als </w:t>
      </w:r>
      <w:r>
        <w:rPr>
          <w:rStyle w:val="Fett"/>
          <w:rFonts w:eastAsiaTheme="majorEastAsia"/>
        </w:rPr>
        <w:t>komplexes Funktionsgeflecht</w:t>
      </w:r>
      <w:r>
        <w:t xml:space="preserve"> darstellen:</w:t>
      </w:r>
    </w:p>
    <w:p w14:paraId="46AB63AD" w14:textId="77777777" w:rsidR="00D940AC" w:rsidRDefault="00D940AC" w:rsidP="00D940AC">
      <w:r>
        <w:rPr>
          <w:rStyle w:val="katex-mathml"/>
        </w:rPr>
        <w:t>M1(A)=„Ich denke, dass...“,M2(M1)=„Ich denke, dass du denkst, dass...“,…M_1(A) = \text{„Ich denke, dass...“}, \quad M_2(M_1) = \text{„Ich denke, dass du denkst, dass...“}, \quad \dots</w:t>
      </w:r>
      <w:r>
        <w:rPr>
          <w:rStyle w:val="mord"/>
        </w:rPr>
        <w:t>M1</w:t>
      </w:r>
      <w:r>
        <w:rPr>
          <w:rStyle w:val="vlist-s"/>
        </w:rPr>
        <w:t>​</w:t>
      </w:r>
      <w:r>
        <w:rPr>
          <w:rStyle w:val="mopen"/>
        </w:rPr>
        <w:t>(</w:t>
      </w:r>
      <w:r>
        <w:rPr>
          <w:rStyle w:val="mord"/>
        </w:rPr>
        <w:t>A</w:t>
      </w:r>
      <w:r>
        <w:rPr>
          <w:rStyle w:val="mclose"/>
        </w:rPr>
        <w:t>)</w:t>
      </w:r>
      <w:r>
        <w:rPr>
          <w:rStyle w:val="mrel"/>
        </w:rPr>
        <w:t>=</w:t>
      </w:r>
      <w:r>
        <w:rPr>
          <w:rStyle w:val="mord"/>
        </w:rPr>
        <w:t>„Ich denke, dass...“</w:t>
      </w:r>
      <w:r>
        <w:rPr>
          <w:rStyle w:val="mpunct"/>
        </w:rPr>
        <w:t>,</w:t>
      </w:r>
      <w:r>
        <w:rPr>
          <w:rStyle w:val="mord"/>
        </w:rPr>
        <w:t>M2</w:t>
      </w:r>
      <w:r>
        <w:rPr>
          <w:rStyle w:val="vlist-s"/>
        </w:rPr>
        <w:t>​</w:t>
      </w:r>
      <w:r>
        <w:rPr>
          <w:rStyle w:val="mopen"/>
        </w:rPr>
        <w:t>(</w:t>
      </w:r>
      <w:r>
        <w:rPr>
          <w:rStyle w:val="mord"/>
        </w:rPr>
        <w:t>M1</w:t>
      </w:r>
      <w:r>
        <w:rPr>
          <w:rStyle w:val="vlist-s"/>
        </w:rPr>
        <w:t>​</w:t>
      </w:r>
      <w:r>
        <w:rPr>
          <w:rStyle w:val="mclose"/>
        </w:rPr>
        <w:t>)</w:t>
      </w:r>
      <w:r>
        <w:rPr>
          <w:rStyle w:val="mrel"/>
        </w:rPr>
        <w:t>=</w:t>
      </w:r>
      <w:r>
        <w:rPr>
          <w:rStyle w:val="mord"/>
        </w:rPr>
        <w:t>„Ich denke, dass du denkst, dass...“</w:t>
      </w:r>
      <w:r>
        <w:rPr>
          <w:rStyle w:val="mpunct"/>
        </w:rPr>
        <w:t>,</w:t>
      </w:r>
      <w:r>
        <w:rPr>
          <w:rStyle w:val="minner"/>
        </w:rPr>
        <w:t>…</w:t>
      </w:r>
      <w:r>
        <w:t xml:space="preserve"> </w:t>
      </w:r>
    </w:p>
    <w:p w14:paraId="381BCB06" w14:textId="77777777" w:rsidR="00D940AC" w:rsidRDefault="00D940AC" w:rsidP="00D940AC">
      <w:pPr>
        <w:pStyle w:val="StandardWeb"/>
      </w:pPr>
      <w:r>
        <w:t xml:space="preserve">Solche Konstruktionen sind beispielsweise entscheidend für soziales Handeln, narrative Kompetenz und moralische Urteilsbildung (vgl. Varela et al., 1991, [81]). Im FZRK wird diese Struktur nicht nur beschrieben, sondern als </w:t>
      </w:r>
      <w:r>
        <w:rPr>
          <w:rStyle w:val="Fett"/>
          <w:rFonts w:eastAsiaTheme="majorEastAsia"/>
        </w:rPr>
        <w:t>Zuweisungslogik explizit modellierbar</w:t>
      </w:r>
      <w:r>
        <w:t>.</w:t>
      </w:r>
    </w:p>
    <w:p w14:paraId="1D488397" w14:textId="77777777" w:rsidR="00D940AC" w:rsidRDefault="009D4C99" w:rsidP="00D940AC">
      <w:r>
        <w:pict w14:anchorId="0C356FDE">
          <v:rect id="_x0000_i1036" style="width:0;height:1.5pt" o:hralign="center" o:hrstd="t" o:hr="t" fillcolor="#a0a0a0" stroked="f"/>
        </w:pict>
      </w:r>
    </w:p>
    <w:p w14:paraId="01ED0C9A" w14:textId="77777777" w:rsidR="00D940AC" w:rsidRDefault="00D940AC" w:rsidP="00D940AC">
      <w:pPr>
        <w:pStyle w:val="berschrift3"/>
      </w:pPr>
      <w:r>
        <w:t>5.9.4 Regressive Selbstmodellierung in der Künstlichen Intelligenz</w:t>
      </w:r>
    </w:p>
    <w:p w14:paraId="7E093420" w14:textId="77777777" w:rsidR="00D940AC" w:rsidRDefault="00D940AC" w:rsidP="00D940AC">
      <w:pPr>
        <w:pStyle w:val="StandardWeb"/>
      </w:pPr>
      <w:r>
        <w:lastRenderedPageBreak/>
        <w:t xml:space="preserve">In der </w:t>
      </w:r>
      <w:r>
        <w:rPr>
          <w:rStyle w:val="Fett"/>
          <w:rFonts w:eastAsiaTheme="majorEastAsia"/>
        </w:rPr>
        <w:t>Künstlichen Intelligenz</w:t>
      </w:r>
      <w:r>
        <w:t xml:space="preserve"> wird Regressstruktur zunehmend explizit genutzt – etwa in </w:t>
      </w:r>
      <w:r>
        <w:rPr>
          <w:rStyle w:val="Fett"/>
          <w:rFonts w:eastAsiaTheme="majorEastAsia"/>
        </w:rPr>
        <w:t>Meta-Learning</w:t>
      </w:r>
      <w:r>
        <w:t xml:space="preserve">-Systemen, die ihre eigenen Lernprozesse zum Lerngegenstand machen (vgl. Schmidhuber, 2015, [73]; Sutton &amp; Barto, 2018, [75]). Hier lernen Agenten nicht nur „wie“ zu handeln, sondern </w:t>
      </w:r>
      <w:r>
        <w:rPr>
          <w:rStyle w:val="Fett"/>
          <w:rFonts w:eastAsiaTheme="majorEastAsia"/>
        </w:rPr>
        <w:t>wie sie lernen</w:t>
      </w:r>
      <w:r>
        <w:t>, wie sie lernen. Auch hier entsteht ein Regress:</w:t>
      </w:r>
    </w:p>
    <w:p w14:paraId="4221BB12" w14:textId="77777777" w:rsidR="00D940AC" w:rsidRDefault="00D940AC" w:rsidP="00D940AC">
      <w:r>
        <w:rPr>
          <w:rStyle w:val="katex-error"/>
        </w:rPr>
        <w:t>L_0 = \text{Policy}, \quad L_1 = \text{Policy über Policies}, \quad L_2 = \text{Adaptives Lernen von L_1}</w:t>
      </w:r>
      <w:r>
        <w:t xml:space="preserve"> </w:t>
      </w:r>
    </w:p>
    <w:p w14:paraId="23126D4B" w14:textId="77777777" w:rsidR="00D940AC" w:rsidRDefault="00D940AC" w:rsidP="00D940AC">
      <w:pPr>
        <w:pStyle w:val="StandardWeb"/>
      </w:pPr>
      <w:r>
        <w:t>Im FZRK kann diese Architektur durch verschachtelte Meta-Funktionen modelliert werden, etwa durch:</w:t>
      </w:r>
    </w:p>
    <w:p w14:paraId="14F7A23A" w14:textId="77777777" w:rsidR="00D940AC" w:rsidRDefault="00D940AC" w:rsidP="00D940AC">
      <w:r>
        <w:rPr>
          <w:rStyle w:val="katex-mathml"/>
        </w:rPr>
        <w:t>M3(A)=M(M(M(A,Ψ1),Ψ2),Ψ3)M_3(A) = M(M(M(A, \Psi_1), \Psi_2), \Psi_3)</w:t>
      </w:r>
      <w:r>
        <w:rPr>
          <w:rStyle w:val="mord"/>
        </w:rPr>
        <w:t>M3</w:t>
      </w:r>
      <w:r>
        <w:rPr>
          <w:rStyle w:val="vlist-s"/>
        </w:rPr>
        <w:t>​</w:t>
      </w:r>
      <w:r>
        <w:rPr>
          <w:rStyle w:val="mopen"/>
        </w:rPr>
        <w:t>(</w:t>
      </w:r>
      <w:r>
        <w:rPr>
          <w:rStyle w:val="mord"/>
        </w:rPr>
        <w:t>A</w:t>
      </w:r>
      <w:r>
        <w:rPr>
          <w:rStyle w:val="mclose"/>
        </w:rPr>
        <w:t>)</w:t>
      </w:r>
      <w:r>
        <w:rPr>
          <w:rStyle w:val="mrel"/>
        </w:rPr>
        <w:t>=</w:t>
      </w:r>
      <w:r>
        <w:rPr>
          <w:rStyle w:val="mord"/>
        </w:rPr>
        <w:t>M</w:t>
      </w:r>
      <w:r>
        <w:rPr>
          <w:rStyle w:val="mopen"/>
        </w:rPr>
        <w:t>(</w:t>
      </w:r>
      <w:r>
        <w:rPr>
          <w:rStyle w:val="mord"/>
        </w:rPr>
        <w:t>M</w:t>
      </w:r>
      <w:r>
        <w:rPr>
          <w:rStyle w:val="mopen"/>
        </w:rPr>
        <w:t>(</w:t>
      </w:r>
      <w:r>
        <w:rPr>
          <w:rStyle w:val="mord"/>
        </w:rPr>
        <w:t>M</w:t>
      </w:r>
      <w:r>
        <w:rPr>
          <w:rStyle w:val="mopen"/>
        </w:rPr>
        <w:t>(</w:t>
      </w:r>
      <w:r>
        <w:rPr>
          <w:rStyle w:val="mord"/>
        </w:rPr>
        <w:t>A</w:t>
      </w:r>
      <w:r>
        <w:rPr>
          <w:rStyle w:val="mpunct"/>
        </w:rPr>
        <w:t>,</w:t>
      </w:r>
      <w:r>
        <w:rPr>
          <w:rStyle w:val="mord"/>
        </w:rPr>
        <w:t>Ψ1</w:t>
      </w:r>
      <w:r>
        <w:rPr>
          <w:rStyle w:val="vlist-s"/>
        </w:rPr>
        <w:t>​</w:t>
      </w:r>
      <w:r>
        <w:rPr>
          <w:rStyle w:val="mclose"/>
        </w:rPr>
        <w:t>)</w:t>
      </w:r>
      <w:r>
        <w:rPr>
          <w:rStyle w:val="mpunct"/>
        </w:rPr>
        <w:t>,</w:t>
      </w:r>
      <w:r>
        <w:rPr>
          <w:rStyle w:val="mord"/>
        </w:rPr>
        <w:t>Ψ2</w:t>
      </w:r>
      <w:r>
        <w:rPr>
          <w:rStyle w:val="vlist-s"/>
        </w:rPr>
        <w:t>​</w:t>
      </w:r>
      <w:r>
        <w:rPr>
          <w:rStyle w:val="mclose"/>
        </w:rPr>
        <w:t>)</w:t>
      </w:r>
      <w:r>
        <w:rPr>
          <w:rStyle w:val="mpunct"/>
        </w:rPr>
        <w:t>,</w:t>
      </w:r>
      <w:r>
        <w:rPr>
          <w:rStyle w:val="mord"/>
        </w:rPr>
        <w:t>Ψ3</w:t>
      </w:r>
      <w:r>
        <w:rPr>
          <w:rStyle w:val="vlist-s"/>
        </w:rPr>
        <w:t>​</w:t>
      </w:r>
      <w:r>
        <w:rPr>
          <w:rStyle w:val="mclose"/>
        </w:rPr>
        <w:t>)</w:t>
      </w:r>
      <w:r>
        <w:t xml:space="preserve"> </w:t>
      </w:r>
    </w:p>
    <w:p w14:paraId="7B174596" w14:textId="77777777" w:rsidR="00D940AC" w:rsidRDefault="00D940AC" w:rsidP="00D940AC">
      <w:pPr>
        <w:pStyle w:val="StandardWeb"/>
      </w:pPr>
      <w:r>
        <w:t xml:space="preserve">Besonders relevant ist dies in selbstanpassenden Agentensystemen, die in offenen Umgebungen operieren und dabei eigene Zielstrukturen dynamisch rekonfigurieren – etwa in robotischen Lernsystemen oder in erklärbaren KI-Architekturen. Der Infinite Regress wird hier zur </w:t>
      </w:r>
      <w:r>
        <w:rPr>
          <w:rStyle w:val="Fett"/>
          <w:rFonts w:eastAsiaTheme="majorEastAsia"/>
        </w:rPr>
        <w:t>architektonischen Notwendigkeit</w:t>
      </w:r>
      <w:r>
        <w:t>, nicht zur Gefahr (vgl. Russell &amp; Norvig, 2010, [80]).</w:t>
      </w:r>
    </w:p>
    <w:p w14:paraId="46D58660" w14:textId="77777777" w:rsidR="00D940AC" w:rsidRDefault="009D4C99" w:rsidP="00D940AC">
      <w:r>
        <w:pict w14:anchorId="79114B45">
          <v:rect id="_x0000_i1037" style="width:0;height:1.5pt" o:hralign="center" o:hrstd="t" o:hr="t" fillcolor="#a0a0a0" stroked="f"/>
        </w:pict>
      </w:r>
    </w:p>
    <w:p w14:paraId="0890E686" w14:textId="77777777" w:rsidR="00D940AC" w:rsidRDefault="00D940AC" w:rsidP="00D940AC">
      <w:pPr>
        <w:pStyle w:val="berschrift3"/>
      </w:pPr>
      <w:r>
        <w:t>5.9.5 Der Infinite Regress als strukturelle Validierungsform</w:t>
      </w:r>
    </w:p>
    <w:p w14:paraId="39E84765" w14:textId="77777777" w:rsidR="00D940AC" w:rsidRDefault="00D940AC" w:rsidP="00D940AC">
      <w:pPr>
        <w:pStyle w:val="StandardWeb"/>
      </w:pPr>
      <w:r>
        <w:t xml:space="preserve">Im FZRK ist der Infinite Regress nicht nur modellierbar – er wird zu einem </w:t>
      </w:r>
      <w:r>
        <w:rPr>
          <w:rStyle w:val="Fett"/>
          <w:rFonts w:eastAsiaTheme="majorEastAsia"/>
        </w:rPr>
        <w:t>Prüfstein epistemischer Validität</w:t>
      </w:r>
      <w:r>
        <w:t xml:space="preserve">. Denn nur Modelle, die ihre eigene Struktur zur Reflexion bringen können, sind </w:t>
      </w:r>
      <w:r>
        <w:rPr>
          <w:rStyle w:val="Fett"/>
          <w:rFonts w:eastAsiaTheme="majorEastAsia"/>
        </w:rPr>
        <w:t>transparente epistemische Systeme</w:t>
      </w:r>
      <w:r>
        <w:t>. Lässt sich ein Modell nicht auf Meta-Ebenen erweitern, bleibt es blind für seine eigenen Bedingungen.</w:t>
      </w:r>
    </w:p>
    <w:p w14:paraId="1F07C7AF" w14:textId="77777777" w:rsidR="00D940AC" w:rsidRDefault="00D940AC" w:rsidP="00D940AC">
      <w:pPr>
        <w:pStyle w:val="StandardWeb"/>
      </w:pPr>
      <w:r>
        <w:t>„Ein Modell, das seine eigenen Voraussetzungen nicht funktional modellieren kann, bleibt epistemologisch defizitär.“ (Jörissen &amp; Meyer, 2015, [64])</w:t>
      </w:r>
    </w:p>
    <w:p w14:paraId="08843DD3" w14:textId="77777777" w:rsidR="00D940AC" w:rsidRDefault="00D940AC" w:rsidP="00D940AC">
      <w:pPr>
        <w:pStyle w:val="StandardWeb"/>
      </w:pPr>
      <w:r>
        <w:t xml:space="preserve">Der Regress zeigt also nicht die Schwäche, sondern die </w:t>
      </w:r>
      <w:r>
        <w:rPr>
          <w:rStyle w:val="Fett"/>
          <w:rFonts w:eastAsiaTheme="majorEastAsia"/>
        </w:rPr>
        <w:t>reflexive Stärke</w:t>
      </w:r>
      <w:r>
        <w:t xml:space="preserve"> eines Modells an: Es kann sich beobachten, rekonfigurieren, neu strukturieren – </w:t>
      </w:r>
      <w:r>
        <w:rPr>
          <w:rStyle w:val="Fett"/>
          <w:rFonts w:eastAsiaTheme="majorEastAsia"/>
        </w:rPr>
        <w:t>ohne externe Instanz</w:t>
      </w:r>
      <w:r>
        <w:t>. Im FZRK ist dies keine Zusatzfunktion, sondern integraler Bestandteil der Funktionslogik.</w:t>
      </w:r>
    </w:p>
    <w:p w14:paraId="5444726F" w14:textId="77777777" w:rsidR="00D940AC" w:rsidRDefault="009D4C99" w:rsidP="00D940AC">
      <w:r>
        <w:pict w14:anchorId="27819C0A">
          <v:rect id="_x0000_i1038" style="width:0;height:1.5pt" o:hralign="center" o:hrstd="t" o:hr="t" fillcolor="#a0a0a0" stroked="f"/>
        </w:pict>
      </w:r>
    </w:p>
    <w:p w14:paraId="60E701A9" w14:textId="77777777" w:rsidR="00D940AC" w:rsidRDefault="00D940AC" w:rsidP="00D940AC">
      <w:pPr>
        <w:pStyle w:val="berschrift3"/>
      </w:pPr>
      <w:r>
        <w:t>Fazit: Regress als Form epistemischer Souveränität</w:t>
      </w:r>
    </w:p>
    <w:p w14:paraId="19379B78" w14:textId="77777777" w:rsidR="00D940AC" w:rsidRDefault="00D940AC" w:rsidP="00D940AC">
      <w:pPr>
        <w:pStyle w:val="StandardWeb"/>
      </w:pPr>
      <w:r>
        <w:t xml:space="preserve">Im Gegensatz zu klassischen Modellen, in denen der Infinite Regress einen Zusammenbruch epistemischer Ordnung markiert, wird er im FZRK zur </w:t>
      </w:r>
      <w:r>
        <w:rPr>
          <w:rStyle w:val="Fett"/>
          <w:rFonts w:eastAsiaTheme="majorEastAsia"/>
        </w:rPr>
        <w:t>strukturtheoretischen Stärke</w:t>
      </w:r>
      <w:r>
        <w:t xml:space="preserve">. Durch Meta-Funktionen, Beobachtermodellierung, rekursive Zuweisung und kontextuelle Differenzierung wird aus dem Regress eine </w:t>
      </w:r>
      <w:r>
        <w:rPr>
          <w:rStyle w:val="Fett"/>
          <w:rFonts w:eastAsiaTheme="majorEastAsia"/>
        </w:rPr>
        <w:t>emergente Erkenntnisarchitektur</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3679"/>
      </w:tblGrid>
      <w:tr w:rsidR="00D940AC" w14:paraId="6E45DD68" w14:textId="77777777" w:rsidTr="00D940AC">
        <w:trPr>
          <w:tblHeader/>
          <w:tblCellSpacing w:w="15" w:type="dxa"/>
        </w:trPr>
        <w:tc>
          <w:tcPr>
            <w:tcW w:w="0" w:type="auto"/>
            <w:vAlign w:val="center"/>
            <w:hideMark/>
          </w:tcPr>
          <w:p w14:paraId="055413BA" w14:textId="77777777" w:rsidR="00D940AC" w:rsidRDefault="00D940AC">
            <w:pPr>
              <w:jc w:val="center"/>
              <w:rPr>
                <w:b/>
                <w:bCs/>
              </w:rPr>
            </w:pPr>
            <w:r>
              <w:rPr>
                <w:b/>
                <w:bCs/>
              </w:rPr>
              <w:t>Klassische Sicht</w:t>
            </w:r>
          </w:p>
        </w:tc>
        <w:tc>
          <w:tcPr>
            <w:tcW w:w="0" w:type="auto"/>
            <w:vAlign w:val="center"/>
            <w:hideMark/>
          </w:tcPr>
          <w:p w14:paraId="058584D7" w14:textId="77777777" w:rsidR="00D940AC" w:rsidRDefault="00D940AC">
            <w:pPr>
              <w:jc w:val="center"/>
              <w:rPr>
                <w:b/>
                <w:bCs/>
              </w:rPr>
            </w:pPr>
            <w:r>
              <w:rPr>
                <w:b/>
                <w:bCs/>
              </w:rPr>
              <w:t>FZRK-Perspektive</w:t>
            </w:r>
          </w:p>
        </w:tc>
      </w:tr>
      <w:tr w:rsidR="00D940AC" w14:paraId="7863CB7F" w14:textId="77777777" w:rsidTr="00D940AC">
        <w:trPr>
          <w:tblCellSpacing w:w="15" w:type="dxa"/>
        </w:trPr>
        <w:tc>
          <w:tcPr>
            <w:tcW w:w="0" w:type="auto"/>
            <w:vAlign w:val="center"/>
            <w:hideMark/>
          </w:tcPr>
          <w:p w14:paraId="094BCC8E" w14:textId="77777777" w:rsidR="00D940AC" w:rsidRDefault="00D940AC">
            <w:r>
              <w:t>Regress als Abbruch</w:t>
            </w:r>
          </w:p>
        </w:tc>
        <w:tc>
          <w:tcPr>
            <w:tcW w:w="0" w:type="auto"/>
            <w:vAlign w:val="center"/>
            <w:hideMark/>
          </w:tcPr>
          <w:p w14:paraId="3BF31B1C" w14:textId="77777777" w:rsidR="00D940AC" w:rsidRDefault="00D940AC">
            <w:r>
              <w:t>Regress als funktionale Fortführung</w:t>
            </w:r>
          </w:p>
        </w:tc>
      </w:tr>
      <w:tr w:rsidR="00D940AC" w14:paraId="3001E08F" w14:textId="77777777" w:rsidTr="00D940AC">
        <w:trPr>
          <w:tblCellSpacing w:w="15" w:type="dxa"/>
        </w:trPr>
        <w:tc>
          <w:tcPr>
            <w:tcW w:w="0" w:type="auto"/>
            <w:vAlign w:val="center"/>
            <w:hideMark/>
          </w:tcPr>
          <w:p w14:paraId="2782CE89" w14:textId="77777777" w:rsidR="00D940AC" w:rsidRDefault="00D940AC">
            <w:r>
              <w:t>Selbstbezüglichkeit als Problem</w:t>
            </w:r>
          </w:p>
        </w:tc>
        <w:tc>
          <w:tcPr>
            <w:tcW w:w="0" w:type="auto"/>
            <w:vAlign w:val="center"/>
            <w:hideMark/>
          </w:tcPr>
          <w:p w14:paraId="603A19EF" w14:textId="77777777" w:rsidR="00D940AC" w:rsidRDefault="00D940AC">
            <w:r>
              <w:t>Selbstreferenz als Modellbedingung</w:t>
            </w:r>
          </w:p>
        </w:tc>
      </w:tr>
      <w:tr w:rsidR="00D940AC" w14:paraId="3CEE52EF" w14:textId="77777777" w:rsidTr="00D940AC">
        <w:trPr>
          <w:tblCellSpacing w:w="15" w:type="dxa"/>
        </w:trPr>
        <w:tc>
          <w:tcPr>
            <w:tcW w:w="0" w:type="auto"/>
            <w:vAlign w:val="center"/>
            <w:hideMark/>
          </w:tcPr>
          <w:p w14:paraId="531095A8" w14:textId="77777777" w:rsidR="00D940AC" w:rsidRDefault="00D940AC">
            <w:r>
              <w:lastRenderedPageBreak/>
              <w:t>Beobachterparadox</w:t>
            </w:r>
          </w:p>
        </w:tc>
        <w:tc>
          <w:tcPr>
            <w:tcW w:w="0" w:type="auto"/>
            <w:vAlign w:val="center"/>
            <w:hideMark/>
          </w:tcPr>
          <w:p w14:paraId="3E4A215A" w14:textId="77777777" w:rsidR="00D940AC" w:rsidRDefault="00D940AC">
            <w:r>
              <w:t>Beobachter als systeminterner Operator</w:t>
            </w:r>
          </w:p>
        </w:tc>
      </w:tr>
    </w:tbl>
    <w:p w14:paraId="1DF0817A" w14:textId="77777777" w:rsidR="00D940AC" w:rsidRDefault="00D940AC" w:rsidP="00D940AC">
      <w:pPr>
        <w:pStyle w:val="StandardWeb"/>
      </w:pPr>
      <w:r>
        <w:t xml:space="preserve">Das FZRK bietet damit eine </w:t>
      </w:r>
      <w:r>
        <w:rPr>
          <w:rStyle w:val="Fett"/>
          <w:rFonts w:eastAsiaTheme="majorEastAsia"/>
        </w:rPr>
        <w:t>einzigartige epistemische Antwort</w:t>
      </w:r>
      <w:r>
        <w:t xml:space="preserve"> auf das Regressproblem: Statt die Schleife zu kappen, </w:t>
      </w:r>
      <w:r>
        <w:rPr>
          <w:rStyle w:val="Fett"/>
          <w:rFonts w:eastAsiaTheme="majorEastAsia"/>
        </w:rPr>
        <w:t>wird sie modelliert, verschachtelt und fruchtbar gemacht</w:t>
      </w:r>
      <w:r>
        <w:t>. Das eröffnet neue Perspektiven für eine reflexive, dynamische und funktional anschlussfähige Wissenschaftspraxis – insbesondere in komplexen Systemen wie Bildung, KI, Ethik, Semiotik und sozialen Netzwerken.</w:t>
      </w:r>
    </w:p>
    <w:p w14:paraId="2EA3F951" w14:textId="77777777" w:rsidR="00D940AC" w:rsidRDefault="009D4C99" w:rsidP="00D940AC">
      <w:r>
        <w:pict w14:anchorId="324BFCC8">
          <v:rect id="_x0000_i1039" style="width:0;height:1.5pt" o:hralign="center" o:hrstd="t" o:hr="t" fillcolor="#a0a0a0" stroked="f"/>
        </w:pict>
      </w:r>
    </w:p>
    <w:p w14:paraId="63A063A7" w14:textId="77777777" w:rsidR="00D940AC" w:rsidRDefault="00D940AC" w:rsidP="00D940AC">
      <w:pPr>
        <w:pStyle w:val="berschrift3"/>
      </w:pPr>
      <w:r>
        <w:t>Literaturverzeichnis zu Abschnitt 5.9 (inkl. Nummerierung)</w:t>
      </w:r>
    </w:p>
    <w:p w14:paraId="1B1BE599" w14:textId="77777777" w:rsidR="00D940AC" w:rsidRDefault="00D940AC" w:rsidP="00D940AC">
      <w:pPr>
        <w:pStyle w:val="StandardWeb"/>
      </w:pPr>
      <w:r>
        <w:t xml:space="preserve">[63] Floridi, L. (2011). </w:t>
      </w:r>
      <w:r>
        <w:rPr>
          <w:rStyle w:val="Hervorhebung"/>
        </w:rPr>
        <w:t>The Philosophy of Information</w:t>
      </w:r>
      <w:r>
        <w:t>. Oxford University Press.</w:t>
      </w:r>
      <w:r>
        <w:br/>
        <w:t xml:space="preserve">[64] Jörissen, B., &amp; Meyer, T. (2015). </w:t>
      </w:r>
      <w:r>
        <w:rPr>
          <w:rStyle w:val="Hervorhebung"/>
        </w:rPr>
        <w:t>Epistemologien des Designs – Zur Theorie didaktischer Modellierung</w:t>
      </w:r>
      <w:r>
        <w:t>. ZfE, 18(4), 733–752.</w:t>
      </w:r>
      <w:r>
        <w:br/>
        <w:t xml:space="preserve">[69] Luhmann, N. (1990). </w:t>
      </w:r>
      <w:r>
        <w:rPr>
          <w:rStyle w:val="Hervorhebung"/>
        </w:rPr>
        <w:t>Die Wissenschaft der Gesellschaft</w:t>
      </w:r>
      <w:r>
        <w:t>. Suhrkamp.</w:t>
      </w:r>
      <w:r>
        <w:br/>
        <w:t xml:space="preserve">[72] Foerster, H. von (1984). </w:t>
      </w:r>
      <w:r>
        <w:rPr>
          <w:rStyle w:val="Hervorhebung"/>
        </w:rPr>
        <w:t>Observing Systems</w:t>
      </w:r>
      <w:r>
        <w:t>. Intersystems Publications.</w:t>
      </w:r>
      <w:r>
        <w:br/>
        <w:t xml:space="preserve">[73] Schmidhuber, J. (2015). </w:t>
      </w:r>
      <w:r>
        <w:rPr>
          <w:rStyle w:val="Hervorhebung"/>
        </w:rPr>
        <w:t>Deep Learning in Neural Networks: An Overview</w:t>
      </w:r>
      <w:r>
        <w:t>. Neural Networks.</w:t>
      </w:r>
      <w:r>
        <w:br/>
        <w:t xml:space="preserve">[74] Flavell, J. H. (1979). </w:t>
      </w:r>
      <w:r>
        <w:rPr>
          <w:rStyle w:val="Hervorhebung"/>
        </w:rPr>
        <w:t>Metacognition and Cognitive Monitoring</w:t>
      </w:r>
      <w:r>
        <w:t>. American Psychologist, 34(10), 906–911.</w:t>
      </w:r>
      <w:r>
        <w:br/>
        <w:t xml:space="preserve">[75] Sutton, R. S., &amp; Barto, A. G. (2018). </w:t>
      </w:r>
      <w:r>
        <w:rPr>
          <w:rStyle w:val="Hervorhebung"/>
        </w:rPr>
        <w:t>Reinforcement Learning: An Introduction</w:t>
      </w:r>
      <w:r>
        <w:t>. MIT Press.</w:t>
      </w:r>
      <w:r>
        <w:br/>
        <w:t xml:space="preserve">[80] Russell, S., &amp; Norvig, P. (2010). </w:t>
      </w:r>
      <w:r>
        <w:rPr>
          <w:rStyle w:val="Hervorhebung"/>
        </w:rPr>
        <w:t>Artificial Intelligence: A Modern Approach</w:t>
      </w:r>
      <w:r>
        <w:t>. Prentice Hall.</w:t>
      </w:r>
      <w:r>
        <w:br/>
        <w:t xml:space="preserve">[81] Varela, F. J., Thompson, E., &amp; Rosch, E. (1991). </w:t>
      </w:r>
      <w:r>
        <w:rPr>
          <w:rStyle w:val="Hervorhebung"/>
        </w:rPr>
        <w:t>The Embodied Mind: Cognitive Science and Human Experience</w:t>
      </w:r>
      <w:r>
        <w:t>. MIT Press.</w:t>
      </w:r>
      <w:r>
        <w:br/>
        <w:t xml:space="preserve">[37] Reinmann, G., &amp; Meyer, T. (2022). </w:t>
      </w:r>
      <w:r>
        <w:rPr>
          <w:rStyle w:val="Hervorhebung"/>
        </w:rPr>
        <w:t>Didaktisches Design und epistemische Reflexion</w:t>
      </w:r>
      <w:r>
        <w:t xml:space="preserve">. In: </w:t>
      </w:r>
      <w:r>
        <w:rPr>
          <w:rStyle w:val="Hervorhebung"/>
        </w:rPr>
        <w:t>Reflexive Praxisforschung</w:t>
      </w:r>
      <w:r>
        <w:t>. Springer.</w:t>
      </w:r>
    </w:p>
    <w:p w14:paraId="6F3F5195" w14:textId="77777777" w:rsidR="00D940AC" w:rsidRDefault="00D940AC" w:rsidP="00D940AC">
      <w:pPr>
        <w:pStyle w:val="berschrift2"/>
      </w:pPr>
      <w:r>
        <w:t>5.10 Zusammenfassung und Ausblick</w:t>
      </w:r>
    </w:p>
    <w:p w14:paraId="6B29BDF5" w14:textId="77777777" w:rsidR="00D940AC" w:rsidRDefault="00D940AC" w:rsidP="00D940AC">
      <w:pPr>
        <w:pStyle w:val="berschrift3"/>
      </w:pPr>
      <w:r>
        <w:t>5.10.1 Rückblick auf die Ziele und Ergebnisse von Kapitel 5</w:t>
      </w:r>
    </w:p>
    <w:p w14:paraId="3B695185" w14:textId="77777777" w:rsidR="00D940AC" w:rsidRDefault="00D940AC" w:rsidP="00D940AC">
      <w:pPr>
        <w:pStyle w:val="StandardWeb"/>
      </w:pPr>
      <w:r>
        <w:t xml:space="preserve">Kapitel 5 hatte das Ziel, die </w:t>
      </w:r>
      <w:r>
        <w:rPr>
          <w:rStyle w:val="Fett"/>
        </w:rPr>
        <w:t>Beweisbarkeit des Funktionalen Bezugssystems radikal konstruiert (FZRK)</w:t>
      </w:r>
      <w:r>
        <w:t xml:space="preserve"> zu überprüfen – nicht im klassischen Sinne der Falsifikation oder objektiven Validierung, sondern durch die Prüfung auf </w:t>
      </w:r>
      <w:r>
        <w:rPr>
          <w:rStyle w:val="Fett"/>
        </w:rPr>
        <w:t>strukturelle Kohärenz</w:t>
      </w:r>
      <w:r>
        <w:t xml:space="preserve">, </w:t>
      </w:r>
      <w:r>
        <w:rPr>
          <w:rStyle w:val="Fett"/>
        </w:rPr>
        <w:t>funktionale Anschlussfähigkeit</w:t>
      </w:r>
      <w:r>
        <w:t xml:space="preserve"> und </w:t>
      </w:r>
      <w:r>
        <w:rPr>
          <w:rStyle w:val="Fett"/>
        </w:rPr>
        <w:t>empirische Modellrekonstruierbarkeit</w:t>
      </w:r>
      <w:r>
        <w:t>. Dieses Verständnis von Beweis steht in bewusster Abgrenzung zur korrespondenztheoretischen Logik klassischer Naturwissenschaften (vgl. Floridi, 2011 [63]; von Glasersfeld, 1995 [65]).</w:t>
      </w:r>
    </w:p>
    <w:p w14:paraId="52693C59" w14:textId="77777777" w:rsidR="00D940AC" w:rsidRDefault="00D940AC" w:rsidP="00D940AC">
      <w:pPr>
        <w:pStyle w:val="StandardWeb"/>
      </w:pPr>
      <w:r>
        <w:t xml:space="preserve">Zentrale Erkenntnis dieses Kapitels ist, dass das FZRK </w:t>
      </w:r>
      <w:r>
        <w:rPr>
          <w:rStyle w:val="Fett"/>
        </w:rPr>
        <w:t>nicht über Wahrheitskriterien</w:t>
      </w:r>
      <w:r>
        <w:t xml:space="preserve">, sondern über </w:t>
      </w:r>
      <w:r>
        <w:rPr>
          <w:rStyle w:val="Fett"/>
        </w:rPr>
        <w:t>systemimmanente Kohärenzrelationen</w:t>
      </w:r>
      <w:r>
        <w:t xml:space="preserve"> überprüfbar ist. Der Nachweis seiner Gültigkeit erfolgt über:</w:t>
      </w:r>
    </w:p>
    <w:p w14:paraId="2A3D04CA" w14:textId="77777777" w:rsidR="00D940AC" w:rsidRDefault="00D940AC" w:rsidP="00D940AC">
      <w:pPr>
        <w:pStyle w:val="StandardWeb"/>
        <w:numPr>
          <w:ilvl w:val="0"/>
          <w:numId w:val="18"/>
        </w:numPr>
      </w:pPr>
      <w:r>
        <w:t xml:space="preserve">die </w:t>
      </w:r>
      <w:r>
        <w:rPr>
          <w:rStyle w:val="Fett"/>
        </w:rPr>
        <w:t>Stabilität von Zuweisungsfunktionen</w:t>
      </w:r>
      <w:r>
        <w:t xml:space="preserve"> in Lern-, Simulations- und Diskursumgebungen (vgl. Epstein &amp; Axtell, 1996 [67]; Reinmann &amp; Meyer, 2022 [37]),</w:t>
      </w:r>
    </w:p>
    <w:p w14:paraId="01ED86CA" w14:textId="77777777" w:rsidR="00D940AC" w:rsidRDefault="00D940AC" w:rsidP="00D940AC">
      <w:pPr>
        <w:pStyle w:val="StandardWeb"/>
        <w:numPr>
          <w:ilvl w:val="0"/>
          <w:numId w:val="18"/>
        </w:numPr>
      </w:pPr>
      <w:r>
        <w:lastRenderedPageBreak/>
        <w:t xml:space="preserve">die </w:t>
      </w:r>
      <w:r>
        <w:rPr>
          <w:rStyle w:val="Fett"/>
        </w:rPr>
        <w:t>Rekonstruktion emergenter Bedeutungscluster</w:t>
      </w:r>
      <w:r>
        <w:t xml:space="preserve"> in funktional differenzierten empirischen Feldern (vgl. Newman, 2010 [68]),</w:t>
      </w:r>
    </w:p>
    <w:p w14:paraId="105898DA" w14:textId="77777777" w:rsidR="00D940AC" w:rsidRDefault="00D940AC" w:rsidP="00D940AC">
      <w:pPr>
        <w:pStyle w:val="StandardWeb"/>
        <w:numPr>
          <w:ilvl w:val="0"/>
          <w:numId w:val="18"/>
        </w:numPr>
      </w:pPr>
      <w:r>
        <w:t xml:space="preserve">sowie über die </w:t>
      </w:r>
      <w:r>
        <w:rPr>
          <w:rStyle w:val="Fett"/>
        </w:rPr>
        <w:t>modelltheoretische Produktivität von Reflexion und Selbstbezug</w:t>
      </w:r>
      <w:r>
        <w:t xml:space="preserve"> (vgl. von Foerster, 1984 [72]; Luhmann, 1990 [69]).</w:t>
      </w:r>
    </w:p>
    <w:p w14:paraId="31EC8FC8" w14:textId="77777777" w:rsidR="00D940AC" w:rsidRDefault="00D940AC" w:rsidP="00D940AC">
      <w:pPr>
        <w:pStyle w:val="StandardWeb"/>
      </w:pPr>
      <w:r>
        <w:t xml:space="preserve">Entscheidend war dabei die theoretische Neufassung des Beweisbegriffs im FZRK: </w:t>
      </w:r>
      <w:r>
        <w:rPr>
          <w:rStyle w:val="Fett"/>
        </w:rPr>
        <w:t>„Beweis“ ist keine objektive Aussage über eine externe Welt</w:t>
      </w:r>
      <w:r>
        <w:t xml:space="preserve">, sondern eine </w:t>
      </w:r>
      <w:r>
        <w:rPr>
          <w:rStyle w:val="Fett"/>
        </w:rPr>
        <w:t>strukturierte Rekonstruktion funktionaler Zusammenhänge</w:t>
      </w:r>
      <w:r>
        <w:t>, die auf beobachtbarer Anschlussfähigkeit beruht. Dies gilt auch für meta-theoretische Operationen wie Selbstbeobachtung, Regressmodellierung und systeminterne Methodenkritik (vgl. Jörissen &amp; Meyer, 2015 [64]).</w:t>
      </w:r>
    </w:p>
    <w:p w14:paraId="5B54B90E" w14:textId="77777777" w:rsidR="00D940AC" w:rsidRDefault="00D940AC" w:rsidP="00D940AC">
      <w:pPr>
        <w:pStyle w:val="StandardWeb"/>
      </w:pPr>
      <w:r>
        <w:t>Die wichtigsten methodologischen Bausteine dieses Kapitels lassen sich wie folgt zusammenfassen:</w:t>
      </w:r>
    </w:p>
    <w:p w14:paraId="5C4C4046" w14:textId="77777777" w:rsidR="00D940AC" w:rsidRDefault="00D940AC" w:rsidP="00D940AC">
      <w:pPr>
        <w:pStyle w:val="StandardWeb"/>
        <w:numPr>
          <w:ilvl w:val="0"/>
          <w:numId w:val="19"/>
        </w:numPr>
      </w:pPr>
      <w:r>
        <w:t xml:space="preserve">In Abschnitt 5.2 wurde die </w:t>
      </w:r>
      <w:r>
        <w:rPr>
          <w:rStyle w:val="Fett"/>
        </w:rPr>
        <w:t>Beobachterabhängigkeit epistemischer Systeme</w:t>
      </w:r>
      <w:r>
        <w:t xml:space="preserve"> als konstitutives Moment rekonstruiert – Erkenntnis ist nicht „abbildend“, sondern „zuweisend“ (vgl. Luhmann, 1990 [69]).</w:t>
      </w:r>
    </w:p>
    <w:p w14:paraId="744AB6BC" w14:textId="77777777" w:rsidR="00D940AC" w:rsidRDefault="00D940AC" w:rsidP="00D940AC">
      <w:pPr>
        <w:pStyle w:val="StandardWeb"/>
        <w:numPr>
          <w:ilvl w:val="0"/>
          <w:numId w:val="19"/>
        </w:numPr>
      </w:pPr>
      <w:r>
        <w:t xml:space="preserve">In 5.4 und 5.6 wurde dargelegt, wie funktionale Validierung durch </w:t>
      </w:r>
      <w:r>
        <w:rPr>
          <w:rStyle w:val="Fett"/>
        </w:rPr>
        <w:t>kontextspezifische Feldversuche, Netzwerkanalyse und Simulation</w:t>
      </w:r>
      <w:r>
        <w:t xml:space="preserve"> operationalisierbar ist (vgl. Flick, 2019 [48]; Dohn, 2018 [71]).</w:t>
      </w:r>
    </w:p>
    <w:p w14:paraId="71514D6B" w14:textId="77777777" w:rsidR="00D940AC" w:rsidRDefault="00D940AC" w:rsidP="00D940AC">
      <w:pPr>
        <w:pStyle w:val="StandardWeb"/>
        <w:numPr>
          <w:ilvl w:val="0"/>
          <w:numId w:val="19"/>
        </w:numPr>
      </w:pPr>
      <w:r>
        <w:t xml:space="preserve">In 5.9 wurde gezeigt, dass sich auch </w:t>
      </w:r>
      <w:r>
        <w:rPr>
          <w:rStyle w:val="Fett"/>
        </w:rPr>
        <w:t>der infinite Regress</w:t>
      </w:r>
      <w:r>
        <w:t xml:space="preserve">, traditionell als Problem epistemologischer Fundierung verstanden, im FZRK </w:t>
      </w:r>
      <w:r>
        <w:rPr>
          <w:rStyle w:val="Fett"/>
        </w:rPr>
        <w:t>produktiven Reflexionsstrukturen zuführen lässt</w:t>
      </w:r>
      <w:r>
        <w:t xml:space="preserve"> (vgl. Schmidhuber, 2015 [73]; Varela et al., 1991 [81]).</w:t>
      </w:r>
    </w:p>
    <w:p w14:paraId="5713FD47" w14:textId="77777777" w:rsidR="00D940AC" w:rsidRDefault="00D940AC" w:rsidP="00D940AC">
      <w:pPr>
        <w:pStyle w:val="StandardWeb"/>
      </w:pPr>
      <w:r>
        <w:t xml:space="preserve">Damit wurde deutlich: Das FZRK ist kein klassisches Theoriegebäude mit fester Ontologie – sondern eine </w:t>
      </w:r>
      <w:r>
        <w:rPr>
          <w:rStyle w:val="Fett"/>
        </w:rPr>
        <w:t>epistemisch offene Funktionsstruktur</w:t>
      </w:r>
      <w:r>
        <w:t>, die Erkenntnis als dynamischen, kontextuellen und reflexiven Prozess auffasst.</w:t>
      </w:r>
    </w:p>
    <w:p w14:paraId="34E86CED" w14:textId="77777777" w:rsidR="00D940AC" w:rsidRDefault="009D4C99" w:rsidP="00D940AC">
      <w:r>
        <w:pict w14:anchorId="6950E942">
          <v:rect id="_x0000_i1040" style="width:0;height:1.5pt" o:hralign="center" o:hrstd="t" o:hr="t" fillcolor="#a0a0a0" stroked="f"/>
        </w:pict>
      </w:r>
    </w:p>
    <w:p w14:paraId="53A79BA9" w14:textId="77777777" w:rsidR="00D940AC" w:rsidRDefault="00D940AC" w:rsidP="00D940AC">
      <w:pPr>
        <w:pStyle w:val="berschrift3"/>
      </w:pPr>
      <w:r>
        <w:t>5.10.2 Integration in das Gesamtmodell und Forschungsperspektiven</w:t>
      </w:r>
    </w:p>
    <w:p w14:paraId="600B7AE2" w14:textId="77777777" w:rsidR="00D940AC" w:rsidRDefault="00D940AC" w:rsidP="00D940AC">
      <w:pPr>
        <w:pStyle w:val="StandardWeb"/>
      </w:pPr>
      <w:r>
        <w:t xml:space="preserve">Die empirischen und theoretischen Ergebnisse aus Kapitel 5 bilden die Grundlage für eine </w:t>
      </w:r>
      <w:r>
        <w:rPr>
          <w:rStyle w:val="Fett"/>
        </w:rPr>
        <w:t>Rückkopplung an die zentrale Architektur des FZRK</w:t>
      </w:r>
      <w:r>
        <w:t xml:space="preserve">, wie sie in Kapitel 3 entworfen wurde (vgl. Kapitel 3.11 [43]). Anders als in Theorien mit fixem Referenzrahmen erfolgt diese Integration nicht additiv, sondern als </w:t>
      </w:r>
      <w:r>
        <w:rPr>
          <w:rStyle w:val="Fett"/>
        </w:rPr>
        <w:t>rekursive Einfügung empirischer Zuweisungsmuster in die Systemstruktur</w:t>
      </w:r>
      <w:r>
        <w:t>.</w:t>
      </w:r>
    </w:p>
    <w:p w14:paraId="33761DCC" w14:textId="77777777" w:rsidR="00D940AC" w:rsidRDefault="00D940AC" w:rsidP="00D940AC">
      <w:pPr>
        <w:pStyle w:val="StandardWeb"/>
      </w:pPr>
      <w:r>
        <w:t>Diese Rückbindung erfolgt auf drei Ebenen:</w:t>
      </w:r>
    </w:p>
    <w:p w14:paraId="5561F1F3" w14:textId="77777777" w:rsidR="00D940AC" w:rsidRDefault="00D940AC" w:rsidP="00D940AC">
      <w:pPr>
        <w:pStyle w:val="StandardWeb"/>
        <w:numPr>
          <w:ilvl w:val="0"/>
          <w:numId w:val="20"/>
        </w:numPr>
      </w:pPr>
      <w:r>
        <w:rPr>
          <w:rStyle w:val="Fett"/>
        </w:rPr>
        <w:t>Strukturebene:</w:t>
      </w:r>
      <w:r>
        <w:t xml:space="preserve"> Empirische Ergebnisse aus Simulationen oder Bildungsexperimenten (vgl. Reinmann, 2012 [49]) erlauben eine </w:t>
      </w:r>
      <w:r>
        <w:rPr>
          <w:rStyle w:val="Fett"/>
        </w:rPr>
        <w:t>Neukonfiguration von Funktionsrelationen</w:t>
      </w:r>
      <w:r>
        <w:t>: z. B. Anpassung der Akteur-Funktionen M(A,Ψ,x,y,z,t) oder Modulation von Meta-Feldern Ψ_n.</w:t>
      </w:r>
    </w:p>
    <w:p w14:paraId="298BE520" w14:textId="77777777" w:rsidR="00D940AC" w:rsidRDefault="00D940AC" w:rsidP="00D940AC">
      <w:pPr>
        <w:pStyle w:val="StandardWeb"/>
        <w:numPr>
          <w:ilvl w:val="0"/>
          <w:numId w:val="20"/>
        </w:numPr>
      </w:pPr>
      <w:r>
        <w:rPr>
          <w:rStyle w:val="Fett"/>
        </w:rPr>
        <w:t>Methodenebene:</w:t>
      </w:r>
      <w:r>
        <w:t xml:space="preserve"> Die eingesetzten Verfahren – Mixed Methods, agentenbasierte Modellierung, Netzwerkanalyse – werden nicht nur als Werkzeuge, sondern als </w:t>
      </w:r>
      <w:r>
        <w:rPr>
          <w:rStyle w:val="Fett"/>
        </w:rPr>
        <w:t>funktionale Subsysteme innerhalb des Modells</w:t>
      </w:r>
      <w:r>
        <w:t xml:space="preserve"> aufgefasst (vgl. Jörissen &amp; Meyer, 2015 [64]; Dohn, 2018 [71]).</w:t>
      </w:r>
    </w:p>
    <w:p w14:paraId="76E1BB0A" w14:textId="77777777" w:rsidR="00D940AC" w:rsidRDefault="00D940AC" w:rsidP="00D940AC">
      <w:pPr>
        <w:pStyle w:val="StandardWeb"/>
        <w:numPr>
          <w:ilvl w:val="0"/>
          <w:numId w:val="20"/>
        </w:numPr>
      </w:pPr>
      <w:r>
        <w:rPr>
          <w:rStyle w:val="Fett"/>
        </w:rPr>
        <w:t>Metaebene:</w:t>
      </w:r>
      <w:r>
        <w:t xml:space="preserve"> Die Validierung des FZRK bleibt prinzipiell offen, da jede empirische Rückmeldung </w:t>
      </w:r>
      <w:r>
        <w:rPr>
          <w:rStyle w:val="Fett"/>
        </w:rPr>
        <w:t>neue Modellierungsfragen</w:t>
      </w:r>
      <w:r>
        <w:t xml:space="preserve"> generiert. Das FZRK ist </w:t>
      </w:r>
      <w:r>
        <w:rPr>
          <w:rStyle w:val="Fett"/>
        </w:rPr>
        <w:t xml:space="preserve">nicht </w:t>
      </w:r>
      <w:r>
        <w:rPr>
          <w:rStyle w:val="Fett"/>
        </w:rPr>
        <w:lastRenderedPageBreak/>
        <w:t>abgeschlossen</w:t>
      </w:r>
      <w:r>
        <w:t>, sondern rekursiv erweiterbar – ein zentrales Merkmal epistemischer Offenheit (vgl. von Glasersfeld, 1995 [65]; Floridi, 2011 [63]).</w:t>
      </w:r>
    </w:p>
    <w:p w14:paraId="4CD1543C" w14:textId="77777777" w:rsidR="00D940AC" w:rsidRDefault="00D940AC" w:rsidP="00D940AC">
      <w:pPr>
        <w:pStyle w:val="StandardWeb"/>
      </w:pPr>
      <w:r>
        <w:t xml:space="preserve">Diese Integration erlaubt eine </w:t>
      </w:r>
      <w:r>
        <w:rPr>
          <w:rStyle w:val="Fett"/>
        </w:rPr>
        <w:t>Interdisziplinarisierung der Modelllogik</w:t>
      </w:r>
      <w:r>
        <w:t>: Die Strukturprinzipien des FZRK wurden bereits in Kapiteln 3–5 auf Physik (vgl. Rovelli, 2004 [4]), Didaktik (vgl. Tulodziecki et al., 2022 [51]), KI (vgl. Sutton &amp; Barto, 2018 [75]) und Systemtheorie (vgl. Luhmann, 1990 [69]) angewendet – und können künftig auch in Raumplanung, Medienanalyse oder Biowissenschaften implementiert werden (vgl. Noble, 2006 [77]).</w:t>
      </w:r>
    </w:p>
    <w:p w14:paraId="15996754" w14:textId="77777777" w:rsidR="00D940AC" w:rsidRDefault="009D4C99" w:rsidP="00D940AC">
      <w:r>
        <w:pict w14:anchorId="60118AD3">
          <v:rect id="_x0000_i1041" style="width:0;height:1.5pt" o:hralign="center" o:hrstd="t" o:hr="t" fillcolor="#a0a0a0" stroked="f"/>
        </w:pict>
      </w:r>
    </w:p>
    <w:p w14:paraId="391DB9B6" w14:textId="77777777" w:rsidR="00D940AC" w:rsidRDefault="00D940AC" w:rsidP="00D940AC">
      <w:pPr>
        <w:pStyle w:val="berschrift3"/>
      </w:pPr>
      <w:r>
        <w:t>Fazit: Von der Beweisfrage zur epistemischen Selbstorganisation</w:t>
      </w:r>
    </w:p>
    <w:p w14:paraId="446A5DCC" w14:textId="77777777" w:rsidR="00D940AC" w:rsidRDefault="00D940AC" w:rsidP="00D940AC">
      <w:pPr>
        <w:pStyle w:val="StandardWeb"/>
      </w:pPr>
      <w:r>
        <w:t xml:space="preserve">Kapitel 5 hat gezeigt, dass das FZRK </w:t>
      </w:r>
      <w:r>
        <w:rPr>
          <w:rStyle w:val="Fett"/>
        </w:rPr>
        <w:t>nicht durch externe Gültigkeit</w:t>
      </w:r>
      <w:r>
        <w:t xml:space="preserve">, sondern durch seine </w:t>
      </w:r>
      <w:r>
        <w:rPr>
          <w:rStyle w:val="Fett"/>
        </w:rPr>
        <w:t>interne Reflexionsstruktur</w:t>
      </w:r>
      <w:r>
        <w:t xml:space="preserve"> bewiesen wird. Der „Beweis“ besteht darin, dass funktionale Zuweisungen in empirischen Kontexten </w:t>
      </w:r>
      <w:r>
        <w:rPr>
          <w:rStyle w:val="Fett"/>
        </w:rPr>
        <w:t>rekonstruierbar</w:t>
      </w:r>
      <w:r>
        <w:t xml:space="preserve">, </w:t>
      </w:r>
      <w:r>
        <w:rPr>
          <w:rStyle w:val="Fett"/>
        </w:rPr>
        <w:t>anschlussfähig</w:t>
      </w:r>
      <w:r>
        <w:t xml:space="preserve"> und </w:t>
      </w:r>
      <w:r>
        <w:rPr>
          <w:rStyle w:val="Fett"/>
        </w:rPr>
        <w:t>weiterentwickelbar</w:t>
      </w:r>
      <w:r>
        <w:t xml:space="preserve"> sind – nicht durch Replikation, sondern durch Emergenz.</w:t>
      </w:r>
    </w:p>
    <w:p w14:paraId="3F9D3D6A" w14:textId="77777777" w:rsidR="00D940AC" w:rsidRDefault="00D940AC" w:rsidP="00D940AC">
      <w:pPr>
        <w:pStyle w:val="StandardWeb"/>
      </w:pPr>
      <w:r>
        <w:t>Die Beweisstruktur des FZRK besteht damit in seiner Fähigkeit:</w:t>
      </w:r>
    </w:p>
    <w:p w14:paraId="0E49F157" w14:textId="77777777" w:rsidR="00D940AC" w:rsidRDefault="00D940AC" w:rsidP="00D940AC">
      <w:pPr>
        <w:pStyle w:val="StandardWeb"/>
        <w:numPr>
          <w:ilvl w:val="0"/>
          <w:numId w:val="21"/>
        </w:numPr>
      </w:pPr>
      <w:r>
        <w:t xml:space="preserve">sich </w:t>
      </w:r>
      <w:r>
        <w:rPr>
          <w:rStyle w:val="Fett"/>
        </w:rPr>
        <w:t>in verschiedenen epistemischen Feldern funktional einzuordnen</w:t>
      </w:r>
      <w:r>
        <w:t xml:space="preserve"> (z. B. Biologie, KI, Didaktik),</w:t>
      </w:r>
    </w:p>
    <w:p w14:paraId="45BC4450" w14:textId="77777777" w:rsidR="00D940AC" w:rsidRDefault="00D940AC" w:rsidP="00D940AC">
      <w:pPr>
        <w:pStyle w:val="StandardWeb"/>
        <w:numPr>
          <w:ilvl w:val="0"/>
          <w:numId w:val="21"/>
        </w:numPr>
      </w:pPr>
      <w:r>
        <w:t xml:space="preserve">sich </w:t>
      </w:r>
      <w:r>
        <w:rPr>
          <w:rStyle w:val="Fett"/>
        </w:rPr>
        <w:t>selbst zu beobachten und zu adaptieren</w:t>
      </w:r>
      <w:r>
        <w:t>,</w:t>
      </w:r>
    </w:p>
    <w:p w14:paraId="62958342" w14:textId="77777777" w:rsidR="00D940AC" w:rsidRDefault="00D940AC" w:rsidP="00D940AC">
      <w:pPr>
        <w:pStyle w:val="StandardWeb"/>
        <w:numPr>
          <w:ilvl w:val="0"/>
          <w:numId w:val="21"/>
        </w:numPr>
      </w:pPr>
      <w:r>
        <w:t xml:space="preserve">und seine eigenen Methoden, Zuweisungen und Strukturen </w:t>
      </w:r>
      <w:r>
        <w:rPr>
          <w:rStyle w:val="Fett"/>
        </w:rPr>
        <w:t>offen zu halten</w:t>
      </w:r>
      <w:r>
        <w:t>.</w:t>
      </w:r>
    </w:p>
    <w:p w14:paraId="1CD95EC9" w14:textId="77777777" w:rsidR="00D940AC" w:rsidRDefault="00D940AC" w:rsidP="00D940AC">
      <w:pPr>
        <w:pStyle w:val="StandardWeb"/>
      </w:pPr>
      <w:r>
        <w:t>„Ein funktionales Modell, das sich nicht selbst reflexiv rekonfigurieren kann, bleibt blind für die Bedingungen seiner eigenen Geltung.“ (Jörissen &amp; Meyer, 2015 [64])</w:t>
      </w:r>
    </w:p>
    <w:p w14:paraId="5A15F665" w14:textId="77777777" w:rsidR="00D940AC" w:rsidRDefault="00D940AC" w:rsidP="00D940AC">
      <w:pPr>
        <w:pStyle w:val="StandardWeb"/>
      </w:pPr>
      <w:r>
        <w:t xml:space="preserve">Der Ausblick ist somit keine Verabschiedung vom Regress – sondern die </w:t>
      </w:r>
      <w:r>
        <w:rPr>
          <w:rStyle w:val="Fett"/>
        </w:rPr>
        <w:t>Einladung zur permanenten epistemischen Selbstverfeinerung</w:t>
      </w:r>
      <w:r>
        <w:t xml:space="preserve"> des Modells.</w:t>
      </w:r>
    </w:p>
    <w:p w14:paraId="179A756F" w14:textId="77777777" w:rsidR="00D940AC" w:rsidRDefault="009D4C99" w:rsidP="00D940AC">
      <w:r>
        <w:pict w14:anchorId="1C07B88A">
          <v:rect id="_x0000_i1042" style="width:0;height:1.5pt" o:hralign="center" o:hrstd="t" o:hr="t" fillcolor="#a0a0a0" stroked="f"/>
        </w:pict>
      </w:r>
    </w:p>
    <w:p w14:paraId="1B97D6A7" w14:textId="77777777" w:rsidR="00D940AC" w:rsidRDefault="00D940AC" w:rsidP="00D940AC">
      <w:pPr>
        <w:pStyle w:val="berschrift3"/>
      </w:pPr>
      <w:r>
        <w:t>Literaturverzeichnis zu Abschnitt 5.10 (Fortführung ab [82])</w:t>
      </w:r>
    </w:p>
    <w:p w14:paraId="2B128868" w14:textId="77777777" w:rsidR="00D940AC" w:rsidRDefault="00D940AC" w:rsidP="00D940AC">
      <w:pPr>
        <w:pStyle w:val="StandardWeb"/>
      </w:pPr>
      <w:r>
        <w:t xml:space="preserve">[82] Floridi, L. (2011). </w:t>
      </w:r>
      <w:r>
        <w:rPr>
          <w:rStyle w:val="Hervorhebung"/>
          <w:rFonts w:eastAsiaTheme="majorEastAsia"/>
        </w:rPr>
        <w:t>The Philosophy of Information</w:t>
      </w:r>
      <w:r>
        <w:t>. Oxford University Press.</w:t>
      </w:r>
      <w:r>
        <w:br/>
        <w:t xml:space="preserve">[83] von Glasersfeld, E. (1995). </w:t>
      </w:r>
      <w:r>
        <w:rPr>
          <w:rStyle w:val="Hervorhebung"/>
          <w:rFonts w:eastAsiaTheme="majorEastAsia"/>
        </w:rPr>
        <w:t>Radical Constructivism: A Way of Knowing and Learning</w:t>
      </w:r>
      <w:r>
        <w:t>. Falmer Press.</w:t>
      </w:r>
      <w:r>
        <w:br/>
        <w:t xml:space="preserve">[84] Jörissen, B., &amp; Meyer, T. (2015). </w:t>
      </w:r>
      <w:r>
        <w:rPr>
          <w:rStyle w:val="Hervorhebung"/>
          <w:rFonts w:eastAsiaTheme="majorEastAsia"/>
        </w:rPr>
        <w:t>Epistemologien des Designs – Zur Theorie didaktischer Modellierung</w:t>
      </w:r>
      <w:r>
        <w:t>. ZfE, 18(4), 733–752.</w:t>
      </w:r>
      <w:r>
        <w:br/>
        <w:t xml:space="preserve">[85] Reinmann, G., &amp; Meyer, T. (2022). </w:t>
      </w:r>
      <w:r>
        <w:rPr>
          <w:rStyle w:val="Hervorhebung"/>
          <w:rFonts w:eastAsiaTheme="majorEastAsia"/>
        </w:rPr>
        <w:t>Didaktisches Design und epistemische Reflexion</w:t>
      </w:r>
      <w:r>
        <w:t xml:space="preserve">. In: </w:t>
      </w:r>
      <w:r>
        <w:rPr>
          <w:rStyle w:val="Hervorhebung"/>
          <w:rFonts w:eastAsiaTheme="majorEastAsia"/>
        </w:rPr>
        <w:t>Reflexive Praxisforschung</w:t>
      </w:r>
      <w:r>
        <w:t>. Springer.</w:t>
      </w:r>
      <w:r>
        <w:br/>
        <w:t xml:space="preserve">[86] Luhmann, N. (1990). </w:t>
      </w:r>
      <w:r>
        <w:rPr>
          <w:rStyle w:val="Hervorhebung"/>
          <w:rFonts w:eastAsiaTheme="majorEastAsia"/>
        </w:rPr>
        <w:t>Die Wissenschaft der Gesellschaft</w:t>
      </w:r>
      <w:r>
        <w:t>. Suhrkamp.</w:t>
      </w:r>
      <w:r>
        <w:br/>
        <w:t xml:space="preserve">[87] Schmidhuber, J. (2015). </w:t>
      </w:r>
      <w:r>
        <w:rPr>
          <w:rStyle w:val="Hervorhebung"/>
          <w:rFonts w:eastAsiaTheme="majorEastAsia"/>
        </w:rPr>
        <w:t>Deep Learning in Neural Networks: An Overview</w:t>
      </w:r>
      <w:r>
        <w:t>. Neural Networks.</w:t>
      </w:r>
      <w:r>
        <w:br/>
        <w:t xml:space="preserve">[88] Flick, U. (2019). </w:t>
      </w:r>
      <w:r>
        <w:rPr>
          <w:rStyle w:val="Hervorhebung"/>
          <w:rFonts w:eastAsiaTheme="majorEastAsia"/>
        </w:rPr>
        <w:t>Qualitative Sozialforschung</w:t>
      </w:r>
      <w:r>
        <w:t>. Rowohlt.</w:t>
      </w:r>
      <w:r>
        <w:br/>
        <w:t xml:space="preserve">[89] Sutton, R. S., &amp; Barto, A. G. (2018). </w:t>
      </w:r>
      <w:r>
        <w:rPr>
          <w:rStyle w:val="Hervorhebung"/>
          <w:rFonts w:eastAsiaTheme="majorEastAsia"/>
        </w:rPr>
        <w:t>Reinforcement Learning: An Introduction</w:t>
      </w:r>
      <w:r>
        <w:t>. MIT Press.</w:t>
      </w:r>
      <w:r>
        <w:br/>
        <w:t xml:space="preserve">[90] Tulodziecki, G., Herzig, B., &amp; Blömeke, S. (2022). </w:t>
      </w:r>
      <w:r>
        <w:rPr>
          <w:rStyle w:val="Hervorhebung"/>
          <w:rFonts w:eastAsiaTheme="majorEastAsia"/>
        </w:rPr>
        <w:t>Didaktik – Grundlagen und Perspektiven</w:t>
      </w:r>
      <w:r>
        <w:t>. Klinkhardt.</w:t>
      </w:r>
      <w:r>
        <w:br/>
      </w:r>
      <w:r>
        <w:lastRenderedPageBreak/>
        <w:t xml:space="preserve">[91] Noble, D. (2006). </w:t>
      </w:r>
      <w:r>
        <w:rPr>
          <w:rStyle w:val="Hervorhebung"/>
          <w:rFonts w:eastAsiaTheme="majorEastAsia"/>
        </w:rPr>
        <w:t>The Music of Life: Biology beyond the Genome</w:t>
      </w:r>
      <w:r>
        <w:t>. Oxford University Press.</w:t>
      </w:r>
      <w:r>
        <w:br/>
        <w:t xml:space="preserve">[92] Dohn, N. B. (2018). </w:t>
      </w:r>
      <w:r>
        <w:rPr>
          <w:rStyle w:val="Hervorhebung"/>
          <w:rFonts w:eastAsiaTheme="majorEastAsia"/>
        </w:rPr>
        <w:t>Design for Learning in a Multimodal Environment</w:t>
      </w:r>
      <w:r>
        <w:t>. Routledge.</w:t>
      </w:r>
      <w:r>
        <w:br/>
        <w:t xml:space="preserve">[93] Rovelli, C. (2004). </w:t>
      </w:r>
      <w:r>
        <w:rPr>
          <w:rStyle w:val="Hervorhebung"/>
          <w:rFonts w:eastAsiaTheme="majorEastAsia"/>
        </w:rPr>
        <w:t>Quantum Gravity</w:t>
      </w:r>
      <w:r>
        <w:t>. Cambridge University Press.</w:t>
      </w:r>
    </w:p>
    <w:p w14:paraId="21C678E8" w14:textId="77777777" w:rsidR="00511440" w:rsidRDefault="00511440" w:rsidP="00511440">
      <w:pPr>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Abbildungen</w:t>
      </w:r>
    </w:p>
    <w:p w14:paraId="457F18DC" w14:textId="3540450D" w:rsidR="00106528" w:rsidRDefault="0010652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3350"/>
        <w:gridCol w:w="3236"/>
      </w:tblGrid>
      <w:tr w:rsidR="00511440" w:rsidRPr="00511440" w14:paraId="1F8823BA" w14:textId="77777777" w:rsidTr="00511440">
        <w:trPr>
          <w:tblHeader/>
          <w:tblCellSpacing w:w="15" w:type="dxa"/>
        </w:trPr>
        <w:tc>
          <w:tcPr>
            <w:tcW w:w="0" w:type="auto"/>
            <w:vAlign w:val="center"/>
            <w:hideMark/>
          </w:tcPr>
          <w:p w14:paraId="7F38C09B" w14:textId="77777777" w:rsidR="00511440" w:rsidRPr="00511440" w:rsidRDefault="00511440" w:rsidP="00511440">
            <w:pPr>
              <w:spacing w:after="0" w:line="240" w:lineRule="auto"/>
              <w:jc w:val="center"/>
              <w:rPr>
                <w:rFonts w:ascii="Times New Roman" w:eastAsia="Times New Roman" w:hAnsi="Times New Roman" w:cs="Times New Roman"/>
                <w:b/>
                <w:bCs/>
                <w:sz w:val="24"/>
                <w:szCs w:val="24"/>
                <w:lang w:eastAsia="de-DE"/>
              </w:rPr>
            </w:pPr>
            <w:r w:rsidRPr="00511440">
              <w:rPr>
                <w:rFonts w:ascii="Times New Roman" w:eastAsia="Times New Roman" w:hAnsi="Times New Roman" w:cs="Times New Roman"/>
                <w:b/>
                <w:bCs/>
                <w:sz w:val="24"/>
                <w:szCs w:val="24"/>
                <w:lang w:eastAsia="de-DE"/>
              </w:rPr>
              <w:t>Textstelle</w:t>
            </w:r>
          </w:p>
        </w:tc>
        <w:tc>
          <w:tcPr>
            <w:tcW w:w="0" w:type="auto"/>
            <w:vAlign w:val="center"/>
            <w:hideMark/>
          </w:tcPr>
          <w:p w14:paraId="3F41FB1C" w14:textId="77777777" w:rsidR="00511440" w:rsidRPr="00511440" w:rsidRDefault="00511440" w:rsidP="00511440">
            <w:pPr>
              <w:spacing w:after="0" w:line="240" w:lineRule="auto"/>
              <w:jc w:val="center"/>
              <w:rPr>
                <w:rFonts w:ascii="Times New Roman" w:eastAsia="Times New Roman" w:hAnsi="Times New Roman" w:cs="Times New Roman"/>
                <w:b/>
                <w:bCs/>
                <w:sz w:val="24"/>
                <w:szCs w:val="24"/>
                <w:lang w:eastAsia="de-DE"/>
              </w:rPr>
            </w:pPr>
            <w:r w:rsidRPr="00511440">
              <w:rPr>
                <w:rFonts w:ascii="Times New Roman" w:eastAsia="Times New Roman" w:hAnsi="Times New Roman" w:cs="Times New Roman"/>
                <w:b/>
                <w:bCs/>
                <w:sz w:val="24"/>
                <w:szCs w:val="24"/>
                <w:lang w:eastAsia="de-DE"/>
              </w:rPr>
              <w:t>Grafikbeschreibung</w:t>
            </w:r>
          </w:p>
        </w:tc>
        <w:tc>
          <w:tcPr>
            <w:tcW w:w="0" w:type="auto"/>
            <w:vAlign w:val="center"/>
            <w:hideMark/>
          </w:tcPr>
          <w:p w14:paraId="614B444D" w14:textId="77777777" w:rsidR="00511440" w:rsidRPr="00511440" w:rsidRDefault="00511440" w:rsidP="00511440">
            <w:pPr>
              <w:spacing w:after="0" w:line="240" w:lineRule="auto"/>
              <w:jc w:val="center"/>
              <w:rPr>
                <w:rFonts w:ascii="Times New Roman" w:eastAsia="Times New Roman" w:hAnsi="Times New Roman" w:cs="Times New Roman"/>
                <w:b/>
                <w:bCs/>
                <w:sz w:val="24"/>
                <w:szCs w:val="24"/>
                <w:lang w:eastAsia="de-DE"/>
              </w:rPr>
            </w:pPr>
            <w:r w:rsidRPr="00511440">
              <w:rPr>
                <w:rFonts w:ascii="Times New Roman" w:eastAsia="Times New Roman" w:hAnsi="Times New Roman" w:cs="Times New Roman"/>
                <w:b/>
                <w:bCs/>
                <w:sz w:val="24"/>
                <w:szCs w:val="24"/>
                <w:lang w:eastAsia="de-DE"/>
              </w:rPr>
              <w:t>Bemerkung/Funktion</w:t>
            </w:r>
          </w:p>
        </w:tc>
      </w:tr>
      <w:tr w:rsidR="00511440" w:rsidRPr="00511440" w14:paraId="1FEA332F" w14:textId="77777777" w:rsidTr="00511440">
        <w:trPr>
          <w:tblCellSpacing w:w="15" w:type="dxa"/>
        </w:trPr>
        <w:tc>
          <w:tcPr>
            <w:tcW w:w="0" w:type="auto"/>
            <w:vAlign w:val="center"/>
            <w:hideMark/>
          </w:tcPr>
          <w:p w14:paraId="44CF63AC"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5.1 Einleitung</w:t>
            </w:r>
          </w:p>
        </w:tc>
        <w:tc>
          <w:tcPr>
            <w:tcW w:w="0" w:type="auto"/>
            <w:vAlign w:val="center"/>
            <w:hideMark/>
          </w:tcPr>
          <w:p w14:paraId="632F93CD"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Schematische Übersicht der Forschungsfragen</w:t>
            </w:r>
          </w:p>
        </w:tc>
        <w:tc>
          <w:tcPr>
            <w:tcW w:w="0" w:type="auto"/>
            <w:vAlign w:val="center"/>
            <w:hideMark/>
          </w:tcPr>
          <w:p w14:paraId="334602E7"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Zeigt die drei Leitfragen als Knotenpunkte eines konzeptuellen Forschungsnetzwerks.</w:t>
            </w:r>
          </w:p>
        </w:tc>
      </w:tr>
      <w:tr w:rsidR="00511440" w:rsidRPr="00511440" w14:paraId="2FBBF818" w14:textId="77777777" w:rsidTr="00511440">
        <w:trPr>
          <w:tblCellSpacing w:w="15" w:type="dxa"/>
        </w:trPr>
        <w:tc>
          <w:tcPr>
            <w:tcW w:w="0" w:type="auto"/>
            <w:vAlign w:val="center"/>
            <w:hideMark/>
          </w:tcPr>
          <w:p w14:paraId="76BA4EB0"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5.2.1 Funktionaler Beweis</w:t>
            </w:r>
          </w:p>
        </w:tc>
        <w:tc>
          <w:tcPr>
            <w:tcW w:w="0" w:type="auto"/>
            <w:vAlign w:val="center"/>
            <w:hideMark/>
          </w:tcPr>
          <w:p w14:paraId="6469B41D"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Diagramm: Klassisches Korrespondenzmodell vs. funktionaler Beweisansatz</w:t>
            </w:r>
          </w:p>
        </w:tc>
        <w:tc>
          <w:tcPr>
            <w:tcW w:w="0" w:type="auto"/>
            <w:vAlign w:val="center"/>
            <w:hideMark/>
          </w:tcPr>
          <w:p w14:paraId="462FB83E"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Visualisiert den Unterschied zwischen „Objektiver Realität“ und „Relationaler Kohärenz“.</w:t>
            </w:r>
          </w:p>
        </w:tc>
      </w:tr>
      <w:tr w:rsidR="00511440" w:rsidRPr="00511440" w14:paraId="33A6CD98" w14:textId="77777777" w:rsidTr="00511440">
        <w:trPr>
          <w:tblCellSpacing w:w="15" w:type="dxa"/>
        </w:trPr>
        <w:tc>
          <w:tcPr>
            <w:tcW w:w="0" w:type="auto"/>
            <w:vAlign w:val="center"/>
            <w:hideMark/>
          </w:tcPr>
          <w:p w14:paraId="592974D4"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5.2.2 Zuweisungslogik</w:t>
            </w:r>
          </w:p>
        </w:tc>
        <w:tc>
          <w:tcPr>
            <w:tcW w:w="0" w:type="auto"/>
            <w:vAlign w:val="center"/>
            <w:hideMark/>
          </w:tcPr>
          <w:p w14:paraId="2673C721"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Funktionsgraph oder morphisches Netz zur Illustration relationaler Strukturen</w:t>
            </w:r>
          </w:p>
        </w:tc>
        <w:tc>
          <w:tcPr>
            <w:tcW w:w="0" w:type="auto"/>
            <w:vAlign w:val="center"/>
            <w:hideMark/>
          </w:tcPr>
          <w:p w14:paraId="42AAF5DC"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Zeigt, wie sich funktionale Übergänge in einem Zuweisungssystem darstellen lassen.</w:t>
            </w:r>
          </w:p>
        </w:tc>
      </w:tr>
      <w:tr w:rsidR="00511440" w:rsidRPr="00511440" w14:paraId="22D8C870" w14:textId="77777777" w:rsidTr="00511440">
        <w:trPr>
          <w:tblCellSpacing w:w="15" w:type="dxa"/>
        </w:trPr>
        <w:tc>
          <w:tcPr>
            <w:tcW w:w="0" w:type="auto"/>
            <w:vAlign w:val="center"/>
            <w:hideMark/>
          </w:tcPr>
          <w:p w14:paraId="2129FD70"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5.2.3 Beobachterabhängigkeit</w:t>
            </w:r>
          </w:p>
        </w:tc>
        <w:tc>
          <w:tcPr>
            <w:tcW w:w="0" w:type="auto"/>
            <w:vAlign w:val="center"/>
            <w:hideMark/>
          </w:tcPr>
          <w:p w14:paraId="62EC7486"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Schaubild: Beobachter als Teil des Modells (z. B. Zirkeldiagramm mit Beobachterposition)</w:t>
            </w:r>
          </w:p>
        </w:tc>
        <w:tc>
          <w:tcPr>
            <w:tcW w:w="0" w:type="auto"/>
            <w:vAlign w:val="center"/>
            <w:hideMark/>
          </w:tcPr>
          <w:p w14:paraId="243F136B"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Macht die Beobachterrolle im FZRK transparent.</w:t>
            </w:r>
          </w:p>
        </w:tc>
      </w:tr>
      <w:tr w:rsidR="00511440" w:rsidRPr="00511440" w14:paraId="7D8AE915" w14:textId="77777777" w:rsidTr="00511440">
        <w:trPr>
          <w:tblCellSpacing w:w="15" w:type="dxa"/>
        </w:trPr>
        <w:tc>
          <w:tcPr>
            <w:tcW w:w="0" w:type="auto"/>
            <w:vAlign w:val="center"/>
            <w:hideMark/>
          </w:tcPr>
          <w:p w14:paraId="718E3EFC"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5.3.4 Methodische Zugänge</w:t>
            </w:r>
          </w:p>
        </w:tc>
        <w:tc>
          <w:tcPr>
            <w:tcW w:w="0" w:type="auto"/>
            <w:vAlign w:val="center"/>
            <w:hideMark/>
          </w:tcPr>
          <w:p w14:paraId="791342A1"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Tabelle oder Flussdiagramm: Vergleich qualitativer, quantitativer und reflexiver Methoden</w:t>
            </w:r>
          </w:p>
        </w:tc>
        <w:tc>
          <w:tcPr>
            <w:tcW w:w="0" w:type="auto"/>
            <w:vAlign w:val="center"/>
            <w:hideMark/>
          </w:tcPr>
          <w:p w14:paraId="72F008B4"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Verdeutlicht das methodische Pluralitätsprinzip des FZRK.</w:t>
            </w:r>
          </w:p>
        </w:tc>
      </w:tr>
      <w:tr w:rsidR="00511440" w:rsidRPr="00511440" w14:paraId="46E17EC9" w14:textId="77777777" w:rsidTr="00511440">
        <w:trPr>
          <w:tblCellSpacing w:w="15" w:type="dxa"/>
        </w:trPr>
        <w:tc>
          <w:tcPr>
            <w:tcW w:w="0" w:type="auto"/>
            <w:vAlign w:val="center"/>
            <w:hideMark/>
          </w:tcPr>
          <w:p w14:paraId="551CC908"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5.4 Forschungsfelder</w:t>
            </w:r>
          </w:p>
        </w:tc>
        <w:tc>
          <w:tcPr>
            <w:tcW w:w="0" w:type="auto"/>
            <w:vAlign w:val="center"/>
            <w:hideMark/>
          </w:tcPr>
          <w:p w14:paraId="4C59223B"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Vernetzungsdiagramm: Disziplinübergreifende Validierungsfelder (Physik, KI, Didaktik etc.)</w:t>
            </w:r>
          </w:p>
        </w:tc>
        <w:tc>
          <w:tcPr>
            <w:tcW w:w="0" w:type="auto"/>
            <w:vAlign w:val="center"/>
            <w:hideMark/>
          </w:tcPr>
          <w:p w14:paraId="1283019C"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Zeigt die interdisziplinäre Anschlussfähigkeit des FZRK.</w:t>
            </w:r>
          </w:p>
        </w:tc>
      </w:tr>
      <w:tr w:rsidR="00511440" w:rsidRPr="00511440" w14:paraId="31011608" w14:textId="77777777" w:rsidTr="00511440">
        <w:trPr>
          <w:tblCellSpacing w:w="15" w:type="dxa"/>
        </w:trPr>
        <w:tc>
          <w:tcPr>
            <w:tcW w:w="0" w:type="auto"/>
            <w:vAlign w:val="center"/>
            <w:hideMark/>
          </w:tcPr>
          <w:p w14:paraId="53C9B8F0"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5.4.4 Validierungslogik</w:t>
            </w:r>
          </w:p>
        </w:tc>
        <w:tc>
          <w:tcPr>
            <w:tcW w:w="0" w:type="auto"/>
            <w:vAlign w:val="center"/>
            <w:hideMark/>
          </w:tcPr>
          <w:p w14:paraId="7CC8B9CF"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Flowchart: Reflexiver Validierungsprozess im FZRK (z. B. „Kohärenzprüfung statt Korrelation“)</w:t>
            </w:r>
          </w:p>
        </w:tc>
        <w:tc>
          <w:tcPr>
            <w:tcW w:w="0" w:type="auto"/>
            <w:vAlign w:val="center"/>
            <w:hideMark/>
          </w:tcPr>
          <w:p w14:paraId="3B8D263F"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Veranschaulicht das postklassische Verständnis von Validität.</w:t>
            </w:r>
          </w:p>
        </w:tc>
      </w:tr>
      <w:tr w:rsidR="00511440" w:rsidRPr="00511440" w14:paraId="08CE0B45" w14:textId="77777777" w:rsidTr="00511440">
        <w:trPr>
          <w:tblCellSpacing w:w="15" w:type="dxa"/>
        </w:trPr>
        <w:tc>
          <w:tcPr>
            <w:tcW w:w="0" w:type="auto"/>
            <w:vAlign w:val="center"/>
            <w:hideMark/>
          </w:tcPr>
          <w:p w14:paraId="11B6EDE7"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5.5 Erwartete Ergebnisse</w:t>
            </w:r>
          </w:p>
        </w:tc>
        <w:tc>
          <w:tcPr>
            <w:tcW w:w="0" w:type="auto"/>
            <w:vAlign w:val="center"/>
            <w:hideMark/>
          </w:tcPr>
          <w:p w14:paraId="31D164DA"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Übersicht: Potenzielle Ergebnisse (z. B. Emergenz, Kohärenz, Inkohärenz)</w:t>
            </w:r>
          </w:p>
        </w:tc>
        <w:tc>
          <w:tcPr>
            <w:tcW w:w="0" w:type="auto"/>
            <w:vAlign w:val="center"/>
            <w:hideMark/>
          </w:tcPr>
          <w:p w14:paraId="4916BFEF"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Klassifiziert mögliche empirische Befunde in funktionalen Modellen.</w:t>
            </w:r>
          </w:p>
        </w:tc>
      </w:tr>
    </w:tbl>
    <w:p w14:paraId="7DA5E4AD" w14:textId="63930891" w:rsidR="00511440" w:rsidRDefault="00511440"/>
    <w:p w14:paraId="3CF6F2B6" w14:textId="77777777" w:rsidR="00511440" w:rsidRDefault="00511440" w:rsidP="00511440">
      <w:pPr>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Anlagen</w:t>
      </w:r>
    </w:p>
    <w:p w14:paraId="1ABC8CDA" w14:textId="4E74496E" w:rsidR="00511440" w:rsidRDefault="0051144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3699"/>
        <w:gridCol w:w="3413"/>
      </w:tblGrid>
      <w:tr w:rsidR="00511440" w:rsidRPr="00511440" w14:paraId="6D1A199D" w14:textId="77777777" w:rsidTr="00511440">
        <w:trPr>
          <w:tblHeader/>
          <w:tblCellSpacing w:w="15" w:type="dxa"/>
        </w:trPr>
        <w:tc>
          <w:tcPr>
            <w:tcW w:w="0" w:type="auto"/>
            <w:vAlign w:val="center"/>
            <w:hideMark/>
          </w:tcPr>
          <w:p w14:paraId="12D5E9D9" w14:textId="77777777" w:rsidR="00511440" w:rsidRPr="00511440" w:rsidRDefault="00511440" w:rsidP="00511440">
            <w:pPr>
              <w:spacing w:after="0" w:line="240" w:lineRule="auto"/>
              <w:jc w:val="center"/>
              <w:rPr>
                <w:rFonts w:ascii="Times New Roman" w:eastAsia="Times New Roman" w:hAnsi="Times New Roman" w:cs="Times New Roman"/>
                <w:b/>
                <w:bCs/>
                <w:sz w:val="24"/>
                <w:szCs w:val="24"/>
                <w:lang w:eastAsia="de-DE"/>
              </w:rPr>
            </w:pPr>
            <w:r w:rsidRPr="00511440">
              <w:rPr>
                <w:rFonts w:ascii="Times New Roman" w:eastAsia="Times New Roman" w:hAnsi="Times New Roman" w:cs="Times New Roman"/>
                <w:b/>
                <w:bCs/>
                <w:sz w:val="24"/>
                <w:szCs w:val="24"/>
                <w:lang w:eastAsia="de-DE"/>
              </w:rPr>
              <w:t>Textstelle</w:t>
            </w:r>
          </w:p>
        </w:tc>
        <w:tc>
          <w:tcPr>
            <w:tcW w:w="0" w:type="auto"/>
            <w:vAlign w:val="center"/>
            <w:hideMark/>
          </w:tcPr>
          <w:p w14:paraId="3378D5F7" w14:textId="77777777" w:rsidR="00511440" w:rsidRPr="00511440" w:rsidRDefault="00511440" w:rsidP="00511440">
            <w:pPr>
              <w:spacing w:after="0" w:line="240" w:lineRule="auto"/>
              <w:jc w:val="center"/>
              <w:rPr>
                <w:rFonts w:ascii="Times New Roman" w:eastAsia="Times New Roman" w:hAnsi="Times New Roman" w:cs="Times New Roman"/>
                <w:b/>
                <w:bCs/>
                <w:sz w:val="24"/>
                <w:szCs w:val="24"/>
                <w:lang w:eastAsia="de-DE"/>
              </w:rPr>
            </w:pPr>
            <w:r w:rsidRPr="00511440">
              <w:rPr>
                <w:rFonts w:ascii="Times New Roman" w:eastAsia="Times New Roman" w:hAnsi="Times New Roman" w:cs="Times New Roman"/>
                <w:b/>
                <w:bCs/>
                <w:sz w:val="24"/>
                <w:szCs w:val="24"/>
                <w:lang w:eastAsia="de-DE"/>
              </w:rPr>
              <w:t>Anlagenbeschreibung</w:t>
            </w:r>
          </w:p>
        </w:tc>
        <w:tc>
          <w:tcPr>
            <w:tcW w:w="0" w:type="auto"/>
            <w:vAlign w:val="center"/>
            <w:hideMark/>
          </w:tcPr>
          <w:p w14:paraId="3DB53E0C" w14:textId="77777777" w:rsidR="00511440" w:rsidRPr="00511440" w:rsidRDefault="00511440" w:rsidP="00511440">
            <w:pPr>
              <w:spacing w:after="0" w:line="240" w:lineRule="auto"/>
              <w:jc w:val="center"/>
              <w:rPr>
                <w:rFonts w:ascii="Times New Roman" w:eastAsia="Times New Roman" w:hAnsi="Times New Roman" w:cs="Times New Roman"/>
                <w:b/>
                <w:bCs/>
                <w:sz w:val="24"/>
                <w:szCs w:val="24"/>
                <w:lang w:eastAsia="de-DE"/>
              </w:rPr>
            </w:pPr>
            <w:r w:rsidRPr="00511440">
              <w:rPr>
                <w:rFonts w:ascii="Times New Roman" w:eastAsia="Times New Roman" w:hAnsi="Times New Roman" w:cs="Times New Roman"/>
                <w:b/>
                <w:bCs/>
                <w:sz w:val="24"/>
                <w:szCs w:val="24"/>
                <w:lang w:eastAsia="de-DE"/>
              </w:rPr>
              <w:t>Bemerkung/Funktion</w:t>
            </w:r>
          </w:p>
        </w:tc>
      </w:tr>
      <w:tr w:rsidR="00511440" w:rsidRPr="00511440" w14:paraId="131719C2" w14:textId="77777777" w:rsidTr="00511440">
        <w:trPr>
          <w:tblCellSpacing w:w="15" w:type="dxa"/>
        </w:trPr>
        <w:tc>
          <w:tcPr>
            <w:tcW w:w="0" w:type="auto"/>
            <w:vAlign w:val="center"/>
            <w:hideMark/>
          </w:tcPr>
          <w:p w14:paraId="1D559246"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5.1 Einleitung</w:t>
            </w:r>
          </w:p>
        </w:tc>
        <w:tc>
          <w:tcPr>
            <w:tcW w:w="0" w:type="auto"/>
            <w:vAlign w:val="center"/>
            <w:hideMark/>
          </w:tcPr>
          <w:p w14:paraId="76D9532E"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Übersichtsdokument zu den Forschungsfragen und Hypothesen</w:t>
            </w:r>
          </w:p>
        </w:tc>
        <w:tc>
          <w:tcPr>
            <w:tcW w:w="0" w:type="auto"/>
            <w:vAlign w:val="center"/>
            <w:hideMark/>
          </w:tcPr>
          <w:p w14:paraId="0A58FE0E"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Kontextualisiert die Einleitung und definiert den Rahmen der Forschungsfragen.</w:t>
            </w:r>
          </w:p>
        </w:tc>
      </w:tr>
      <w:tr w:rsidR="00511440" w:rsidRPr="00511440" w14:paraId="14F6098F" w14:textId="77777777" w:rsidTr="00511440">
        <w:trPr>
          <w:tblCellSpacing w:w="15" w:type="dxa"/>
        </w:trPr>
        <w:tc>
          <w:tcPr>
            <w:tcW w:w="0" w:type="auto"/>
            <w:vAlign w:val="center"/>
            <w:hideMark/>
          </w:tcPr>
          <w:p w14:paraId="7843E391"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lastRenderedPageBreak/>
              <w:t>5.2 Beweisansatz</w:t>
            </w:r>
          </w:p>
        </w:tc>
        <w:tc>
          <w:tcPr>
            <w:tcW w:w="0" w:type="auto"/>
            <w:vAlign w:val="center"/>
            <w:hideMark/>
          </w:tcPr>
          <w:p w14:paraId="5F7E2570"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Vollständige Fassung der Zuweisungslogik und morphischen Netze</w:t>
            </w:r>
          </w:p>
        </w:tc>
        <w:tc>
          <w:tcPr>
            <w:tcW w:w="0" w:type="auto"/>
            <w:vAlign w:val="center"/>
            <w:hideMark/>
          </w:tcPr>
          <w:p w14:paraId="056F2BF5"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Zeigt formale Details des funktionalen Beweisansatzes.</w:t>
            </w:r>
          </w:p>
        </w:tc>
      </w:tr>
      <w:tr w:rsidR="00511440" w:rsidRPr="00511440" w14:paraId="3683607C" w14:textId="77777777" w:rsidTr="00511440">
        <w:trPr>
          <w:tblCellSpacing w:w="15" w:type="dxa"/>
        </w:trPr>
        <w:tc>
          <w:tcPr>
            <w:tcW w:w="0" w:type="auto"/>
            <w:vAlign w:val="center"/>
            <w:hideMark/>
          </w:tcPr>
          <w:p w14:paraId="3DD9653A"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5.3 Methodische Zugänge</w:t>
            </w:r>
          </w:p>
        </w:tc>
        <w:tc>
          <w:tcPr>
            <w:tcW w:w="0" w:type="auto"/>
            <w:vAlign w:val="center"/>
            <w:hideMark/>
          </w:tcPr>
          <w:p w14:paraId="580D3756"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Interviewleitfäden, Diskursanalyse-Protokolle</w:t>
            </w:r>
          </w:p>
        </w:tc>
        <w:tc>
          <w:tcPr>
            <w:tcW w:w="0" w:type="auto"/>
            <w:vAlign w:val="center"/>
            <w:hideMark/>
          </w:tcPr>
          <w:p w14:paraId="0E10D335"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Dokumentiert qualitative methodische Zugänge.</w:t>
            </w:r>
          </w:p>
        </w:tc>
      </w:tr>
      <w:tr w:rsidR="00511440" w:rsidRPr="00511440" w14:paraId="7DE66893" w14:textId="77777777" w:rsidTr="00511440">
        <w:trPr>
          <w:tblCellSpacing w:w="15" w:type="dxa"/>
        </w:trPr>
        <w:tc>
          <w:tcPr>
            <w:tcW w:w="0" w:type="auto"/>
            <w:vAlign w:val="center"/>
            <w:hideMark/>
          </w:tcPr>
          <w:p w14:paraId="691952C8"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5.3.4 Methodische Beispiele</w:t>
            </w:r>
          </w:p>
        </w:tc>
        <w:tc>
          <w:tcPr>
            <w:tcW w:w="0" w:type="auto"/>
            <w:vAlign w:val="center"/>
            <w:hideMark/>
          </w:tcPr>
          <w:p w14:paraId="0B89A56A"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Beispielhafte Netzwerkanalysen und Design-</w:t>
            </w:r>
            <w:proofErr w:type="spellStart"/>
            <w:r w:rsidRPr="00511440">
              <w:rPr>
                <w:rFonts w:ascii="Times New Roman" w:eastAsia="Times New Roman" w:hAnsi="Times New Roman" w:cs="Times New Roman"/>
                <w:sz w:val="24"/>
                <w:szCs w:val="24"/>
                <w:lang w:eastAsia="de-DE"/>
              </w:rPr>
              <w:t>Based</w:t>
            </w:r>
            <w:proofErr w:type="spellEnd"/>
            <w:r w:rsidRPr="00511440">
              <w:rPr>
                <w:rFonts w:ascii="Times New Roman" w:eastAsia="Times New Roman" w:hAnsi="Times New Roman" w:cs="Times New Roman"/>
                <w:sz w:val="24"/>
                <w:szCs w:val="24"/>
                <w:lang w:eastAsia="de-DE"/>
              </w:rPr>
              <w:t>-Research-Planungen</w:t>
            </w:r>
          </w:p>
        </w:tc>
        <w:tc>
          <w:tcPr>
            <w:tcW w:w="0" w:type="auto"/>
            <w:vAlign w:val="center"/>
            <w:hideMark/>
          </w:tcPr>
          <w:p w14:paraId="3A9B966B"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Gibt praktische Beispiele zur methodischen Umsetzung.</w:t>
            </w:r>
          </w:p>
        </w:tc>
      </w:tr>
      <w:tr w:rsidR="00511440" w:rsidRPr="00511440" w14:paraId="42513CEB" w14:textId="77777777" w:rsidTr="00511440">
        <w:trPr>
          <w:tblCellSpacing w:w="15" w:type="dxa"/>
        </w:trPr>
        <w:tc>
          <w:tcPr>
            <w:tcW w:w="0" w:type="auto"/>
            <w:vAlign w:val="center"/>
            <w:hideMark/>
          </w:tcPr>
          <w:p w14:paraId="0B46CA37"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5.4 Forschungsfelder</w:t>
            </w:r>
          </w:p>
        </w:tc>
        <w:tc>
          <w:tcPr>
            <w:tcW w:w="0" w:type="auto"/>
            <w:vAlign w:val="center"/>
            <w:hideMark/>
          </w:tcPr>
          <w:p w14:paraId="35C8485E"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Detaillierte Beschreibungen der Validierungsräume (z. B. Physik, KI, Didaktik, Systemtheorie)</w:t>
            </w:r>
          </w:p>
        </w:tc>
        <w:tc>
          <w:tcPr>
            <w:tcW w:w="0" w:type="auto"/>
            <w:vAlign w:val="center"/>
            <w:hideMark/>
          </w:tcPr>
          <w:p w14:paraId="5F8D1450"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Liefert einen Überblick über die Anwendungs- und Validierungsfelder.</w:t>
            </w:r>
          </w:p>
        </w:tc>
      </w:tr>
      <w:tr w:rsidR="00511440" w:rsidRPr="00511440" w14:paraId="1FFC27F7" w14:textId="77777777" w:rsidTr="00511440">
        <w:trPr>
          <w:tblCellSpacing w:w="15" w:type="dxa"/>
        </w:trPr>
        <w:tc>
          <w:tcPr>
            <w:tcW w:w="0" w:type="auto"/>
            <w:vAlign w:val="center"/>
            <w:hideMark/>
          </w:tcPr>
          <w:p w14:paraId="419AE6E0"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5.5 Erwartete Ergebnisse</w:t>
            </w:r>
          </w:p>
        </w:tc>
        <w:tc>
          <w:tcPr>
            <w:tcW w:w="0" w:type="auto"/>
            <w:vAlign w:val="center"/>
            <w:hideMark/>
          </w:tcPr>
          <w:p w14:paraId="6E98019A"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Tabellen mit Beispielergebnissen von Feldversuchen und Simulationen</w:t>
            </w:r>
          </w:p>
        </w:tc>
        <w:tc>
          <w:tcPr>
            <w:tcW w:w="0" w:type="auto"/>
            <w:vAlign w:val="center"/>
            <w:hideMark/>
          </w:tcPr>
          <w:p w14:paraId="5882762B" w14:textId="77777777" w:rsidR="00511440" w:rsidRPr="00511440" w:rsidRDefault="00511440" w:rsidP="00511440">
            <w:pPr>
              <w:spacing w:after="0" w:line="240" w:lineRule="auto"/>
              <w:rPr>
                <w:rFonts w:ascii="Times New Roman" w:eastAsia="Times New Roman" w:hAnsi="Times New Roman" w:cs="Times New Roman"/>
                <w:sz w:val="24"/>
                <w:szCs w:val="24"/>
                <w:lang w:eastAsia="de-DE"/>
              </w:rPr>
            </w:pPr>
            <w:r w:rsidRPr="00511440">
              <w:rPr>
                <w:rFonts w:ascii="Times New Roman" w:eastAsia="Times New Roman" w:hAnsi="Times New Roman" w:cs="Times New Roman"/>
                <w:sz w:val="24"/>
                <w:szCs w:val="24"/>
                <w:lang w:eastAsia="de-DE"/>
              </w:rPr>
              <w:t>Präsentiert potenzielle empirische Resultate zur Validierung.</w:t>
            </w:r>
          </w:p>
        </w:tc>
      </w:tr>
    </w:tbl>
    <w:p w14:paraId="5E31F0AD" w14:textId="77777777" w:rsidR="00511440" w:rsidRDefault="00511440"/>
    <w:sectPr w:rsidR="0051144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00CCC"/>
    <w:multiLevelType w:val="multilevel"/>
    <w:tmpl w:val="25E8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825F6"/>
    <w:multiLevelType w:val="multilevel"/>
    <w:tmpl w:val="F08C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363E6"/>
    <w:multiLevelType w:val="multilevel"/>
    <w:tmpl w:val="88FE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E1986"/>
    <w:multiLevelType w:val="multilevel"/>
    <w:tmpl w:val="D1A8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9173A"/>
    <w:multiLevelType w:val="multilevel"/>
    <w:tmpl w:val="6ADE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A69CD"/>
    <w:multiLevelType w:val="multilevel"/>
    <w:tmpl w:val="433E1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ED5E1E"/>
    <w:multiLevelType w:val="multilevel"/>
    <w:tmpl w:val="D644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E39CA"/>
    <w:multiLevelType w:val="multilevel"/>
    <w:tmpl w:val="7260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858B8"/>
    <w:multiLevelType w:val="multilevel"/>
    <w:tmpl w:val="BD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22BD8"/>
    <w:multiLevelType w:val="multilevel"/>
    <w:tmpl w:val="8A12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26B1A"/>
    <w:multiLevelType w:val="multilevel"/>
    <w:tmpl w:val="316E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41371"/>
    <w:multiLevelType w:val="multilevel"/>
    <w:tmpl w:val="17C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307F9"/>
    <w:multiLevelType w:val="multilevel"/>
    <w:tmpl w:val="1E98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50C9D"/>
    <w:multiLevelType w:val="multilevel"/>
    <w:tmpl w:val="129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E41C0"/>
    <w:multiLevelType w:val="multilevel"/>
    <w:tmpl w:val="64E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37396"/>
    <w:multiLevelType w:val="multilevel"/>
    <w:tmpl w:val="1EA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B070F"/>
    <w:multiLevelType w:val="multilevel"/>
    <w:tmpl w:val="F4F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E1B3C"/>
    <w:multiLevelType w:val="multilevel"/>
    <w:tmpl w:val="FE6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64801"/>
    <w:multiLevelType w:val="multilevel"/>
    <w:tmpl w:val="175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E73B4"/>
    <w:multiLevelType w:val="multilevel"/>
    <w:tmpl w:val="296C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F7868"/>
    <w:multiLevelType w:val="multilevel"/>
    <w:tmpl w:val="FC8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0"/>
  </w:num>
  <w:num w:numId="4">
    <w:abstractNumId w:val="11"/>
  </w:num>
  <w:num w:numId="5">
    <w:abstractNumId w:val="14"/>
  </w:num>
  <w:num w:numId="6">
    <w:abstractNumId w:val="10"/>
  </w:num>
  <w:num w:numId="7">
    <w:abstractNumId w:val="7"/>
  </w:num>
  <w:num w:numId="8">
    <w:abstractNumId w:val="4"/>
  </w:num>
  <w:num w:numId="9">
    <w:abstractNumId w:val="2"/>
  </w:num>
  <w:num w:numId="10">
    <w:abstractNumId w:val="17"/>
  </w:num>
  <w:num w:numId="11">
    <w:abstractNumId w:val="19"/>
  </w:num>
  <w:num w:numId="12">
    <w:abstractNumId w:val="12"/>
  </w:num>
  <w:num w:numId="13">
    <w:abstractNumId w:val="1"/>
  </w:num>
  <w:num w:numId="14">
    <w:abstractNumId w:val="6"/>
  </w:num>
  <w:num w:numId="15">
    <w:abstractNumId w:val="13"/>
  </w:num>
  <w:num w:numId="16">
    <w:abstractNumId w:val="15"/>
  </w:num>
  <w:num w:numId="17">
    <w:abstractNumId w:val="18"/>
  </w:num>
  <w:num w:numId="18">
    <w:abstractNumId w:val="16"/>
  </w:num>
  <w:num w:numId="19">
    <w:abstractNumId w:val="8"/>
  </w:num>
  <w:num w:numId="20">
    <w:abstractNumId w:val="5"/>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07"/>
    <w:rsid w:val="00106528"/>
    <w:rsid w:val="004636DB"/>
    <w:rsid w:val="00511440"/>
    <w:rsid w:val="0081775A"/>
    <w:rsid w:val="008871CF"/>
    <w:rsid w:val="008D3CDE"/>
    <w:rsid w:val="009D4C99"/>
    <w:rsid w:val="00AF5F96"/>
    <w:rsid w:val="00AF6107"/>
    <w:rsid w:val="00D940AC"/>
    <w:rsid w:val="00E6450A"/>
    <w:rsid w:val="00F934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059A9"/>
  <w15:chartTrackingRefBased/>
  <w15:docId w15:val="{3AAF990F-2DC5-420A-934B-C819126DC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8177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AF6107"/>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AF6107"/>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AF6107"/>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AF6107"/>
    <w:rPr>
      <w:rFonts w:ascii="Times New Roman" w:eastAsia="Times New Roman" w:hAnsi="Times New Roman" w:cs="Times New Roman"/>
      <w:b/>
      <w:bCs/>
      <w:sz w:val="24"/>
      <w:szCs w:val="24"/>
      <w:lang w:eastAsia="de-DE"/>
    </w:rPr>
  </w:style>
  <w:style w:type="character" w:styleId="Fett">
    <w:name w:val="Strong"/>
    <w:basedOn w:val="Absatz-Standardschriftart"/>
    <w:uiPriority w:val="22"/>
    <w:qFormat/>
    <w:rsid w:val="00AF6107"/>
    <w:rPr>
      <w:b/>
      <w:bCs/>
    </w:rPr>
  </w:style>
  <w:style w:type="paragraph" w:styleId="StandardWeb">
    <w:name w:val="Normal (Web)"/>
    <w:basedOn w:val="Standard"/>
    <w:uiPriority w:val="99"/>
    <w:semiHidden/>
    <w:unhideWhenUsed/>
    <w:rsid w:val="00AF610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AF6107"/>
    <w:rPr>
      <w:i/>
      <w:iCs/>
    </w:rPr>
  </w:style>
  <w:style w:type="character" w:customStyle="1" w:styleId="berschrift2Zchn">
    <w:name w:val="Überschrift 2 Zchn"/>
    <w:basedOn w:val="Absatz-Standardschriftart"/>
    <w:link w:val="berschrift2"/>
    <w:uiPriority w:val="9"/>
    <w:semiHidden/>
    <w:rsid w:val="0081775A"/>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Absatz-Standardschriftart"/>
    <w:rsid w:val="00D940AC"/>
  </w:style>
  <w:style w:type="character" w:customStyle="1" w:styleId="mord">
    <w:name w:val="mord"/>
    <w:basedOn w:val="Absatz-Standardschriftart"/>
    <w:rsid w:val="00D940AC"/>
  </w:style>
  <w:style w:type="character" w:customStyle="1" w:styleId="vlist-s">
    <w:name w:val="vlist-s"/>
    <w:basedOn w:val="Absatz-Standardschriftart"/>
    <w:rsid w:val="00D940AC"/>
  </w:style>
  <w:style w:type="character" w:customStyle="1" w:styleId="mopen">
    <w:name w:val="mopen"/>
    <w:basedOn w:val="Absatz-Standardschriftart"/>
    <w:rsid w:val="00D940AC"/>
  </w:style>
  <w:style w:type="character" w:customStyle="1" w:styleId="mclose">
    <w:name w:val="mclose"/>
    <w:basedOn w:val="Absatz-Standardschriftart"/>
    <w:rsid w:val="00D940AC"/>
  </w:style>
  <w:style w:type="character" w:customStyle="1" w:styleId="mrel">
    <w:name w:val="mrel"/>
    <w:basedOn w:val="Absatz-Standardschriftart"/>
    <w:rsid w:val="00D940AC"/>
  </w:style>
  <w:style w:type="character" w:customStyle="1" w:styleId="mbin">
    <w:name w:val="mbin"/>
    <w:basedOn w:val="Absatz-Standardschriftart"/>
    <w:rsid w:val="00D940AC"/>
  </w:style>
  <w:style w:type="character" w:customStyle="1" w:styleId="mpunct">
    <w:name w:val="mpunct"/>
    <w:basedOn w:val="Absatz-Standardschriftart"/>
    <w:rsid w:val="00D940AC"/>
  </w:style>
  <w:style w:type="character" w:customStyle="1" w:styleId="minner">
    <w:name w:val="minner"/>
    <w:basedOn w:val="Absatz-Standardschriftart"/>
    <w:rsid w:val="00D940AC"/>
  </w:style>
  <w:style w:type="character" w:customStyle="1" w:styleId="katex-error">
    <w:name w:val="katex-error"/>
    <w:basedOn w:val="Absatz-Standardschriftart"/>
    <w:rsid w:val="00D9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710846">
      <w:bodyDiv w:val="1"/>
      <w:marLeft w:val="0"/>
      <w:marRight w:val="0"/>
      <w:marTop w:val="0"/>
      <w:marBottom w:val="0"/>
      <w:divBdr>
        <w:top w:val="none" w:sz="0" w:space="0" w:color="auto"/>
        <w:left w:val="none" w:sz="0" w:space="0" w:color="auto"/>
        <w:bottom w:val="none" w:sz="0" w:space="0" w:color="auto"/>
        <w:right w:val="none" w:sz="0" w:space="0" w:color="auto"/>
      </w:divBdr>
    </w:div>
    <w:div w:id="211037643">
      <w:bodyDiv w:val="1"/>
      <w:marLeft w:val="0"/>
      <w:marRight w:val="0"/>
      <w:marTop w:val="0"/>
      <w:marBottom w:val="0"/>
      <w:divBdr>
        <w:top w:val="none" w:sz="0" w:space="0" w:color="auto"/>
        <w:left w:val="none" w:sz="0" w:space="0" w:color="auto"/>
        <w:bottom w:val="none" w:sz="0" w:space="0" w:color="auto"/>
        <w:right w:val="none" w:sz="0" w:space="0" w:color="auto"/>
      </w:divBdr>
      <w:divsChild>
        <w:div w:id="85348330">
          <w:blockQuote w:val="1"/>
          <w:marLeft w:val="720"/>
          <w:marRight w:val="720"/>
          <w:marTop w:val="100"/>
          <w:marBottom w:val="100"/>
          <w:divBdr>
            <w:top w:val="none" w:sz="0" w:space="0" w:color="auto"/>
            <w:left w:val="none" w:sz="0" w:space="0" w:color="auto"/>
            <w:bottom w:val="none" w:sz="0" w:space="0" w:color="auto"/>
            <w:right w:val="none" w:sz="0" w:space="0" w:color="auto"/>
          </w:divBdr>
        </w:div>
        <w:div w:id="627010274">
          <w:marLeft w:val="0"/>
          <w:marRight w:val="0"/>
          <w:marTop w:val="0"/>
          <w:marBottom w:val="0"/>
          <w:divBdr>
            <w:top w:val="none" w:sz="0" w:space="0" w:color="auto"/>
            <w:left w:val="none" w:sz="0" w:space="0" w:color="auto"/>
            <w:bottom w:val="none" w:sz="0" w:space="0" w:color="auto"/>
            <w:right w:val="none" w:sz="0" w:space="0" w:color="auto"/>
          </w:divBdr>
          <w:divsChild>
            <w:div w:id="96588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29998">
      <w:bodyDiv w:val="1"/>
      <w:marLeft w:val="0"/>
      <w:marRight w:val="0"/>
      <w:marTop w:val="0"/>
      <w:marBottom w:val="0"/>
      <w:divBdr>
        <w:top w:val="none" w:sz="0" w:space="0" w:color="auto"/>
        <w:left w:val="none" w:sz="0" w:space="0" w:color="auto"/>
        <w:bottom w:val="none" w:sz="0" w:space="0" w:color="auto"/>
        <w:right w:val="none" w:sz="0" w:space="0" w:color="auto"/>
      </w:divBdr>
    </w:div>
    <w:div w:id="318465470">
      <w:bodyDiv w:val="1"/>
      <w:marLeft w:val="0"/>
      <w:marRight w:val="0"/>
      <w:marTop w:val="0"/>
      <w:marBottom w:val="0"/>
      <w:divBdr>
        <w:top w:val="none" w:sz="0" w:space="0" w:color="auto"/>
        <w:left w:val="none" w:sz="0" w:space="0" w:color="auto"/>
        <w:bottom w:val="none" w:sz="0" w:space="0" w:color="auto"/>
        <w:right w:val="none" w:sz="0" w:space="0" w:color="auto"/>
      </w:divBdr>
      <w:divsChild>
        <w:div w:id="163128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405497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200682">
      <w:bodyDiv w:val="1"/>
      <w:marLeft w:val="0"/>
      <w:marRight w:val="0"/>
      <w:marTop w:val="0"/>
      <w:marBottom w:val="0"/>
      <w:divBdr>
        <w:top w:val="none" w:sz="0" w:space="0" w:color="auto"/>
        <w:left w:val="none" w:sz="0" w:space="0" w:color="auto"/>
        <w:bottom w:val="none" w:sz="0" w:space="0" w:color="auto"/>
        <w:right w:val="none" w:sz="0" w:space="0" w:color="auto"/>
      </w:divBdr>
      <w:divsChild>
        <w:div w:id="258221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102061">
      <w:bodyDiv w:val="1"/>
      <w:marLeft w:val="0"/>
      <w:marRight w:val="0"/>
      <w:marTop w:val="0"/>
      <w:marBottom w:val="0"/>
      <w:divBdr>
        <w:top w:val="none" w:sz="0" w:space="0" w:color="auto"/>
        <w:left w:val="none" w:sz="0" w:space="0" w:color="auto"/>
        <w:bottom w:val="none" w:sz="0" w:space="0" w:color="auto"/>
        <w:right w:val="none" w:sz="0" w:space="0" w:color="auto"/>
      </w:divBdr>
    </w:div>
    <w:div w:id="673798099">
      <w:bodyDiv w:val="1"/>
      <w:marLeft w:val="0"/>
      <w:marRight w:val="0"/>
      <w:marTop w:val="0"/>
      <w:marBottom w:val="0"/>
      <w:divBdr>
        <w:top w:val="none" w:sz="0" w:space="0" w:color="auto"/>
        <w:left w:val="none" w:sz="0" w:space="0" w:color="auto"/>
        <w:bottom w:val="none" w:sz="0" w:space="0" w:color="auto"/>
        <w:right w:val="none" w:sz="0" w:space="0" w:color="auto"/>
      </w:divBdr>
    </w:div>
    <w:div w:id="722172942">
      <w:bodyDiv w:val="1"/>
      <w:marLeft w:val="0"/>
      <w:marRight w:val="0"/>
      <w:marTop w:val="0"/>
      <w:marBottom w:val="0"/>
      <w:divBdr>
        <w:top w:val="none" w:sz="0" w:space="0" w:color="auto"/>
        <w:left w:val="none" w:sz="0" w:space="0" w:color="auto"/>
        <w:bottom w:val="none" w:sz="0" w:space="0" w:color="auto"/>
        <w:right w:val="none" w:sz="0" w:space="0" w:color="auto"/>
      </w:divBdr>
      <w:divsChild>
        <w:div w:id="1019508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724760">
      <w:bodyDiv w:val="1"/>
      <w:marLeft w:val="0"/>
      <w:marRight w:val="0"/>
      <w:marTop w:val="0"/>
      <w:marBottom w:val="0"/>
      <w:divBdr>
        <w:top w:val="none" w:sz="0" w:space="0" w:color="auto"/>
        <w:left w:val="none" w:sz="0" w:space="0" w:color="auto"/>
        <w:bottom w:val="none" w:sz="0" w:space="0" w:color="auto"/>
        <w:right w:val="none" w:sz="0" w:space="0" w:color="auto"/>
      </w:divBdr>
      <w:divsChild>
        <w:div w:id="12683890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078385">
          <w:blockQuote w:val="1"/>
          <w:marLeft w:val="720"/>
          <w:marRight w:val="720"/>
          <w:marTop w:val="100"/>
          <w:marBottom w:val="100"/>
          <w:divBdr>
            <w:top w:val="none" w:sz="0" w:space="0" w:color="auto"/>
            <w:left w:val="none" w:sz="0" w:space="0" w:color="auto"/>
            <w:bottom w:val="none" w:sz="0" w:space="0" w:color="auto"/>
            <w:right w:val="none" w:sz="0" w:space="0" w:color="auto"/>
          </w:divBdr>
        </w:div>
        <w:div w:id="91181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939341">
      <w:bodyDiv w:val="1"/>
      <w:marLeft w:val="0"/>
      <w:marRight w:val="0"/>
      <w:marTop w:val="0"/>
      <w:marBottom w:val="0"/>
      <w:divBdr>
        <w:top w:val="none" w:sz="0" w:space="0" w:color="auto"/>
        <w:left w:val="none" w:sz="0" w:space="0" w:color="auto"/>
        <w:bottom w:val="none" w:sz="0" w:space="0" w:color="auto"/>
        <w:right w:val="none" w:sz="0" w:space="0" w:color="auto"/>
      </w:divBdr>
      <w:divsChild>
        <w:div w:id="1474374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050656">
      <w:bodyDiv w:val="1"/>
      <w:marLeft w:val="0"/>
      <w:marRight w:val="0"/>
      <w:marTop w:val="0"/>
      <w:marBottom w:val="0"/>
      <w:divBdr>
        <w:top w:val="none" w:sz="0" w:space="0" w:color="auto"/>
        <w:left w:val="none" w:sz="0" w:space="0" w:color="auto"/>
        <w:bottom w:val="none" w:sz="0" w:space="0" w:color="auto"/>
        <w:right w:val="none" w:sz="0" w:space="0" w:color="auto"/>
      </w:divBdr>
      <w:divsChild>
        <w:div w:id="167017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15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5562802">
      <w:bodyDiv w:val="1"/>
      <w:marLeft w:val="0"/>
      <w:marRight w:val="0"/>
      <w:marTop w:val="0"/>
      <w:marBottom w:val="0"/>
      <w:divBdr>
        <w:top w:val="none" w:sz="0" w:space="0" w:color="auto"/>
        <w:left w:val="none" w:sz="0" w:space="0" w:color="auto"/>
        <w:bottom w:val="none" w:sz="0" w:space="0" w:color="auto"/>
        <w:right w:val="none" w:sz="0" w:space="0" w:color="auto"/>
      </w:divBdr>
      <w:divsChild>
        <w:div w:id="39476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918420">
          <w:blockQuote w:val="1"/>
          <w:marLeft w:val="720"/>
          <w:marRight w:val="720"/>
          <w:marTop w:val="100"/>
          <w:marBottom w:val="100"/>
          <w:divBdr>
            <w:top w:val="none" w:sz="0" w:space="0" w:color="auto"/>
            <w:left w:val="none" w:sz="0" w:space="0" w:color="auto"/>
            <w:bottom w:val="none" w:sz="0" w:space="0" w:color="auto"/>
            <w:right w:val="none" w:sz="0" w:space="0" w:color="auto"/>
          </w:divBdr>
        </w:div>
        <w:div w:id="312026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8451</Words>
  <Characters>53244</Characters>
  <Application>Microsoft Office Word</Application>
  <DocSecurity>0</DocSecurity>
  <Lines>443</Lines>
  <Paragraphs>123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2025-06-01T03:36:00Z</dcterms:created>
  <dcterms:modified xsi:type="dcterms:W3CDTF">2025-06-03T04:20:00Z</dcterms:modified>
</cp:coreProperties>
</file>