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DA125" w14:textId="77777777" w:rsidR="0020027F" w:rsidRDefault="0020027F" w:rsidP="0020027F">
      <w:pPr>
        <w:pStyle w:val="StandardWeb"/>
      </w:pPr>
      <w:r>
        <w:rPr>
          <w:rStyle w:val="Fett"/>
        </w:rPr>
        <w:t>Anhang A – Übersicht: Symbolgebrauch und Funktionsnotation</w:t>
      </w:r>
    </w:p>
    <w:p w14:paraId="1CBBDD56" w14:textId="77777777" w:rsidR="0020027F" w:rsidRDefault="0020027F" w:rsidP="0020027F">
      <w:pPr>
        <w:pStyle w:val="StandardWeb"/>
      </w:pPr>
      <w:r>
        <w:t>Diese Übersicht dient als zusammenfassende Referenz aller in diesem Dokument verwendeten Symbole, Funktionen, Mengen und Abbildungen. Sie stellt ein wichtiges Instrument zur Sicherstellung mathematischer Klarheit und Konsistenz dar und unterstützt das Verständnis zentraler Konzepte des funktionalen Bezugssystems.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1932"/>
        <w:gridCol w:w="5137"/>
      </w:tblGrid>
      <w:tr w:rsidR="0020027F" w14:paraId="254E5CFF" w14:textId="77777777" w:rsidTr="0020027F">
        <w:trPr>
          <w:tblHeader/>
          <w:tblCellSpacing w:w="15" w:type="dxa"/>
        </w:trPr>
        <w:tc>
          <w:tcPr>
            <w:tcW w:w="0" w:type="auto"/>
            <w:vAlign w:val="center"/>
            <w:hideMark/>
          </w:tcPr>
          <w:p w14:paraId="6E26FE5C" w14:textId="77777777" w:rsidR="0020027F" w:rsidRDefault="0020027F">
            <w:pPr>
              <w:jc w:val="center"/>
              <w:rPr>
                <w:b/>
                <w:bCs/>
              </w:rPr>
            </w:pPr>
            <w:r>
              <w:rPr>
                <w:rStyle w:val="Fett"/>
              </w:rPr>
              <w:t>Symbol / Ausdruck</w:t>
            </w:r>
          </w:p>
        </w:tc>
        <w:tc>
          <w:tcPr>
            <w:tcW w:w="0" w:type="auto"/>
            <w:vAlign w:val="center"/>
            <w:hideMark/>
          </w:tcPr>
          <w:p w14:paraId="68F9129F" w14:textId="77777777" w:rsidR="0020027F" w:rsidRDefault="0020027F">
            <w:pPr>
              <w:jc w:val="center"/>
              <w:rPr>
                <w:b/>
                <w:bCs/>
              </w:rPr>
            </w:pPr>
            <w:r>
              <w:rPr>
                <w:rStyle w:val="Fett"/>
              </w:rPr>
              <w:t>Bedeutung</w:t>
            </w:r>
          </w:p>
        </w:tc>
        <w:tc>
          <w:tcPr>
            <w:tcW w:w="0" w:type="auto"/>
            <w:vAlign w:val="center"/>
            <w:hideMark/>
          </w:tcPr>
          <w:p w14:paraId="364C39B3" w14:textId="77777777" w:rsidR="0020027F" w:rsidRDefault="0020027F">
            <w:pPr>
              <w:jc w:val="center"/>
              <w:rPr>
                <w:b/>
                <w:bCs/>
              </w:rPr>
            </w:pPr>
            <w:r>
              <w:rPr>
                <w:rStyle w:val="Fett"/>
              </w:rPr>
              <w:t>Kommentar / Kontext</w:t>
            </w:r>
          </w:p>
        </w:tc>
      </w:tr>
      <w:tr w:rsidR="0020027F" w14:paraId="6A9BD7F4" w14:textId="77777777" w:rsidTr="0020027F">
        <w:trPr>
          <w:tblCellSpacing w:w="15" w:type="dxa"/>
        </w:trPr>
        <w:tc>
          <w:tcPr>
            <w:tcW w:w="0" w:type="auto"/>
            <w:vAlign w:val="center"/>
            <w:hideMark/>
          </w:tcPr>
          <w:p w14:paraId="4A527BBA" w14:textId="77777777" w:rsidR="0020027F" w:rsidRDefault="0020027F">
            <w:r>
              <w:rPr>
                <w:rFonts w:ascii="Cambria Math" w:hAnsi="Cambria Math" w:cs="Cambria Math"/>
              </w:rPr>
              <w:t>∅</w:t>
            </w:r>
          </w:p>
        </w:tc>
        <w:tc>
          <w:tcPr>
            <w:tcW w:w="0" w:type="auto"/>
            <w:vAlign w:val="center"/>
            <w:hideMark/>
          </w:tcPr>
          <w:p w14:paraId="59616749" w14:textId="77777777" w:rsidR="0020027F" w:rsidRDefault="0020027F">
            <w:r>
              <w:t>Leere Menge</w:t>
            </w:r>
          </w:p>
        </w:tc>
        <w:tc>
          <w:tcPr>
            <w:tcW w:w="0" w:type="auto"/>
            <w:vAlign w:val="center"/>
            <w:hideMark/>
          </w:tcPr>
          <w:p w14:paraId="08C437C3" w14:textId="77777777" w:rsidR="0020027F" w:rsidRDefault="0020027F">
            <w:r>
              <w:t>Ausgangspunkt der Konstruktion; kein Element, rein formal</w:t>
            </w:r>
          </w:p>
        </w:tc>
      </w:tr>
      <w:tr w:rsidR="0020027F" w14:paraId="3F81482F" w14:textId="77777777" w:rsidTr="0020027F">
        <w:trPr>
          <w:tblCellSpacing w:w="15" w:type="dxa"/>
        </w:trPr>
        <w:tc>
          <w:tcPr>
            <w:tcW w:w="0" w:type="auto"/>
            <w:vAlign w:val="center"/>
            <w:hideMark/>
          </w:tcPr>
          <w:p w14:paraId="77B89A9B" w14:textId="77777777" w:rsidR="0020027F" w:rsidRDefault="0020027F">
            <w:r>
              <w:t>M</w:t>
            </w:r>
          </w:p>
        </w:tc>
        <w:tc>
          <w:tcPr>
            <w:tcW w:w="0" w:type="auto"/>
            <w:vAlign w:val="center"/>
            <w:hideMark/>
          </w:tcPr>
          <w:p w14:paraId="00102CE4" w14:textId="77777777" w:rsidR="0020027F" w:rsidRDefault="0020027F">
            <w:r>
              <w:t>Grundmenge von Bezugspunkten</w:t>
            </w:r>
          </w:p>
        </w:tc>
        <w:tc>
          <w:tcPr>
            <w:tcW w:w="0" w:type="auto"/>
            <w:vAlign w:val="center"/>
            <w:hideMark/>
          </w:tcPr>
          <w:p w14:paraId="0796CE9E" w14:textId="77777777" w:rsidR="0020027F" w:rsidRDefault="0020027F">
            <w:r>
              <w:t>Enthält initiale Entitäten wie den Initialpunkt I</w:t>
            </w:r>
          </w:p>
        </w:tc>
      </w:tr>
      <w:tr w:rsidR="0020027F" w14:paraId="1A8B104C" w14:textId="77777777" w:rsidTr="0020027F">
        <w:trPr>
          <w:tblCellSpacing w:w="15" w:type="dxa"/>
        </w:trPr>
        <w:tc>
          <w:tcPr>
            <w:tcW w:w="0" w:type="auto"/>
            <w:vAlign w:val="center"/>
            <w:hideMark/>
          </w:tcPr>
          <w:p w14:paraId="5DBB10D4" w14:textId="77777777" w:rsidR="0020027F" w:rsidRDefault="0020027F">
            <w:r>
              <w:t>MU</w:t>
            </w:r>
          </w:p>
        </w:tc>
        <w:tc>
          <w:tcPr>
            <w:tcW w:w="0" w:type="auto"/>
            <w:vAlign w:val="center"/>
            <w:hideMark/>
          </w:tcPr>
          <w:p w14:paraId="6C816FE7" w14:textId="77777777" w:rsidR="0020027F" w:rsidRDefault="0020027F">
            <w:r>
              <w:t>Bezugspunktfeld</w:t>
            </w:r>
          </w:p>
        </w:tc>
        <w:tc>
          <w:tcPr>
            <w:tcW w:w="0" w:type="auto"/>
            <w:vAlign w:val="center"/>
            <w:hideMark/>
          </w:tcPr>
          <w:p w14:paraId="3CAED76C" w14:textId="77777777" w:rsidR="0020027F" w:rsidRDefault="0020027F">
            <w:r>
              <w:t>Dynamisch sich entwickelnde Menge funktionaler Bezugspunkte</w:t>
            </w:r>
          </w:p>
        </w:tc>
      </w:tr>
      <w:tr w:rsidR="0020027F" w14:paraId="45724DCB" w14:textId="77777777" w:rsidTr="0020027F">
        <w:trPr>
          <w:tblCellSpacing w:w="15" w:type="dxa"/>
        </w:trPr>
        <w:tc>
          <w:tcPr>
            <w:tcW w:w="0" w:type="auto"/>
            <w:vAlign w:val="center"/>
            <w:hideMark/>
          </w:tcPr>
          <w:p w14:paraId="63FCE0B7" w14:textId="77777777" w:rsidR="0020027F" w:rsidRDefault="0020027F">
            <w:r>
              <w:t>I</w:t>
            </w:r>
          </w:p>
        </w:tc>
        <w:tc>
          <w:tcPr>
            <w:tcW w:w="0" w:type="auto"/>
            <w:vAlign w:val="center"/>
            <w:hideMark/>
          </w:tcPr>
          <w:p w14:paraId="7745B3A7" w14:textId="77777777" w:rsidR="0020027F" w:rsidRDefault="0020027F">
            <w:r>
              <w:t>Initialpunkt</w:t>
            </w:r>
          </w:p>
        </w:tc>
        <w:tc>
          <w:tcPr>
            <w:tcW w:w="0" w:type="auto"/>
            <w:vAlign w:val="center"/>
            <w:hideMark/>
          </w:tcPr>
          <w:p w14:paraId="480A1271" w14:textId="77777777" w:rsidR="0020027F" w:rsidRDefault="0020027F">
            <w:r>
              <w:t>Erste unterscheidbare Entität im System; strukturlos</w:t>
            </w:r>
          </w:p>
        </w:tc>
      </w:tr>
      <w:tr w:rsidR="0020027F" w14:paraId="3DCA81BF" w14:textId="77777777" w:rsidTr="0020027F">
        <w:trPr>
          <w:tblCellSpacing w:w="15" w:type="dxa"/>
        </w:trPr>
        <w:tc>
          <w:tcPr>
            <w:tcW w:w="0" w:type="auto"/>
            <w:vAlign w:val="center"/>
            <w:hideMark/>
          </w:tcPr>
          <w:p w14:paraId="4D1F4F4B" w14:textId="77777777" w:rsidR="0020027F" w:rsidRDefault="0020027F">
            <w:r>
              <w:t>x(U), y(U), z(U)</w:t>
            </w:r>
          </w:p>
        </w:tc>
        <w:tc>
          <w:tcPr>
            <w:tcW w:w="0" w:type="auto"/>
            <w:vAlign w:val="center"/>
            <w:hideMark/>
          </w:tcPr>
          <w:p w14:paraId="4531D553" w14:textId="77777777" w:rsidR="0020027F" w:rsidRDefault="0020027F">
            <w:r>
              <w:t>Raumfunktionen</w:t>
            </w:r>
          </w:p>
        </w:tc>
        <w:tc>
          <w:tcPr>
            <w:tcW w:w="0" w:type="auto"/>
            <w:vAlign w:val="center"/>
            <w:hideMark/>
          </w:tcPr>
          <w:p w14:paraId="23D1AC44" w14:textId="77777777" w:rsidR="0020027F" w:rsidRDefault="0020027F">
            <w:r>
              <w:t>Weisen einem Bezugspunkt U Koordinatenwerte zu</w:t>
            </w:r>
          </w:p>
        </w:tc>
      </w:tr>
      <w:tr w:rsidR="0020027F" w14:paraId="05783B91" w14:textId="77777777" w:rsidTr="0020027F">
        <w:trPr>
          <w:tblCellSpacing w:w="15" w:type="dxa"/>
        </w:trPr>
        <w:tc>
          <w:tcPr>
            <w:tcW w:w="0" w:type="auto"/>
            <w:vAlign w:val="center"/>
            <w:hideMark/>
          </w:tcPr>
          <w:p w14:paraId="1CE05C72" w14:textId="77777777" w:rsidR="0020027F" w:rsidRDefault="0020027F">
            <w:proofErr w:type="gramStart"/>
            <w:r>
              <w:t>h(</w:t>
            </w:r>
            <w:proofErr w:type="gramEnd"/>
            <w:r>
              <w:t>x, y, z)</w:t>
            </w:r>
          </w:p>
        </w:tc>
        <w:tc>
          <w:tcPr>
            <w:tcW w:w="0" w:type="auto"/>
            <w:vAlign w:val="center"/>
            <w:hideMark/>
          </w:tcPr>
          <w:p w14:paraId="66475602" w14:textId="77777777" w:rsidR="0020027F" w:rsidRDefault="0020027F">
            <w:proofErr w:type="spellStart"/>
            <w:r>
              <w:t>Brane</w:t>
            </w:r>
            <w:proofErr w:type="spellEnd"/>
            <w:r>
              <w:t>-Funktion</w:t>
            </w:r>
          </w:p>
        </w:tc>
        <w:tc>
          <w:tcPr>
            <w:tcW w:w="0" w:type="auto"/>
            <w:vAlign w:val="center"/>
            <w:hideMark/>
          </w:tcPr>
          <w:p w14:paraId="59BB6756" w14:textId="77777777" w:rsidR="0020027F" w:rsidRDefault="0020027F">
            <w:r>
              <w:t>Funktionale Strukturierung des Raumes; beschreibt z. B. Energieverteilungen</w:t>
            </w:r>
          </w:p>
        </w:tc>
      </w:tr>
      <w:tr w:rsidR="0020027F" w14:paraId="300B16A7" w14:textId="77777777" w:rsidTr="0020027F">
        <w:trPr>
          <w:tblCellSpacing w:w="15" w:type="dxa"/>
        </w:trPr>
        <w:tc>
          <w:tcPr>
            <w:tcW w:w="0" w:type="auto"/>
            <w:vAlign w:val="center"/>
            <w:hideMark/>
          </w:tcPr>
          <w:p w14:paraId="7091DDAC" w14:textId="77777777" w:rsidR="0020027F" w:rsidRDefault="0020027F">
            <w:proofErr w:type="gramStart"/>
            <w:r>
              <w:t>f :</w:t>
            </w:r>
            <w:proofErr w:type="gramEnd"/>
            <w:r>
              <w:t xml:space="preserve"> M → ℝ</w:t>
            </w:r>
          </w:p>
        </w:tc>
        <w:tc>
          <w:tcPr>
            <w:tcW w:w="0" w:type="auto"/>
            <w:vAlign w:val="center"/>
            <w:hideMark/>
          </w:tcPr>
          <w:p w14:paraId="26F211F0" w14:textId="77777777" w:rsidR="0020027F" w:rsidRDefault="0020027F">
            <w:r>
              <w:t>Allgemeine Funktion zur Zuordnung reeller Werte</w:t>
            </w:r>
          </w:p>
        </w:tc>
        <w:tc>
          <w:tcPr>
            <w:tcW w:w="0" w:type="auto"/>
            <w:vAlign w:val="center"/>
            <w:hideMark/>
          </w:tcPr>
          <w:p w14:paraId="2FA6E0CE" w14:textId="77777777" w:rsidR="0020027F" w:rsidRDefault="0020027F">
            <w:r>
              <w:t>Bspw. für Raumfunktionen oder Feldzuweisungen</w:t>
            </w:r>
          </w:p>
        </w:tc>
      </w:tr>
      <w:tr w:rsidR="0020027F" w14:paraId="417A57F9" w14:textId="77777777" w:rsidTr="0020027F">
        <w:trPr>
          <w:tblCellSpacing w:w="15" w:type="dxa"/>
        </w:trPr>
        <w:tc>
          <w:tcPr>
            <w:tcW w:w="0" w:type="auto"/>
            <w:vAlign w:val="center"/>
            <w:hideMark/>
          </w:tcPr>
          <w:p w14:paraId="3470DA03" w14:textId="77777777" w:rsidR="0020027F" w:rsidRDefault="0020027F">
            <w:proofErr w:type="gramStart"/>
            <w:r>
              <w:t>Ψ(</w:t>
            </w:r>
            <w:proofErr w:type="gramEnd"/>
            <w:r>
              <w:t>x, y, z, t)</w:t>
            </w:r>
          </w:p>
        </w:tc>
        <w:tc>
          <w:tcPr>
            <w:tcW w:w="0" w:type="auto"/>
            <w:vAlign w:val="center"/>
            <w:hideMark/>
          </w:tcPr>
          <w:p w14:paraId="68687AA8" w14:textId="77777777" w:rsidR="0020027F" w:rsidRDefault="0020027F">
            <w:r>
              <w:t>Feldfunktion</w:t>
            </w:r>
          </w:p>
        </w:tc>
        <w:tc>
          <w:tcPr>
            <w:tcW w:w="0" w:type="auto"/>
            <w:vAlign w:val="center"/>
            <w:hideMark/>
          </w:tcPr>
          <w:p w14:paraId="0B366982" w14:textId="77777777" w:rsidR="0020027F" w:rsidRDefault="0020027F">
            <w:r>
              <w:t>Zuweisung von physikalischen Werten (z. B. Felder) zu Raum-Zeit-Punkten</w:t>
            </w:r>
          </w:p>
        </w:tc>
      </w:tr>
      <w:tr w:rsidR="0020027F" w14:paraId="773004AE" w14:textId="77777777" w:rsidTr="0020027F">
        <w:trPr>
          <w:tblCellSpacing w:w="15" w:type="dxa"/>
        </w:trPr>
        <w:tc>
          <w:tcPr>
            <w:tcW w:w="0" w:type="auto"/>
            <w:vAlign w:val="center"/>
            <w:hideMark/>
          </w:tcPr>
          <w:p w14:paraId="0D8DCAB2" w14:textId="77777777" w:rsidR="0020027F" w:rsidRDefault="0020027F">
            <w:proofErr w:type="gramStart"/>
            <w:r>
              <w:t>A(</w:t>
            </w:r>
            <w:proofErr w:type="gramEnd"/>
            <w:r>
              <w:t>Ψ, x, y, z, t)</w:t>
            </w:r>
          </w:p>
        </w:tc>
        <w:tc>
          <w:tcPr>
            <w:tcW w:w="0" w:type="auto"/>
            <w:vAlign w:val="center"/>
            <w:hideMark/>
          </w:tcPr>
          <w:p w14:paraId="13A5BCF9" w14:textId="77777777" w:rsidR="0020027F" w:rsidRDefault="0020027F">
            <w:r>
              <w:t>Akteur-Funktion</w:t>
            </w:r>
          </w:p>
        </w:tc>
        <w:tc>
          <w:tcPr>
            <w:tcW w:w="0" w:type="auto"/>
            <w:vAlign w:val="center"/>
            <w:hideMark/>
          </w:tcPr>
          <w:p w14:paraId="584F59AC" w14:textId="77777777" w:rsidR="0020027F" w:rsidRDefault="0020027F">
            <w:r>
              <w:t>Modell intentionaler Handlung; Zuordnung einer Handlung zu einem Feldzustand</w:t>
            </w:r>
          </w:p>
        </w:tc>
      </w:tr>
      <w:tr w:rsidR="0020027F" w14:paraId="1322DCFF" w14:textId="77777777" w:rsidTr="0020027F">
        <w:trPr>
          <w:tblCellSpacing w:w="15" w:type="dxa"/>
        </w:trPr>
        <w:tc>
          <w:tcPr>
            <w:tcW w:w="0" w:type="auto"/>
            <w:vAlign w:val="center"/>
            <w:hideMark/>
          </w:tcPr>
          <w:p w14:paraId="08308851" w14:textId="77777777" w:rsidR="0020027F" w:rsidRDefault="0020027F">
            <w:r>
              <w:t>g&lt;</w:t>
            </w:r>
            <w:proofErr w:type="spellStart"/>
            <w:r>
              <w:t>sub</w:t>
            </w:r>
            <w:proofErr w:type="spellEnd"/>
            <w:r>
              <w:t>&gt;</w:t>
            </w:r>
            <w:proofErr w:type="spellStart"/>
            <w:r>
              <w:t>μν</w:t>
            </w:r>
            <w:proofErr w:type="spellEnd"/>
            <w:r>
              <w:t>&lt;/</w:t>
            </w:r>
            <w:proofErr w:type="spellStart"/>
            <w:r>
              <w:t>sub</w:t>
            </w:r>
            <w:proofErr w:type="spellEnd"/>
            <w:proofErr w:type="gramStart"/>
            <w:r>
              <w:t>&gt;(</w:t>
            </w:r>
            <w:proofErr w:type="gramEnd"/>
            <w:r>
              <w:t>x, y, z)</w:t>
            </w:r>
          </w:p>
        </w:tc>
        <w:tc>
          <w:tcPr>
            <w:tcW w:w="0" w:type="auto"/>
            <w:vAlign w:val="center"/>
            <w:hideMark/>
          </w:tcPr>
          <w:p w14:paraId="48EA3DB4" w14:textId="77777777" w:rsidR="0020027F" w:rsidRDefault="0020027F">
            <w:proofErr w:type="spellStart"/>
            <w:r>
              <w:t>Metriktensor</w:t>
            </w:r>
            <w:proofErr w:type="spellEnd"/>
          </w:p>
        </w:tc>
        <w:tc>
          <w:tcPr>
            <w:tcW w:w="0" w:type="auto"/>
            <w:vAlign w:val="center"/>
            <w:hideMark/>
          </w:tcPr>
          <w:p w14:paraId="5D4DF7A8" w14:textId="77777777" w:rsidR="0020027F" w:rsidRDefault="0020027F">
            <w:r>
              <w:t xml:space="preserve">Funktional aus </w:t>
            </w:r>
            <w:proofErr w:type="gramStart"/>
            <w:r>
              <w:t>h(</w:t>
            </w:r>
            <w:proofErr w:type="gramEnd"/>
            <w:r>
              <w:t>x, y, z) abgeleitet; beschreibt lokale Geometrie</w:t>
            </w:r>
          </w:p>
        </w:tc>
      </w:tr>
      <w:tr w:rsidR="0020027F" w14:paraId="2E85DA7C" w14:textId="77777777" w:rsidTr="0020027F">
        <w:trPr>
          <w:tblCellSpacing w:w="15" w:type="dxa"/>
        </w:trPr>
        <w:tc>
          <w:tcPr>
            <w:tcW w:w="0" w:type="auto"/>
            <w:vAlign w:val="center"/>
            <w:hideMark/>
          </w:tcPr>
          <w:p w14:paraId="3B84EADE" w14:textId="77777777" w:rsidR="0020027F" w:rsidRDefault="0020027F">
            <w:r>
              <w:t>ds²</w:t>
            </w:r>
          </w:p>
        </w:tc>
        <w:tc>
          <w:tcPr>
            <w:tcW w:w="0" w:type="auto"/>
            <w:vAlign w:val="center"/>
            <w:hideMark/>
          </w:tcPr>
          <w:p w14:paraId="75332461" w14:textId="77777777" w:rsidR="0020027F" w:rsidRDefault="0020027F">
            <w:r>
              <w:t>Linienelement</w:t>
            </w:r>
          </w:p>
        </w:tc>
        <w:tc>
          <w:tcPr>
            <w:tcW w:w="0" w:type="auto"/>
            <w:vAlign w:val="center"/>
            <w:hideMark/>
          </w:tcPr>
          <w:p w14:paraId="4607A65B" w14:textId="77777777" w:rsidR="0020027F" w:rsidRDefault="0020027F">
            <w:r>
              <w:t xml:space="preserve">Abstandsmaß im Raum; z. B. </w:t>
            </w:r>
            <w:r>
              <w:rPr>
                <w:rStyle w:val="katex-mathml"/>
              </w:rPr>
              <w:t>ds2=−h(</w:t>
            </w:r>
            <w:proofErr w:type="spellStart"/>
            <w:proofErr w:type="gramStart"/>
            <w:r>
              <w:rPr>
                <w:rStyle w:val="katex-mathml"/>
              </w:rPr>
              <w:t>x,y</w:t>
            </w:r>
            <w:proofErr w:type="gramEnd"/>
            <w:r>
              <w:rPr>
                <w:rStyle w:val="katex-mathml"/>
              </w:rPr>
              <w:t>,z</w:t>
            </w:r>
            <w:proofErr w:type="spellEnd"/>
            <w:r>
              <w:rPr>
                <w:rStyle w:val="katex-mathml"/>
              </w:rPr>
              <w:t>) dt2+1h(</w:t>
            </w:r>
            <w:proofErr w:type="spellStart"/>
            <w:r>
              <w:rPr>
                <w:rStyle w:val="katex-mathml"/>
              </w:rPr>
              <w:t>x,y,z</w:t>
            </w:r>
            <w:proofErr w:type="spellEnd"/>
            <w:r>
              <w:rPr>
                <w:rStyle w:val="katex-mathml"/>
              </w:rPr>
              <w:t>)(dx2+dy2)ds^2 = -h(x, y, z)\,dt^2 + \</w:t>
            </w:r>
            <w:proofErr w:type="spellStart"/>
            <w:r>
              <w:rPr>
                <w:rStyle w:val="katex-mathml"/>
              </w:rPr>
              <w:t>frac</w:t>
            </w:r>
            <w:proofErr w:type="spellEnd"/>
            <w:r>
              <w:rPr>
                <w:rStyle w:val="katex-mathml"/>
              </w:rPr>
              <w:t>{1}{h(x, y, z)}(dx^2 + dy^2)</w:t>
            </w:r>
            <w:r>
              <w:rPr>
                <w:rStyle w:val="mord"/>
              </w:rPr>
              <w:t>ds2</w:t>
            </w:r>
            <w:r>
              <w:rPr>
                <w:rStyle w:val="mre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ord"/>
              </w:rPr>
              <w:t>dt2</w:t>
            </w:r>
            <w:r>
              <w:rPr>
                <w:rStyle w:val="mbin"/>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close"/>
              </w:rPr>
              <w:t>)</w:t>
            </w:r>
          </w:p>
        </w:tc>
      </w:tr>
      <w:tr w:rsidR="0020027F" w14:paraId="32A07B39" w14:textId="77777777" w:rsidTr="0020027F">
        <w:trPr>
          <w:tblCellSpacing w:w="15" w:type="dxa"/>
        </w:trPr>
        <w:tc>
          <w:tcPr>
            <w:tcW w:w="0" w:type="auto"/>
            <w:vAlign w:val="center"/>
            <w:hideMark/>
          </w:tcPr>
          <w:p w14:paraId="601B9053" w14:textId="77777777" w:rsidR="0020027F" w:rsidRDefault="0020027F">
            <w:r>
              <w:t>τ</w:t>
            </w:r>
          </w:p>
        </w:tc>
        <w:tc>
          <w:tcPr>
            <w:tcW w:w="0" w:type="auto"/>
            <w:vAlign w:val="center"/>
            <w:hideMark/>
          </w:tcPr>
          <w:p w14:paraId="1C7CB2B8" w14:textId="77777777" w:rsidR="0020027F" w:rsidRDefault="0020027F">
            <w:r>
              <w:t>Eigenzeit</w:t>
            </w:r>
          </w:p>
        </w:tc>
        <w:tc>
          <w:tcPr>
            <w:tcW w:w="0" w:type="auto"/>
            <w:vAlign w:val="center"/>
            <w:hideMark/>
          </w:tcPr>
          <w:p w14:paraId="76E10C44" w14:textId="77777777" w:rsidR="0020027F" w:rsidRDefault="0020027F">
            <w:r>
              <w:t>Zeitmaß entlang einer Weltlinie unter Berücksichtigung der lokalen Metrik</w:t>
            </w:r>
          </w:p>
        </w:tc>
      </w:tr>
      <w:tr w:rsidR="0020027F" w14:paraId="461E7539" w14:textId="77777777" w:rsidTr="0020027F">
        <w:trPr>
          <w:tblCellSpacing w:w="15" w:type="dxa"/>
        </w:trPr>
        <w:tc>
          <w:tcPr>
            <w:tcW w:w="0" w:type="auto"/>
            <w:vAlign w:val="center"/>
            <w:hideMark/>
          </w:tcPr>
          <w:p w14:paraId="51A4108C" w14:textId="77777777" w:rsidR="0020027F" w:rsidRDefault="0020027F">
            <w:proofErr w:type="gramStart"/>
            <w:r>
              <w:t>L(</w:t>
            </w:r>
            <w:proofErr w:type="gramEnd"/>
            <w:r>
              <w:t>x, ẋ, t)</w:t>
            </w:r>
          </w:p>
        </w:tc>
        <w:tc>
          <w:tcPr>
            <w:tcW w:w="0" w:type="auto"/>
            <w:vAlign w:val="center"/>
            <w:hideMark/>
          </w:tcPr>
          <w:p w14:paraId="1E1BB8B5" w14:textId="77777777" w:rsidR="0020027F" w:rsidRDefault="0020027F">
            <w:r>
              <w:t>Lagrange-Funktion</w:t>
            </w:r>
          </w:p>
        </w:tc>
        <w:tc>
          <w:tcPr>
            <w:tcW w:w="0" w:type="auto"/>
            <w:vAlign w:val="center"/>
            <w:hideMark/>
          </w:tcPr>
          <w:p w14:paraId="2889B62C" w14:textId="77777777" w:rsidR="0020027F" w:rsidRDefault="0020027F">
            <w:r>
              <w:t>Formulierung von Dynamik über Energieunterschiede</w:t>
            </w:r>
          </w:p>
        </w:tc>
      </w:tr>
      <w:tr w:rsidR="0020027F" w14:paraId="25FAF70B" w14:textId="77777777" w:rsidTr="0020027F">
        <w:trPr>
          <w:tblCellSpacing w:w="15" w:type="dxa"/>
        </w:trPr>
        <w:tc>
          <w:tcPr>
            <w:tcW w:w="0" w:type="auto"/>
            <w:vAlign w:val="center"/>
            <w:hideMark/>
          </w:tcPr>
          <w:p w14:paraId="1983F13D" w14:textId="77777777" w:rsidR="0020027F" w:rsidRDefault="0020027F">
            <w:proofErr w:type="gramStart"/>
            <w:r>
              <w:t>H(</w:t>
            </w:r>
            <w:proofErr w:type="gramEnd"/>
            <w:r>
              <w:t>x, p)</w:t>
            </w:r>
          </w:p>
        </w:tc>
        <w:tc>
          <w:tcPr>
            <w:tcW w:w="0" w:type="auto"/>
            <w:vAlign w:val="center"/>
            <w:hideMark/>
          </w:tcPr>
          <w:p w14:paraId="75CA695A" w14:textId="77777777" w:rsidR="0020027F" w:rsidRDefault="0020027F">
            <w:r>
              <w:t>Hamilton-Funktion</w:t>
            </w:r>
          </w:p>
        </w:tc>
        <w:tc>
          <w:tcPr>
            <w:tcW w:w="0" w:type="auto"/>
            <w:vAlign w:val="center"/>
            <w:hideMark/>
          </w:tcPr>
          <w:p w14:paraId="7138AABD" w14:textId="77777777" w:rsidR="0020027F" w:rsidRDefault="0020027F">
            <w:r>
              <w:t>Energiebeschreibung im Phasenraum</w:t>
            </w:r>
          </w:p>
        </w:tc>
      </w:tr>
    </w:tbl>
    <w:p w14:paraId="3CC01966"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27F"/>
    <w:rsid w:val="00106528"/>
    <w:rsid w:val="0020027F"/>
    <w:rsid w:val="008871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4C7E1"/>
  <w15:chartTrackingRefBased/>
  <w15:docId w15:val="{F5E87CA5-5A0B-434F-84B3-70DB2EB8B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0027F"/>
    <w:pPr>
      <w:spacing w:after="0" w:line="240" w:lineRule="auto"/>
    </w:pPr>
    <w:rPr>
      <w:rFonts w:ascii="Times New Roman" w:eastAsia="Times New Roman" w:hAnsi="Times New Roman" w:cs="Times New Roman"/>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20027F"/>
    <w:pPr>
      <w:spacing w:before="100" w:beforeAutospacing="1" w:after="100" w:afterAutospacing="1"/>
    </w:pPr>
  </w:style>
  <w:style w:type="character" w:styleId="Fett">
    <w:name w:val="Strong"/>
    <w:basedOn w:val="Absatz-Standardschriftart"/>
    <w:uiPriority w:val="22"/>
    <w:qFormat/>
    <w:rsid w:val="0020027F"/>
    <w:rPr>
      <w:b/>
      <w:bCs/>
    </w:rPr>
  </w:style>
  <w:style w:type="character" w:customStyle="1" w:styleId="katex-mathml">
    <w:name w:val="katex-mathml"/>
    <w:basedOn w:val="Absatz-Standardschriftart"/>
    <w:rsid w:val="0020027F"/>
  </w:style>
  <w:style w:type="character" w:customStyle="1" w:styleId="mord">
    <w:name w:val="mord"/>
    <w:basedOn w:val="Absatz-Standardschriftart"/>
    <w:rsid w:val="0020027F"/>
  </w:style>
  <w:style w:type="character" w:customStyle="1" w:styleId="mrel">
    <w:name w:val="mrel"/>
    <w:basedOn w:val="Absatz-Standardschriftart"/>
    <w:rsid w:val="0020027F"/>
  </w:style>
  <w:style w:type="character" w:customStyle="1" w:styleId="mopen">
    <w:name w:val="mopen"/>
    <w:basedOn w:val="Absatz-Standardschriftart"/>
    <w:rsid w:val="0020027F"/>
  </w:style>
  <w:style w:type="character" w:customStyle="1" w:styleId="mpunct">
    <w:name w:val="mpunct"/>
    <w:basedOn w:val="Absatz-Standardschriftart"/>
    <w:rsid w:val="0020027F"/>
  </w:style>
  <w:style w:type="character" w:customStyle="1" w:styleId="mclose">
    <w:name w:val="mclose"/>
    <w:basedOn w:val="Absatz-Standardschriftart"/>
    <w:rsid w:val="0020027F"/>
  </w:style>
  <w:style w:type="character" w:customStyle="1" w:styleId="mbin">
    <w:name w:val="mbin"/>
    <w:basedOn w:val="Absatz-Standardschriftart"/>
    <w:rsid w:val="0020027F"/>
  </w:style>
  <w:style w:type="character" w:customStyle="1" w:styleId="vlist-s">
    <w:name w:val="vlist-s"/>
    <w:basedOn w:val="Absatz-Standardschriftart"/>
    <w:rsid w:val="002002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910794">
      <w:bodyDiv w:val="1"/>
      <w:marLeft w:val="0"/>
      <w:marRight w:val="0"/>
      <w:marTop w:val="0"/>
      <w:marBottom w:val="0"/>
      <w:divBdr>
        <w:top w:val="none" w:sz="0" w:space="0" w:color="auto"/>
        <w:left w:val="none" w:sz="0" w:space="0" w:color="auto"/>
        <w:bottom w:val="none" w:sz="0" w:space="0" w:color="auto"/>
        <w:right w:val="none" w:sz="0" w:space="0" w:color="auto"/>
      </w:divBdr>
      <w:divsChild>
        <w:div w:id="1150905469">
          <w:marLeft w:val="0"/>
          <w:marRight w:val="0"/>
          <w:marTop w:val="0"/>
          <w:marBottom w:val="0"/>
          <w:divBdr>
            <w:top w:val="none" w:sz="0" w:space="0" w:color="auto"/>
            <w:left w:val="none" w:sz="0" w:space="0" w:color="auto"/>
            <w:bottom w:val="none" w:sz="0" w:space="0" w:color="auto"/>
            <w:right w:val="none" w:sz="0" w:space="0" w:color="auto"/>
          </w:divBdr>
          <w:divsChild>
            <w:div w:id="1133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1500</Characters>
  <Application>Microsoft Office Word</Application>
  <DocSecurity>0</DocSecurity>
  <Lines>12</Lines>
  <Paragraphs>3</Paragraphs>
  <ScaleCrop>false</ScaleCrop>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2025-05-31T19:32:00Z</dcterms:created>
  <dcterms:modified xsi:type="dcterms:W3CDTF">2025-05-31T19:33:00Z</dcterms:modified>
</cp:coreProperties>
</file>