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B223C" w14:textId="77777777" w:rsidR="008426A1" w:rsidRDefault="008426A1" w:rsidP="008426A1">
      <w:pPr>
        <w:pStyle w:val="StandardWeb"/>
      </w:pPr>
      <w:r>
        <w:rPr>
          <w:rStyle w:val="Fett"/>
        </w:rPr>
        <w:t xml:space="preserve">Anhang G – Beispiele für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-Funktionen in verschiedenen Anwendungen</w:t>
      </w:r>
    </w:p>
    <w:p w14:paraId="6BDD1802" w14:textId="77777777" w:rsidR="008426A1" w:rsidRDefault="008426A1" w:rsidP="008426A1">
      <w:pPr>
        <w:pStyle w:val="StandardWeb"/>
      </w:pPr>
      <w:r>
        <w:t xml:space="preserve">Zur Veranschaulichung der funktionalen Raumstruktur zeigt dieser Anhang typische Beispiele für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-Funktionen</w:t>
      </w:r>
      <w:r>
        <w:t xml:space="preserve">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>, wie sie im funktionalen Bezugssystem auftreten. Jede dieser Funktionen strukturiert den Raum auf unterschiedliche Weise und bildet die Grundlage für emergente metrische und dynamische Eigenschaften.</w:t>
      </w:r>
    </w:p>
    <w:p w14:paraId="1BEEF81F" w14:textId="77777777" w:rsidR="008426A1" w:rsidRDefault="008426A1" w:rsidP="008426A1">
      <w:r>
        <w:pict w14:anchorId="5A2851D3">
          <v:rect id="_x0000_i1025" style="width:0;height:1.5pt" o:hralign="center" o:hrstd="t" o:hr="t" fillcolor="#a0a0a0" stroked="f"/>
        </w:pict>
      </w:r>
    </w:p>
    <w:p w14:paraId="39B171CA" w14:textId="77777777" w:rsidR="008426A1" w:rsidRDefault="008426A1" w:rsidP="008426A1">
      <w:pPr>
        <w:pStyle w:val="berschrift3"/>
      </w:pPr>
      <w:r>
        <w:rPr>
          <w:rStyle w:val="Fett"/>
          <w:b/>
          <w:bCs/>
        </w:rPr>
        <w:t>1. Konstante Funktion</w:t>
      </w:r>
    </w:p>
    <w:p w14:paraId="67671285" w14:textId="77777777" w:rsidR="008426A1" w:rsidRDefault="008426A1" w:rsidP="008426A1">
      <w:pPr>
        <w:pStyle w:val="StandardWeb"/>
      </w:pPr>
      <w:r>
        <w:rPr>
          <w:rStyle w:val="Fett"/>
        </w:rPr>
        <w:t>Form</w:t>
      </w:r>
      <w:r>
        <w:t>:</w:t>
      </w:r>
    </w:p>
    <w:p w14:paraId="783E64BC" w14:textId="77777777" w:rsidR="008426A1" w:rsidRDefault="008426A1" w:rsidP="008426A1"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spellEnd"/>
      <w:proofErr w:type="gramEnd"/>
      <w:r>
        <w:rPr>
          <w:rStyle w:val="katex-mathml"/>
        </w:rPr>
        <w:t>)=1h(x, y) = 1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</w:t>
      </w:r>
    </w:p>
    <w:p w14:paraId="0CAB7A22" w14:textId="77777777" w:rsidR="008426A1" w:rsidRDefault="008426A1" w:rsidP="008426A1">
      <w:pPr>
        <w:pStyle w:val="StandardWeb"/>
      </w:pPr>
      <w:r>
        <w:rPr>
          <w:rStyle w:val="Fett"/>
        </w:rPr>
        <w:t>Interpretation</w:t>
      </w:r>
      <w:r>
        <w:t>:</w:t>
      </w:r>
    </w:p>
    <w:p w14:paraId="29792B51" w14:textId="77777777" w:rsidR="008426A1" w:rsidRDefault="008426A1" w:rsidP="008426A1">
      <w:pPr>
        <w:pStyle w:val="StandardWeb"/>
        <w:numPr>
          <w:ilvl w:val="0"/>
          <w:numId w:val="1"/>
        </w:numPr>
      </w:pPr>
      <w:r>
        <w:t>Homogene Raumstruktur ohne Differenzierung</w:t>
      </w:r>
    </w:p>
    <w:p w14:paraId="287F8869" w14:textId="77777777" w:rsidR="008426A1" w:rsidRDefault="008426A1" w:rsidP="008426A1">
      <w:pPr>
        <w:pStyle w:val="StandardWeb"/>
        <w:numPr>
          <w:ilvl w:val="0"/>
          <w:numId w:val="1"/>
        </w:numPr>
      </w:pPr>
      <w:r>
        <w:t>Modelliert z. B. einen vollständig isotropen Raum</w:t>
      </w:r>
    </w:p>
    <w:p w14:paraId="3FA0F0A6" w14:textId="77777777" w:rsidR="008426A1" w:rsidRDefault="008426A1" w:rsidP="008426A1">
      <w:pPr>
        <w:pStyle w:val="StandardWeb"/>
        <w:numPr>
          <w:ilvl w:val="0"/>
          <w:numId w:val="1"/>
        </w:numPr>
      </w:pPr>
      <w:r>
        <w:t>Grundlage für flache Metriken im Stil der speziellen Relativitätstheorie</w:t>
      </w:r>
    </w:p>
    <w:p w14:paraId="1C3CD53E" w14:textId="77777777" w:rsidR="008426A1" w:rsidRDefault="008426A1" w:rsidP="008426A1">
      <w:pPr>
        <w:pStyle w:val="StandardWeb"/>
      </w:pPr>
      <w:r>
        <w:rPr>
          <w:rStyle w:val="Fett"/>
        </w:rPr>
        <w:t>Szenario</w:t>
      </w:r>
      <w:r>
        <w:t>:</w:t>
      </w:r>
    </w:p>
    <w:p w14:paraId="64CD6331" w14:textId="77777777" w:rsidR="008426A1" w:rsidRDefault="008426A1" w:rsidP="008426A1">
      <w:pPr>
        <w:pStyle w:val="StandardWeb"/>
        <w:numPr>
          <w:ilvl w:val="0"/>
          <w:numId w:val="2"/>
        </w:numPr>
      </w:pPr>
      <w:r>
        <w:t>Idealisierte Raumzeit in Abwesenheit von Masse oder Feldern</w:t>
      </w:r>
    </w:p>
    <w:p w14:paraId="36634D6E" w14:textId="77777777" w:rsidR="008426A1" w:rsidRDefault="008426A1" w:rsidP="008426A1">
      <w:pPr>
        <w:pStyle w:val="StandardWeb"/>
        <w:numPr>
          <w:ilvl w:val="0"/>
          <w:numId w:val="2"/>
        </w:numPr>
      </w:pPr>
      <w:r>
        <w:t>Nützlich als Vergleichsmodell in relativistischen Simulationen</w:t>
      </w:r>
    </w:p>
    <w:p w14:paraId="1A9E4DC1" w14:textId="77777777" w:rsidR="008426A1" w:rsidRDefault="008426A1" w:rsidP="008426A1">
      <w:r>
        <w:pict w14:anchorId="57D7EF88">
          <v:rect id="_x0000_i1026" style="width:0;height:1.5pt" o:hralign="center" o:hrstd="t" o:hr="t" fillcolor="#a0a0a0" stroked="f"/>
        </w:pict>
      </w:r>
    </w:p>
    <w:p w14:paraId="4619A1F4" w14:textId="77777777" w:rsidR="008426A1" w:rsidRDefault="008426A1" w:rsidP="008426A1">
      <w:pPr>
        <w:pStyle w:val="berschrift3"/>
      </w:pPr>
      <w:r>
        <w:rPr>
          <w:rStyle w:val="Fett"/>
          <w:b/>
          <w:bCs/>
        </w:rPr>
        <w:t>2. Zentralmassive Funktion</w:t>
      </w:r>
    </w:p>
    <w:p w14:paraId="6066FA5C" w14:textId="77777777" w:rsidR="008426A1" w:rsidRDefault="008426A1" w:rsidP="008426A1">
      <w:pPr>
        <w:pStyle w:val="StandardWeb"/>
      </w:pPr>
      <w:r>
        <w:rPr>
          <w:rStyle w:val="Fett"/>
        </w:rPr>
        <w:t>Form</w:t>
      </w:r>
      <w:r>
        <w:t>:</w:t>
      </w:r>
    </w:p>
    <w:p w14:paraId="699F8AC3" w14:textId="77777777" w:rsidR="008426A1" w:rsidRDefault="008426A1" w:rsidP="008426A1"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spellEnd"/>
      <w:proofErr w:type="gramEnd"/>
      <w:r>
        <w:rPr>
          <w:rStyle w:val="katex-mathml"/>
        </w:rPr>
        <w:t>)=−1x2+y2+ε(ε&gt;0)h(x, y) = -\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{x^2 + y^2 + 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(\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 xml:space="preserve"> &gt; 0)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−x2</w:t>
      </w:r>
      <w:r>
        <w:rPr>
          <w:rStyle w:val="mbin"/>
        </w:rPr>
        <w:t>+</w:t>
      </w:r>
      <w:r>
        <w:rPr>
          <w:rStyle w:val="mord"/>
        </w:rPr>
        <w:t>y2</w:t>
      </w:r>
      <w:r>
        <w:rPr>
          <w:rStyle w:val="mbin"/>
        </w:rPr>
        <w:t>+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ε</w:t>
      </w:r>
      <w:r>
        <w:rPr>
          <w:rStyle w:val="mrel"/>
        </w:rPr>
        <w:t>&gt;</w:t>
      </w:r>
      <w:r>
        <w:rPr>
          <w:rStyle w:val="mord"/>
        </w:rPr>
        <w:t>0</w:t>
      </w:r>
      <w:r>
        <w:rPr>
          <w:rStyle w:val="mclose"/>
        </w:rPr>
        <w:t>)</w:t>
      </w:r>
      <w:r>
        <w:t xml:space="preserve"> </w:t>
      </w:r>
    </w:p>
    <w:p w14:paraId="289B57E6" w14:textId="77777777" w:rsidR="008426A1" w:rsidRDefault="008426A1" w:rsidP="008426A1">
      <w:pPr>
        <w:pStyle w:val="StandardWeb"/>
      </w:pPr>
      <w:r>
        <w:rPr>
          <w:rStyle w:val="Fett"/>
        </w:rPr>
        <w:t>Interpretation</w:t>
      </w:r>
      <w:r>
        <w:t>:</w:t>
      </w:r>
    </w:p>
    <w:p w14:paraId="6A87CC19" w14:textId="77777777" w:rsidR="008426A1" w:rsidRDefault="008426A1" w:rsidP="008426A1">
      <w:pPr>
        <w:pStyle w:val="StandardWeb"/>
        <w:numPr>
          <w:ilvl w:val="0"/>
          <w:numId w:val="3"/>
        </w:numPr>
      </w:pPr>
      <w:r>
        <w:t>Zentrales Potentialfeld mit starker Krümmung in der Mitte</w:t>
      </w:r>
    </w:p>
    <w:p w14:paraId="76ADC81A" w14:textId="77777777" w:rsidR="008426A1" w:rsidRDefault="008426A1" w:rsidP="008426A1">
      <w:pPr>
        <w:pStyle w:val="StandardWeb"/>
        <w:numPr>
          <w:ilvl w:val="0"/>
          <w:numId w:val="3"/>
        </w:numPr>
      </w:pPr>
      <w:r>
        <w:t>Typisch für Gravitationsfelder um eine Masse</w:t>
      </w:r>
    </w:p>
    <w:p w14:paraId="03E2724E" w14:textId="77777777" w:rsidR="008426A1" w:rsidRDefault="008426A1" w:rsidP="008426A1">
      <w:pPr>
        <w:pStyle w:val="StandardWeb"/>
      </w:pPr>
      <w:r>
        <w:rPr>
          <w:rStyle w:val="Fett"/>
        </w:rPr>
        <w:t>Szenario</w:t>
      </w:r>
      <w:r>
        <w:t>:</w:t>
      </w:r>
    </w:p>
    <w:p w14:paraId="2147BA55" w14:textId="77777777" w:rsidR="008426A1" w:rsidRDefault="008426A1" w:rsidP="008426A1">
      <w:pPr>
        <w:pStyle w:val="StandardWeb"/>
        <w:numPr>
          <w:ilvl w:val="0"/>
          <w:numId w:val="4"/>
        </w:numPr>
      </w:pPr>
      <w:r>
        <w:t>Näherung einer Schwarzschild-Metrik in 2D</w:t>
      </w:r>
    </w:p>
    <w:p w14:paraId="57C417DC" w14:textId="77777777" w:rsidR="008426A1" w:rsidRDefault="008426A1" w:rsidP="008426A1">
      <w:pPr>
        <w:pStyle w:val="StandardWeb"/>
        <w:numPr>
          <w:ilvl w:val="0"/>
          <w:numId w:val="4"/>
        </w:numPr>
      </w:pPr>
      <w:r>
        <w:t>Verwendung in gravitativen Näherungsmodellen oder zur Simulation von Raumzeit-Krümmung</w:t>
      </w:r>
    </w:p>
    <w:p w14:paraId="18D4299E" w14:textId="77777777" w:rsidR="008426A1" w:rsidRDefault="008426A1" w:rsidP="008426A1">
      <w:r>
        <w:pict w14:anchorId="120D131E">
          <v:rect id="_x0000_i1027" style="width:0;height:1.5pt" o:hralign="center" o:hrstd="t" o:hr="t" fillcolor="#a0a0a0" stroked="f"/>
        </w:pict>
      </w:r>
    </w:p>
    <w:p w14:paraId="1E4D4BF2" w14:textId="77777777" w:rsidR="008426A1" w:rsidRDefault="008426A1" w:rsidP="008426A1">
      <w:pPr>
        <w:pStyle w:val="berschrift3"/>
      </w:pPr>
      <w:r>
        <w:rPr>
          <w:rStyle w:val="Fett"/>
          <w:b/>
          <w:bCs/>
        </w:rPr>
        <w:t>3. Mehrkörper-Konfiguration</w:t>
      </w:r>
    </w:p>
    <w:p w14:paraId="16674993" w14:textId="77777777" w:rsidR="008426A1" w:rsidRDefault="008426A1" w:rsidP="008426A1">
      <w:pPr>
        <w:pStyle w:val="StandardWeb"/>
      </w:pPr>
      <w:r>
        <w:rPr>
          <w:rStyle w:val="Fett"/>
        </w:rPr>
        <w:t>Form</w:t>
      </w:r>
      <w:r>
        <w:t>:</w:t>
      </w:r>
    </w:p>
    <w:p w14:paraId="137E4AE5" w14:textId="77777777" w:rsidR="008426A1" w:rsidRDefault="008426A1" w:rsidP="008426A1">
      <w:r>
        <w:rPr>
          <w:rStyle w:val="katex-mathml"/>
        </w:rPr>
        <w:lastRenderedPageBreak/>
        <w:t>h(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)=−1r1−0.5r2,r1=(x−x1)2+(y−y1)2,r2=(x−x2)2+(y−y2)2h(x, y) = -\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{1}{r_1} -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{0.5}{r_2},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r_1 = 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{(x - x_1)^2 + (y - y_1)^2},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r_2 = 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{(x - x_2)^2 + (y - y_2)^2}</w:t>
      </w:r>
      <w:r>
        <w:rPr>
          <w:rStyle w:val="mord"/>
        </w:rPr>
        <w:t>h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−r1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r2</w:t>
      </w:r>
      <w:r>
        <w:rPr>
          <w:rStyle w:val="vlist-s"/>
        </w:rPr>
        <w:t>​</w:t>
      </w:r>
      <w:r>
        <w:rPr>
          <w:rStyle w:val="mord"/>
        </w:rPr>
        <w:t>0.5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bin"/>
        </w:rPr>
        <w:t>−</w:t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bin"/>
        </w:rPr>
        <w:t>−</w:t>
      </w:r>
      <w:r>
        <w:rPr>
          <w:rStyle w:val="mord"/>
        </w:rPr>
        <w:t>y2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t xml:space="preserve"> </w:t>
      </w:r>
    </w:p>
    <w:p w14:paraId="6F0BF966" w14:textId="77777777" w:rsidR="008426A1" w:rsidRDefault="008426A1" w:rsidP="008426A1">
      <w:pPr>
        <w:pStyle w:val="StandardWeb"/>
      </w:pPr>
      <w:r>
        <w:rPr>
          <w:rStyle w:val="Fett"/>
        </w:rPr>
        <w:t>Interpretation</w:t>
      </w:r>
      <w:r>
        <w:t>:</w:t>
      </w:r>
    </w:p>
    <w:p w14:paraId="396B9F76" w14:textId="77777777" w:rsidR="008426A1" w:rsidRDefault="008426A1" w:rsidP="008426A1">
      <w:pPr>
        <w:pStyle w:val="StandardWeb"/>
        <w:numPr>
          <w:ilvl w:val="0"/>
          <w:numId w:val="5"/>
        </w:numPr>
      </w:pPr>
      <w:r>
        <w:t>Überlagerung zweier Gravitationszentren</w:t>
      </w:r>
    </w:p>
    <w:p w14:paraId="70D150CC" w14:textId="77777777" w:rsidR="008426A1" w:rsidRDefault="008426A1" w:rsidP="008426A1">
      <w:pPr>
        <w:pStyle w:val="StandardWeb"/>
        <w:numPr>
          <w:ilvl w:val="0"/>
          <w:numId w:val="5"/>
        </w:numPr>
      </w:pPr>
      <w:r>
        <w:t>Entstehung komplexer Krümmungslandschaften</w:t>
      </w:r>
    </w:p>
    <w:p w14:paraId="2915A7A2" w14:textId="77777777" w:rsidR="008426A1" w:rsidRDefault="008426A1" w:rsidP="008426A1">
      <w:pPr>
        <w:pStyle w:val="StandardWeb"/>
      </w:pPr>
      <w:r>
        <w:rPr>
          <w:rStyle w:val="Fett"/>
        </w:rPr>
        <w:t>Szenario</w:t>
      </w:r>
      <w:r>
        <w:t>:</w:t>
      </w:r>
    </w:p>
    <w:p w14:paraId="3ECCBFB4" w14:textId="77777777" w:rsidR="008426A1" w:rsidRDefault="008426A1" w:rsidP="008426A1">
      <w:pPr>
        <w:pStyle w:val="StandardWeb"/>
        <w:numPr>
          <w:ilvl w:val="0"/>
          <w:numId w:val="6"/>
        </w:numPr>
      </w:pPr>
      <w:r>
        <w:t>Simulation von Planeten- oder Doppelsternsystemen</w:t>
      </w:r>
    </w:p>
    <w:p w14:paraId="4FE32BAA" w14:textId="77777777" w:rsidR="008426A1" w:rsidRDefault="008426A1" w:rsidP="008426A1">
      <w:pPr>
        <w:pStyle w:val="StandardWeb"/>
        <w:numPr>
          <w:ilvl w:val="0"/>
          <w:numId w:val="6"/>
        </w:numPr>
      </w:pPr>
      <w:r>
        <w:t>Einsatz in dynamischen Stabilitätsanalysen (z. B. Lagrange-Punkte)</w:t>
      </w:r>
    </w:p>
    <w:p w14:paraId="590EF957" w14:textId="77777777" w:rsidR="008426A1" w:rsidRDefault="008426A1" w:rsidP="008426A1">
      <w:r>
        <w:pict w14:anchorId="1AA33028">
          <v:rect id="_x0000_i1028" style="width:0;height:1.5pt" o:hralign="center" o:hrstd="t" o:hr="t" fillcolor="#a0a0a0" stroked="f"/>
        </w:pict>
      </w:r>
    </w:p>
    <w:p w14:paraId="73E0A407" w14:textId="051CA5BD" w:rsidR="00081BFB" w:rsidRPr="00081BFB" w:rsidRDefault="00081BFB" w:rsidP="008426A1">
      <w:pPr>
        <w:pStyle w:val="berschrift3"/>
        <w:rPr>
          <w:rStyle w:val="Fett"/>
          <w:b/>
          <w:bCs/>
        </w:rPr>
      </w:pPr>
      <w:r>
        <w:rPr>
          <w:rStyle w:val="Fett"/>
          <w:b/>
          <w:bCs/>
        </w:rPr>
        <w:t xml:space="preserve">4. </w:t>
      </w:r>
      <w:r w:rsidRPr="00081BFB">
        <w:rPr>
          <w:rStyle w:val="Fett"/>
          <w:b/>
          <w:bCs/>
        </w:rPr>
        <w:t>Grafik</w:t>
      </w:r>
    </w:p>
    <w:p w14:paraId="36862571" w14:textId="51E4ED90" w:rsidR="00081BFB" w:rsidRPr="00081BFB" w:rsidRDefault="00081BFB" w:rsidP="008426A1">
      <w:pPr>
        <w:pStyle w:val="berschrift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7A929D" wp14:editId="71E94662">
            <wp:extent cx="5760720" cy="57607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5D9E" w14:textId="5C3364B4" w:rsidR="008426A1" w:rsidRDefault="00081BFB" w:rsidP="008426A1">
      <w:pPr>
        <w:pStyle w:val="berschrift3"/>
      </w:pPr>
      <w:r>
        <w:rPr>
          <w:rStyle w:val="Fett"/>
          <w:b/>
          <w:bCs/>
        </w:rPr>
        <w:lastRenderedPageBreak/>
        <w:t xml:space="preserve">5. </w:t>
      </w:r>
      <w:r w:rsidR="008426A1">
        <w:rPr>
          <w:rStyle w:val="Fett"/>
          <w:b/>
          <w:bCs/>
        </w:rPr>
        <w:t>Didaktischer Nutzen</w:t>
      </w:r>
    </w:p>
    <w:p w14:paraId="0D94362A" w14:textId="77777777" w:rsidR="008426A1" w:rsidRDefault="008426A1" w:rsidP="008426A1">
      <w:pPr>
        <w:pStyle w:val="StandardWeb"/>
        <w:numPr>
          <w:ilvl w:val="0"/>
          <w:numId w:val="7"/>
        </w:numPr>
      </w:pPr>
      <w:r>
        <w:t>Vermittelt den Einfluss von Funktionsformen auf Raumstruktur und Metrik</w:t>
      </w:r>
    </w:p>
    <w:p w14:paraId="09EEB2D7" w14:textId="77777777" w:rsidR="008426A1" w:rsidRDefault="008426A1" w:rsidP="008426A1">
      <w:pPr>
        <w:pStyle w:val="StandardWeb"/>
        <w:numPr>
          <w:ilvl w:val="0"/>
          <w:numId w:val="7"/>
        </w:numPr>
      </w:pPr>
      <w:r>
        <w:t xml:space="preserve">Unterstützt die Verbindung zwischen </w:t>
      </w:r>
      <w:r>
        <w:rPr>
          <w:rStyle w:val="Fett"/>
        </w:rPr>
        <w:t>Formel</w:t>
      </w:r>
      <w:r>
        <w:t xml:space="preserve">, </w:t>
      </w:r>
      <w:r>
        <w:rPr>
          <w:rStyle w:val="Fett"/>
        </w:rPr>
        <w:t>Raumbild</w:t>
      </w:r>
      <w:r>
        <w:t xml:space="preserve"> und </w:t>
      </w:r>
      <w:r>
        <w:rPr>
          <w:rStyle w:val="Fett"/>
        </w:rPr>
        <w:t>physikalischer Bedeutung</w:t>
      </w:r>
    </w:p>
    <w:p w14:paraId="254FA3D2" w14:textId="77777777" w:rsidR="008426A1" w:rsidRDefault="008426A1" w:rsidP="008426A1">
      <w:pPr>
        <w:pStyle w:val="StandardWeb"/>
        <w:numPr>
          <w:ilvl w:val="0"/>
          <w:numId w:val="7"/>
        </w:numPr>
      </w:pPr>
      <w:r>
        <w:t>Erleichtert die Entwicklung eigener Szenarien für Simulationen oder Modellbildung</w:t>
      </w:r>
    </w:p>
    <w:p w14:paraId="74D2C0B1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198A"/>
    <w:multiLevelType w:val="multilevel"/>
    <w:tmpl w:val="0E8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43C64"/>
    <w:multiLevelType w:val="multilevel"/>
    <w:tmpl w:val="F29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41E34"/>
    <w:multiLevelType w:val="multilevel"/>
    <w:tmpl w:val="C5D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26ECD"/>
    <w:multiLevelType w:val="multilevel"/>
    <w:tmpl w:val="FCE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52CEB"/>
    <w:multiLevelType w:val="multilevel"/>
    <w:tmpl w:val="C87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55B01"/>
    <w:multiLevelType w:val="multilevel"/>
    <w:tmpl w:val="E72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40D9E"/>
    <w:multiLevelType w:val="multilevel"/>
    <w:tmpl w:val="1AC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A1"/>
    <w:rsid w:val="00081BFB"/>
    <w:rsid w:val="00106528"/>
    <w:rsid w:val="008426A1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7679"/>
  <w15:chartTrackingRefBased/>
  <w15:docId w15:val="{D7FE873D-0584-46A4-AE45-FD3D101A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2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426A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8426A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426A1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8426A1"/>
    <w:rPr>
      <w:b/>
      <w:bCs/>
    </w:rPr>
  </w:style>
  <w:style w:type="character" w:customStyle="1" w:styleId="katex-mathml">
    <w:name w:val="katex-mathml"/>
    <w:basedOn w:val="Absatz-Standardschriftart"/>
    <w:rsid w:val="008426A1"/>
  </w:style>
  <w:style w:type="character" w:customStyle="1" w:styleId="mord">
    <w:name w:val="mord"/>
    <w:basedOn w:val="Absatz-Standardschriftart"/>
    <w:rsid w:val="008426A1"/>
  </w:style>
  <w:style w:type="character" w:customStyle="1" w:styleId="mopen">
    <w:name w:val="mopen"/>
    <w:basedOn w:val="Absatz-Standardschriftart"/>
    <w:rsid w:val="008426A1"/>
  </w:style>
  <w:style w:type="character" w:customStyle="1" w:styleId="mpunct">
    <w:name w:val="mpunct"/>
    <w:basedOn w:val="Absatz-Standardschriftart"/>
    <w:rsid w:val="008426A1"/>
  </w:style>
  <w:style w:type="character" w:customStyle="1" w:styleId="mclose">
    <w:name w:val="mclose"/>
    <w:basedOn w:val="Absatz-Standardschriftart"/>
    <w:rsid w:val="008426A1"/>
  </w:style>
  <w:style w:type="character" w:customStyle="1" w:styleId="mrel">
    <w:name w:val="mrel"/>
    <w:basedOn w:val="Absatz-Standardschriftart"/>
    <w:rsid w:val="008426A1"/>
  </w:style>
  <w:style w:type="character" w:customStyle="1" w:styleId="mbin">
    <w:name w:val="mbin"/>
    <w:basedOn w:val="Absatz-Standardschriftart"/>
    <w:rsid w:val="008426A1"/>
  </w:style>
  <w:style w:type="character" w:customStyle="1" w:styleId="vlist-s">
    <w:name w:val="vlist-s"/>
    <w:basedOn w:val="Absatz-Standardschriftart"/>
    <w:rsid w:val="00842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1720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2025-05-31T19:53:00Z</dcterms:created>
  <dcterms:modified xsi:type="dcterms:W3CDTF">2025-05-31T20:13:00Z</dcterms:modified>
</cp:coreProperties>
</file>