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3F3E5" w14:textId="1E99C21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Pr>
          <w:rFonts w:ascii="Arial" w:eastAsia="Times New Roman" w:hAnsi="Arial" w:cs="Arial"/>
          <w:b/>
          <w:bCs/>
          <w:color w:val="18181B"/>
          <w:sz w:val="24"/>
          <w:szCs w:val="24"/>
          <w:bdr w:val="single" w:sz="2" w:space="0" w:color="E4E4E7" w:frame="1"/>
          <w:lang w:eastAsia="de-DE"/>
        </w:rPr>
        <w:t xml:space="preserve">Anlage K - </w:t>
      </w:r>
      <w:r w:rsidRPr="00D16CCF">
        <w:rPr>
          <w:rFonts w:ascii="Arial" w:eastAsia="Times New Roman" w:hAnsi="Arial" w:cs="Arial"/>
          <w:b/>
          <w:bCs/>
          <w:color w:val="18181B"/>
          <w:sz w:val="24"/>
          <w:szCs w:val="24"/>
          <w:bdr w:val="single" w:sz="2" w:space="0" w:color="E4E4E7" w:frame="1"/>
          <w:lang w:eastAsia="de-DE"/>
        </w:rPr>
        <w:t>Populärwissenschaftliche Gesamterklärung des mathematischen Modells der funktionalen Bezugssysteme</w:t>
      </w:r>
    </w:p>
    <w:p w14:paraId="76B0442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1. </w:t>
      </w:r>
      <w:r w:rsidRPr="00D16CCF">
        <w:rPr>
          <w:rFonts w:ascii="Arial" w:eastAsia="Times New Roman" w:hAnsi="Arial" w:cs="Arial"/>
          <w:b/>
          <w:bCs/>
          <w:color w:val="18181B"/>
          <w:sz w:val="30"/>
          <w:szCs w:val="30"/>
          <w:bdr w:val="single" w:sz="2" w:space="0" w:color="E4E4E7" w:frame="1"/>
          <w:lang w:eastAsia="de-DE"/>
        </w:rPr>
        <w:t xml:space="preserve">Startpunkt „Nichts“ (Leere Menge </w:t>
      </w:r>
      <w:r w:rsidRPr="00D16CCF">
        <w:rPr>
          <w:rFonts w:ascii="Cambria Math" w:eastAsia="Times New Roman" w:hAnsi="Cambria Math" w:cs="Cambria Math"/>
          <w:b/>
          <w:bCs/>
          <w:color w:val="18181B"/>
          <w:sz w:val="30"/>
          <w:szCs w:val="30"/>
          <w:bdr w:val="single" w:sz="2" w:space="0" w:color="E4E4E7" w:frame="1"/>
          <w:lang w:eastAsia="de-DE"/>
        </w:rPr>
        <w:t>∅</w:t>
      </w:r>
      <w:r w:rsidRPr="00D16CCF">
        <w:rPr>
          <w:rFonts w:ascii="Arial" w:eastAsia="Times New Roman" w:hAnsi="Arial" w:cs="Arial"/>
          <w:b/>
          <w:bCs/>
          <w:color w:val="18181B"/>
          <w:sz w:val="30"/>
          <w:szCs w:val="30"/>
          <w:bdr w:val="single" w:sz="2" w:space="0" w:color="E4E4E7" w:frame="1"/>
          <w:lang w:eastAsia="de-DE"/>
        </w:rPr>
        <w:t>): Die Wurzel aller Strukturen</w:t>
      </w:r>
    </w:p>
    <w:p w14:paraId="63343DB9"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Alles beginnt mit absolutem </w:t>
      </w:r>
      <w:r w:rsidRPr="00D16CCF">
        <w:rPr>
          <w:rFonts w:ascii="Arial" w:eastAsia="Times New Roman" w:hAnsi="Arial" w:cs="Arial"/>
          <w:i/>
          <w:iCs/>
          <w:color w:val="3F3F46"/>
          <w:sz w:val="24"/>
          <w:szCs w:val="24"/>
          <w:bdr w:val="single" w:sz="2" w:space="0" w:color="E4E4E7" w:frame="1"/>
          <w:lang w:eastAsia="de-DE"/>
        </w:rPr>
        <w:t>Nichts</w:t>
      </w:r>
      <w:r w:rsidRPr="00D16CCF">
        <w:rPr>
          <w:rFonts w:ascii="Arial" w:eastAsia="Times New Roman" w:hAnsi="Arial" w:cs="Arial"/>
          <w:color w:val="3F3F46"/>
          <w:sz w:val="24"/>
          <w:szCs w:val="24"/>
          <w:lang w:eastAsia="de-DE"/>
        </w:rPr>
        <w:t> – einem vollkommen leeren Raum, ohne Dinge oder Eigenschaften. Mathematisch nennen wir das die „leere Menge“ (</w:t>
      </w:r>
      <w:r w:rsidRPr="00D16CCF">
        <w:rPr>
          <w:rFonts w:ascii="Cambria Math" w:eastAsia="Times New Roman" w:hAnsi="Cambria Math" w:cs="Cambria Math"/>
          <w:color w:val="3F3F46"/>
          <w:sz w:val="24"/>
          <w:szCs w:val="24"/>
          <w:lang w:eastAsia="de-DE"/>
        </w:rPr>
        <w:t>∅</w:t>
      </w:r>
      <w:r w:rsidRPr="00D16CCF">
        <w:rPr>
          <w:rFonts w:ascii="Arial" w:eastAsia="Times New Roman" w:hAnsi="Arial" w:cs="Arial"/>
          <w:color w:val="3F3F46"/>
          <w:sz w:val="24"/>
          <w:szCs w:val="24"/>
          <w:lang w:eastAsia="de-DE"/>
        </w:rPr>
        <w:t xml:space="preserve">). Diese ist weder einfach nur leer noch negativ, sondern ein kreatives Potential: Sie ist der Ausgangspunkt, von dem </w:t>
      </w:r>
      <w:proofErr w:type="gramStart"/>
      <w:r w:rsidRPr="00D16CCF">
        <w:rPr>
          <w:rFonts w:ascii="Arial" w:eastAsia="Times New Roman" w:hAnsi="Arial" w:cs="Arial"/>
          <w:color w:val="3F3F46"/>
          <w:sz w:val="24"/>
          <w:szCs w:val="24"/>
          <w:lang w:eastAsia="de-DE"/>
        </w:rPr>
        <w:t>aus alle Strukturen</w:t>
      </w:r>
      <w:proofErr w:type="gramEnd"/>
      <w:r w:rsidRPr="00D16CCF">
        <w:rPr>
          <w:rFonts w:ascii="Arial" w:eastAsia="Times New Roman" w:hAnsi="Arial" w:cs="Arial"/>
          <w:color w:val="3F3F46"/>
          <w:sz w:val="24"/>
          <w:szCs w:val="24"/>
          <w:lang w:eastAsia="de-DE"/>
        </w:rPr>
        <w:t xml:space="preserve"> erst entstehen können.</w:t>
      </w:r>
    </w:p>
    <w:p w14:paraId="6630D83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2. </w:t>
      </w:r>
      <w:r w:rsidRPr="00D16CCF">
        <w:rPr>
          <w:rFonts w:ascii="Arial" w:eastAsia="Times New Roman" w:hAnsi="Arial" w:cs="Arial"/>
          <w:b/>
          <w:bCs/>
          <w:color w:val="18181B"/>
          <w:sz w:val="30"/>
          <w:szCs w:val="30"/>
          <w:bdr w:val="single" w:sz="2" w:space="0" w:color="E4E4E7" w:frame="1"/>
          <w:lang w:eastAsia="de-DE"/>
        </w:rPr>
        <w:t>Der Initialpunkt I: Erste Unterscheidung schafft Grundlage</w:t>
      </w:r>
    </w:p>
    <w:p w14:paraId="7AE3B967"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Aus diesem Nichts setzen wir den ersten winzigen Punkt, den </w:t>
      </w:r>
      <w:r w:rsidRPr="00D16CCF">
        <w:rPr>
          <w:rFonts w:ascii="Arial" w:eastAsia="Times New Roman" w:hAnsi="Arial" w:cs="Arial"/>
          <w:i/>
          <w:iCs/>
          <w:color w:val="3F3F46"/>
          <w:sz w:val="24"/>
          <w:szCs w:val="24"/>
          <w:bdr w:val="single" w:sz="2" w:space="0" w:color="E4E4E7" w:frame="1"/>
          <w:lang w:eastAsia="de-DE"/>
        </w:rPr>
        <w:t>Initialpunkt</w:t>
      </w:r>
      <w:r w:rsidRPr="00D16CCF">
        <w:rPr>
          <w:rFonts w:ascii="Arial" w:eastAsia="Times New Roman" w:hAnsi="Arial" w:cs="Arial"/>
          <w:color w:val="3F3F46"/>
          <w:sz w:val="24"/>
          <w:szCs w:val="24"/>
          <w:lang w:eastAsia="de-DE"/>
        </w:rPr>
        <w:t>. Er ist das erste, was vom Nichts unterschieden werden kann – eine reine Existenz ohne Eigenschaften wie Ort oder Form. Man kann ihn als einen abstrakten Startpunkt verstehen, der später als Platzhalter für komplexere Strukturen dient.</w:t>
      </w:r>
    </w:p>
    <w:p w14:paraId="0D4C9530"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3. </w:t>
      </w:r>
      <w:r w:rsidRPr="00D16CCF">
        <w:rPr>
          <w:rFonts w:ascii="Arial" w:eastAsia="Times New Roman" w:hAnsi="Arial" w:cs="Arial"/>
          <w:b/>
          <w:bCs/>
          <w:color w:val="18181B"/>
          <w:sz w:val="30"/>
          <w:szCs w:val="30"/>
          <w:bdr w:val="single" w:sz="2" w:space="0" w:color="E4E4E7" w:frame="1"/>
          <w:lang w:eastAsia="de-DE"/>
        </w:rPr>
        <w:t>Das funktionale Bezugssystem MU: Das Bezugspunktfeld</w:t>
      </w:r>
    </w:p>
    <w:p w14:paraId="4E041426"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Nun entsteht ein </w:t>
      </w:r>
      <w:r w:rsidRPr="00D16CCF">
        <w:rPr>
          <w:rFonts w:ascii="Arial" w:eastAsia="Times New Roman" w:hAnsi="Arial" w:cs="Arial"/>
          <w:i/>
          <w:iCs/>
          <w:color w:val="3F3F46"/>
          <w:sz w:val="24"/>
          <w:szCs w:val="24"/>
          <w:bdr w:val="single" w:sz="2" w:space="0" w:color="E4E4E7" w:frame="1"/>
          <w:lang w:eastAsia="de-DE"/>
        </w:rPr>
        <w:t>Bezugspunktfeld</w:t>
      </w:r>
      <w:r w:rsidRPr="00D16CCF">
        <w:rPr>
          <w:rFonts w:ascii="Arial" w:eastAsia="Times New Roman" w:hAnsi="Arial" w:cs="Arial"/>
          <w:color w:val="3F3F46"/>
          <w:sz w:val="24"/>
          <w:szCs w:val="24"/>
          <w:lang w:eastAsia="de-DE"/>
        </w:rPr>
        <w:t> namens MU, eine Sammlung vieler solcher Punkte (U), die selbst leer sind, aber durch Funktionen Bedeutung erhalten. Diese Punkte sind sozusagen die Adressen des Systems – erst durch Zuordnung von Werten werden sie „lebendig“. Das Feld MU ist dynamisch: Es kann wachsen, sich verändern, und stellt die mathematische Bühne dar, auf der Beobachtung und Messung stattfinden.</w:t>
      </w:r>
    </w:p>
    <w:p w14:paraId="0D85DB1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4. </w:t>
      </w:r>
      <w:r w:rsidRPr="00D16CCF">
        <w:rPr>
          <w:rFonts w:ascii="Arial" w:eastAsia="Times New Roman" w:hAnsi="Arial" w:cs="Arial"/>
          <w:b/>
          <w:bCs/>
          <w:color w:val="18181B"/>
          <w:sz w:val="30"/>
          <w:szCs w:val="30"/>
          <w:bdr w:val="single" w:sz="2" w:space="0" w:color="E4E4E7" w:frame="1"/>
          <w:lang w:eastAsia="de-DE"/>
        </w:rPr>
        <w:t>Raumfunktionen x(U), y(U), z(U): Wie Punkte Ortskoordinaten bekommen</w:t>
      </w:r>
    </w:p>
    <w:p w14:paraId="63338AD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Um einem Punkt U im Bezugspunktfeld eine Lage im Raum zu geben, ordnen wir ihm über die Raumfunktionen Zahlenwerte für x, y und z zu. Diese Funktionen beschreiben </w:t>
      </w:r>
      <w:r w:rsidRPr="00D16CCF">
        <w:rPr>
          <w:rFonts w:ascii="Arial" w:eastAsia="Times New Roman" w:hAnsi="Arial" w:cs="Arial"/>
          <w:i/>
          <w:iCs/>
          <w:color w:val="3F3F46"/>
          <w:sz w:val="24"/>
          <w:szCs w:val="24"/>
          <w:bdr w:val="single" w:sz="2" w:space="0" w:color="E4E4E7" w:frame="1"/>
          <w:lang w:eastAsia="de-DE"/>
        </w:rPr>
        <w:t>nicht</w:t>
      </w:r>
      <w:r w:rsidRPr="00D16CCF">
        <w:rPr>
          <w:rFonts w:ascii="Arial" w:eastAsia="Times New Roman" w:hAnsi="Arial" w:cs="Arial"/>
          <w:color w:val="3F3F46"/>
          <w:sz w:val="24"/>
          <w:szCs w:val="24"/>
          <w:lang w:eastAsia="de-DE"/>
        </w:rPr>
        <w:t> einen festen Raum, sondern erzeugen ihn erst – der Raum entsteht also erst durch diese Zuordnung. Das ist anders als bei der herkömmlichen Vorstellung eines „leeren Behälters“. Hier ist der Raum keine vorgegebene Bühne, sondern ein Konstrukt.</w:t>
      </w:r>
    </w:p>
    <w:p w14:paraId="4B61AFB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5. </w:t>
      </w:r>
      <w:r w:rsidRPr="00D16CCF">
        <w:rPr>
          <w:rFonts w:ascii="Arial" w:eastAsia="Times New Roman" w:hAnsi="Arial" w:cs="Arial"/>
          <w:b/>
          <w:bCs/>
          <w:color w:val="18181B"/>
          <w:sz w:val="30"/>
          <w:szCs w:val="30"/>
          <w:bdr w:val="single" w:sz="2" w:space="0" w:color="E4E4E7" w:frame="1"/>
          <w:lang w:eastAsia="de-DE"/>
        </w:rPr>
        <w:t xml:space="preserve">Die </w:t>
      </w:r>
      <w:proofErr w:type="spellStart"/>
      <w:r w:rsidRPr="00D16CCF">
        <w:rPr>
          <w:rFonts w:ascii="Arial" w:eastAsia="Times New Roman" w:hAnsi="Arial" w:cs="Arial"/>
          <w:b/>
          <w:bCs/>
          <w:color w:val="18181B"/>
          <w:sz w:val="30"/>
          <w:szCs w:val="30"/>
          <w:bdr w:val="single" w:sz="2" w:space="0" w:color="E4E4E7" w:frame="1"/>
          <w:lang w:eastAsia="de-DE"/>
        </w:rPr>
        <w:t>Brane</w:t>
      </w:r>
      <w:proofErr w:type="spellEnd"/>
      <w:r w:rsidRPr="00D16CCF">
        <w:rPr>
          <w:rFonts w:ascii="Arial" w:eastAsia="Times New Roman" w:hAnsi="Arial" w:cs="Arial"/>
          <w:b/>
          <w:bCs/>
          <w:color w:val="18181B"/>
          <w:sz w:val="30"/>
          <w:szCs w:val="30"/>
          <w:bdr w:val="single" w:sz="2" w:space="0" w:color="E4E4E7" w:frame="1"/>
          <w:lang w:eastAsia="de-DE"/>
        </w:rPr>
        <w:t>-Funktion h(</w:t>
      </w:r>
      <w:proofErr w:type="spellStart"/>
      <w:proofErr w:type="gramStart"/>
      <w:r w:rsidRPr="00D16CCF">
        <w:rPr>
          <w:rFonts w:ascii="Arial" w:eastAsia="Times New Roman" w:hAnsi="Arial" w:cs="Arial"/>
          <w:b/>
          <w:bCs/>
          <w:color w:val="18181B"/>
          <w:sz w:val="30"/>
          <w:szCs w:val="30"/>
          <w:bdr w:val="single" w:sz="2" w:space="0" w:color="E4E4E7" w:frame="1"/>
          <w:lang w:eastAsia="de-DE"/>
        </w:rPr>
        <w:t>x,y</w:t>
      </w:r>
      <w:proofErr w:type="gramEnd"/>
      <w:r w:rsidRPr="00D16CCF">
        <w:rPr>
          <w:rFonts w:ascii="Arial" w:eastAsia="Times New Roman" w:hAnsi="Arial" w:cs="Arial"/>
          <w:b/>
          <w:bCs/>
          <w:color w:val="18181B"/>
          <w:sz w:val="30"/>
          <w:szCs w:val="30"/>
          <w:bdr w:val="single" w:sz="2" w:space="0" w:color="E4E4E7" w:frame="1"/>
          <w:lang w:eastAsia="de-DE"/>
        </w:rPr>
        <w:t>,z</w:t>
      </w:r>
      <w:proofErr w:type="spellEnd"/>
      <w:r w:rsidRPr="00D16CCF">
        <w:rPr>
          <w:rFonts w:ascii="Arial" w:eastAsia="Times New Roman" w:hAnsi="Arial" w:cs="Arial"/>
          <w:b/>
          <w:bCs/>
          <w:color w:val="18181B"/>
          <w:sz w:val="30"/>
          <w:szCs w:val="30"/>
          <w:bdr w:val="single" w:sz="2" w:space="0" w:color="E4E4E7" w:frame="1"/>
          <w:lang w:eastAsia="de-DE"/>
        </w:rPr>
        <w:t>): Raum erhält innere Struktur</w:t>
      </w:r>
    </w:p>
    <w:p w14:paraId="7D9E20D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Der Raum besteht nicht nur aus Koordinaten, sondern bekommt durch die </w:t>
      </w:r>
      <w:proofErr w:type="spellStart"/>
      <w:r w:rsidRPr="00D16CCF">
        <w:rPr>
          <w:rFonts w:ascii="Arial" w:eastAsia="Times New Roman" w:hAnsi="Arial" w:cs="Arial"/>
          <w:i/>
          <w:iCs/>
          <w:color w:val="3F3F46"/>
          <w:sz w:val="24"/>
          <w:szCs w:val="24"/>
          <w:bdr w:val="single" w:sz="2" w:space="0" w:color="E4E4E7" w:frame="1"/>
          <w:lang w:eastAsia="de-DE"/>
        </w:rPr>
        <w:t>Brane</w:t>
      </w:r>
      <w:proofErr w:type="spellEnd"/>
      <w:r w:rsidRPr="00D16CCF">
        <w:rPr>
          <w:rFonts w:ascii="Arial" w:eastAsia="Times New Roman" w:hAnsi="Arial" w:cs="Arial"/>
          <w:i/>
          <w:iCs/>
          <w:color w:val="3F3F46"/>
          <w:sz w:val="24"/>
          <w:szCs w:val="24"/>
          <w:bdr w:val="single" w:sz="2" w:space="0" w:color="E4E4E7" w:frame="1"/>
          <w:lang w:eastAsia="de-DE"/>
        </w:rPr>
        <w:t>-Funktion</w:t>
      </w:r>
      <w:r w:rsidRPr="00D16CCF">
        <w:rPr>
          <w:rFonts w:ascii="Arial" w:eastAsia="Times New Roman" w:hAnsi="Arial" w:cs="Arial"/>
          <w:color w:val="3F3F46"/>
          <w:sz w:val="24"/>
          <w:szCs w:val="24"/>
          <w:lang w:eastAsia="de-DE"/>
        </w:rPr>
        <w:t> eine innere Struktur. Sie weist jedem Punkt im Raum eine echte physikalische Eigenschaft zu, etwa Energie, Krümmung oder Potential. So erhält der Raum eine „Landschaft“: Hügel, Täler und Dynamiken, die zuständig sind für Bewegung, Kräfte und physikalische Prozesse.</w:t>
      </w:r>
    </w:p>
    <w:p w14:paraId="365EEED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6. </w:t>
      </w:r>
      <w:r w:rsidRPr="00D16CCF">
        <w:rPr>
          <w:rFonts w:ascii="Arial" w:eastAsia="Times New Roman" w:hAnsi="Arial" w:cs="Arial"/>
          <w:b/>
          <w:bCs/>
          <w:color w:val="18181B"/>
          <w:sz w:val="30"/>
          <w:szCs w:val="30"/>
          <w:bdr w:val="single" w:sz="2" w:space="0" w:color="E4E4E7" w:frame="1"/>
          <w:lang w:eastAsia="de-DE"/>
        </w:rPr>
        <w:t xml:space="preserve">Funktional erzeugte Metrik: Geometrie aus </w:t>
      </w:r>
      <w:proofErr w:type="spellStart"/>
      <w:r w:rsidRPr="00D16CCF">
        <w:rPr>
          <w:rFonts w:ascii="Arial" w:eastAsia="Times New Roman" w:hAnsi="Arial" w:cs="Arial"/>
          <w:b/>
          <w:bCs/>
          <w:color w:val="18181B"/>
          <w:sz w:val="30"/>
          <w:szCs w:val="30"/>
          <w:bdr w:val="single" w:sz="2" w:space="0" w:color="E4E4E7" w:frame="1"/>
          <w:lang w:eastAsia="de-DE"/>
        </w:rPr>
        <w:t>Brane</w:t>
      </w:r>
      <w:proofErr w:type="spellEnd"/>
      <w:r w:rsidRPr="00D16CCF">
        <w:rPr>
          <w:rFonts w:ascii="Arial" w:eastAsia="Times New Roman" w:hAnsi="Arial" w:cs="Arial"/>
          <w:b/>
          <w:bCs/>
          <w:color w:val="18181B"/>
          <w:sz w:val="30"/>
          <w:szCs w:val="30"/>
          <w:bdr w:val="single" w:sz="2" w:space="0" w:color="E4E4E7" w:frame="1"/>
          <w:lang w:eastAsia="de-DE"/>
        </w:rPr>
        <w:t>-Struktur</w:t>
      </w:r>
    </w:p>
    <w:p w14:paraId="72FE5971"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 xml:space="preserve">Aus dieser </w:t>
      </w:r>
      <w:proofErr w:type="spellStart"/>
      <w:r w:rsidRPr="00D16CCF">
        <w:rPr>
          <w:rFonts w:ascii="Arial" w:eastAsia="Times New Roman" w:hAnsi="Arial" w:cs="Arial"/>
          <w:color w:val="3F3F46"/>
          <w:sz w:val="24"/>
          <w:szCs w:val="24"/>
          <w:lang w:eastAsia="de-DE"/>
        </w:rPr>
        <w:t>Brane</w:t>
      </w:r>
      <w:proofErr w:type="spellEnd"/>
      <w:r w:rsidRPr="00D16CCF">
        <w:rPr>
          <w:rFonts w:ascii="Arial" w:eastAsia="Times New Roman" w:hAnsi="Arial" w:cs="Arial"/>
          <w:color w:val="3F3F46"/>
          <w:sz w:val="24"/>
          <w:szCs w:val="24"/>
          <w:lang w:eastAsia="de-DE"/>
        </w:rPr>
        <w:t>-Funktion lässt sich eine </w:t>
      </w:r>
      <w:r w:rsidRPr="00D16CCF">
        <w:rPr>
          <w:rFonts w:ascii="Arial" w:eastAsia="Times New Roman" w:hAnsi="Arial" w:cs="Arial"/>
          <w:i/>
          <w:iCs/>
          <w:color w:val="3F3F46"/>
          <w:sz w:val="24"/>
          <w:szCs w:val="24"/>
          <w:bdr w:val="single" w:sz="2" w:space="0" w:color="E4E4E7" w:frame="1"/>
          <w:lang w:eastAsia="de-DE"/>
        </w:rPr>
        <w:t>Metrik</w:t>
      </w:r>
      <w:r w:rsidRPr="00D16CCF">
        <w:rPr>
          <w:rFonts w:ascii="Arial" w:eastAsia="Times New Roman" w:hAnsi="Arial" w:cs="Arial"/>
          <w:color w:val="3F3F46"/>
          <w:sz w:val="24"/>
          <w:szCs w:val="24"/>
          <w:lang w:eastAsia="de-DE"/>
        </w:rPr>
        <w:t xml:space="preserve"> ableiten: Sie beschreibt, wie Abstände und Zeiten im Raum bestimmt werden. Anders als herkömmliche </w:t>
      </w:r>
      <w:r w:rsidRPr="00D16CCF">
        <w:rPr>
          <w:rFonts w:ascii="Arial" w:eastAsia="Times New Roman" w:hAnsi="Arial" w:cs="Arial"/>
          <w:color w:val="3F3F46"/>
          <w:sz w:val="24"/>
          <w:szCs w:val="24"/>
          <w:lang w:eastAsia="de-DE"/>
        </w:rPr>
        <w:lastRenderedPageBreak/>
        <w:t>Geometrien ist diese Metrik aber nicht vorgegeben, sondern </w:t>
      </w:r>
      <w:r w:rsidRPr="00D16CCF">
        <w:rPr>
          <w:rFonts w:ascii="Arial" w:eastAsia="Times New Roman" w:hAnsi="Arial" w:cs="Arial"/>
          <w:i/>
          <w:iCs/>
          <w:color w:val="3F3F46"/>
          <w:sz w:val="24"/>
          <w:szCs w:val="24"/>
          <w:bdr w:val="single" w:sz="2" w:space="0" w:color="E4E4E7" w:frame="1"/>
          <w:lang w:eastAsia="de-DE"/>
        </w:rPr>
        <w:t>ergibt sich</w:t>
      </w:r>
      <w:r w:rsidRPr="00D16CCF">
        <w:rPr>
          <w:rFonts w:ascii="Arial" w:eastAsia="Times New Roman" w:hAnsi="Arial" w:cs="Arial"/>
          <w:color w:val="3F3F46"/>
          <w:sz w:val="24"/>
          <w:szCs w:val="24"/>
          <w:lang w:eastAsia="de-DE"/>
        </w:rPr>
        <w:t xml:space="preserve"> aus der Struktur der </w:t>
      </w:r>
      <w:proofErr w:type="spellStart"/>
      <w:r w:rsidRPr="00D16CCF">
        <w:rPr>
          <w:rFonts w:ascii="Arial" w:eastAsia="Times New Roman" w:hAnsi="Arial" w:cs="Arial"/>
          <w:color w:val="3F3F46"/>
          <w:sz w:val="24"/>
          <w:szCs w:val="24"/>
          <w:lang w:eastAsia="de-DE"/>
        </w:rPr>
        <w:t>Brane</w:t>
      </w:r>
      <w:proofErr w:type="spellEnd"/>
      <w:r w:rsidRPr="00D16CCF">
        <w:rPr>
          <w:rFonts w:ascii="Arial" w:eastAsia="Times New Roman" w:hAnsi="Arial" w:cs="Arial"/>
          <w:color w:val="3F3F46"/>
          <w:sz w:val="24"/>
          <w:szCs w:val="24"/>
          <w:lang w:eastAsia="de-DE"/>
        </w:rPr>
        <w:t>-Funktion und deren Ableitungen. So erklärt sich z.B., warum Licht sich bei Gravitation anders verhält oder wie Zeitdilatation entsteht.</w:t>
      </w:r>
    </w:p>
    <w:p w14:paraId="22BA36FE"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7. </w:t>
      </w:r>
      <w:r w:rsidRPr="00D16CCF">
        <w:rPr>
          <w:rFonts w:ascii="Arial" w:eastAsia="Times New Roman" w:hAnsi="Arial" w:cs="Arial"/>
          <w:b/>
          <w:bCs/>
          <w:color w:val="18181B"/>
          <w:sz w:val="30"/>
          <w:szCs w:val="30"/>
          <w:bdr w:val="single" w:sz="2" w:space="0" w:color="E4E4E7" w:frame="1"/>
          <w:lang w:eastAsia="de-DE"/>
        </w:rPr>
        <w:t>Dynamik und Kausalität: Bewegung als Strukturprozess</w:t>
      </w:r>
    </w:p>
    <w:p w14:paraId="5CDC7A5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 xml:space="preserve">Die Bewegung von Objekten ist nicht einfach Reaktion auf Kräfte, sondern Folge der Veränderungen im Feld der </w:t>
      </w:r>
      <w:proofErr w:type="spellStart"/>
      <w:r w:rsidRPr="00D16CCF">
        <w:rPr>
          <w:rFonts w:ascii="Arial" w:eastAsia="Times New Roman" w:hAnsi="Arial" w:cs="Arial"/>
          <w:color w:val="3F3F46"/>
          <w:sz w:val="24"/>
          <w:szCs w:val="24"/>
          <w:lang w:eastAsia="de-DE"/>
        </w:rPr>
        <w:t>Brane</w:t>
      </w:r>
      <w:proofErr w:type="spellEnd"/>
      <w:r w:rsidRPr="00D16CCF">
        <w:rPr>
          <w:rFonts w:ascii="Arial" w:eastAsia="Times New Roman" w:hAnsi="Arial" w:cs="Arial"/>
          <w:color w:val="3F3F46"/>
          <w:sz w:val="24"/>
          <w:szCs w:val="24"/>
          <w:lang w:eastAsia="de-DE"/>
        </w:rPr>
        <w:t>-Funktion. Der Lagrange- und Hamilton-Formalismus der klassischen Physik wird hier interpretiert als Beschreibung dieser feldabhängigen Dynamik. Kausalität ist also kein vorgegebenes Gesetz, sondern ein Effekt der Raum-Zeit-Struktur selbst – abhängig von lokalen Feldkonfigurationen.</w:t>
      </w:r>
    </w:p>
    <w:p w14:paraId="114DAA0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8. </w:t>
      </w:r>
      <w:r w:rsidRPr="00D16CCF">
        <w:rPr>
          <w:rFonts w:ascii="Arial" w:eastAsia="Times New Roman" w:hAnsi="Arial" w:cs="Arial"/>
          <w:b/>
          <w:bCs/>
          <w:color w:val="18181B"/>
          <w:sz w:val="30"/>
          <w:szCs w:val="30"/>
          <w:bdr w:val="single" w:sz="2" w:space="0" w:color="E4E4E7" w:frame="1"/>
          <w:lang w:eastAsia="de-DE"/>
        </w:rPr>
        <w:t>Wechselwirkungen als Felder: Kraft durch Feldkonfigurationen</w:t>
      </w:r>
    </w:p>
    <w:p w14:paraId="6B7FB8C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Statt Kräfte als unsichtbare Linien im Raum zu denken, sehen wir sie als Auswirkungen von </w:t>
      </w:r>
      <w:r w:rsidRPr="00D16CCF">
        <w:rPr>
          <w:rFonts w:ascii="Arial" w:eastAsia="Times New Roman" w:hAnsi="Arial" w:cs="Arial"/>
          <w:i/>
          <w:iCs/>
          <w:color w:val="3F3F46"/>
          <w:sz w:val="24"/>
          <w:szCs w:val="24"/>
          <w:bdr w:val="single" w:sz="2" w:space="0" w:color="E4E4E7" w:frame="1"/>
          <w:lang w:eastAsia="de-DE"/>
        </w:rPr>
        <w:t>Feld-Funktionen</w:t>
      </w:r>
      <w:r w:rsidRPr="00D16CCF">
        <w:rPr>
          <w:rFonts w:ascii="Arial" w:eastAsia="Times New Roman" w:hAnsi="Arial" w:cs="Arial"/>
          <w:color w:val="3F3F46"/>
          <w:sz w:val="24"/>
          <w:szCs w:val="24"/>
          <w:lang w:eastAsia="de-DE"/>
        </w:rPr>
        <w:t>, die jedem Raumpunkt Werte (Skalar, Vektor, Tensor) zuweisen. Beispielsweise erzeugt das elektromagnetische Feld lokale Zustände, die geladene Teilchen beeinflussen. Auch Gravitation wird als Änderung der Metrik des Raumes durch das Gravitationsfeld verstanden.</w:t>
      </w:r>
    </w:p>
    <w:p w14:paraId="1DDFE6D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9. </w:t>
      </w:r>
      <w:r w:rsidRPr="00D16CCF">
        <w:rPr>
          <w:rFonts w:ascii="Arial" w:eastAsia="Times New Roman" w:hAnsi="Arial" w:cs="Arial"/>
          <w:b/>
          <w:bCs/>
          <w:color w:val="18181B"/>
          <w:sz w:val="30"/>
          <w:szCs w:val="30"/>
          <w:bdr w:val="single" w:sz="2" w:space="0" w:color="E4E4E7" w:frame="1"/>
          <w:lang w:eastAsia="de-DE"/>
        </w:rPr>
        <w:t>Akteur-Funktionen A(</w:t>
      </w:r>
      <w:proofErr w:type="spellStart"/>
      <w:proofErr w:type="gramStart"/>
      <w:r w:rsidRPr="00D16CCF">
        <w:rPr>
          <w:rFonts w:ascii="Arial" w:eastAsia="Times New Roman" w:hAnsi="Arial" w:cs="Arial"/>
          <w:b/>
          <w:bCs/>
          <w:color w:val="18181B"/>
          <w:sz w:val="30"/>
          <w:szCs w:val="30"/>
          <w:bdr w:val="single" w:sz="2" w:space="0" w:color="E4E4E7" w:frame="1"/>
          <w:lang w:eastAsia="de-DE"/>
        </w:rPr>
        <w:t>Ψ,x</w:t>
      </w:r>
      <w:proofErr w:type="gramEnd"/>
      <w:r w:rsidRPr="00D16CCF">
        <w:rPr>
          <w:rFonts w:ascii="Arial" w:eastAsia="Times New Roman" w:hAnsi="Arial" w:cs="Arial"/>
          <w:b/>
          <w:bCs/>
          <w:color w:val="18181B"/>
          <w:sz w:val="30"/>
          <w:szCs w:val="30"/>
          <w:bdr w:val="single" w:sz="2" w:space="0" w:color="E4E4E7" w:frame="1"/>
          <w:lang w:eastAsia="de-DE"/>
        </w:rPr>
        <w:t>,y,z,t</w:t>
      </w:r>
      <w:proofErr w:type="spellEnd"/>
      <w:r w:rsidRPr="00D16CCF">
        <w:rPr>
          <w:rFonts w:ascii="Arial" w:eastAsia="Times New Roman" w:hAnsi="Arial" w:cs="Arial"/>
          <w:b/>
          <w:bCs/>
          <w:color w:val="18181B"/>
          <w:sz w:val="30"/>
          <w:szCs w:val="30"/>
          <w:bdr w:val="single" w:sz="2" w:space="0" w:color="E4E4E7" w:frame="1"/>
          <w:lang w:eastAsia="de-DE"/>
        </w:rPr>
        <w:t>): Intentionale Systeme</w:t>
      </w:r>
    </w:p>
    <w:p w14:paraId="31A84D7B"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Nun kommen </w:t>
      </w:r>
      <w:r w:rsidRPr="00D16CCF">
        <w:rPr>
          <w:rFonts w:ascii="Arial" w:eastAsia="Times New Roman" w:hAnsi="Arial" w:cs="Arial"/>
          <w:i/>
          <w:iCs/>
          <w:color w:val="3F3F46"/>
          <w:sz w:val="24"/>
          <w:szCs w:val="24"/>
          <w:bdr w:val="single" w:sz="2" w:space="0" w:color="E4E4E7" w:frame="1"/>
          <w:lang w:eastAsia="de-DE"/>
        </w:rPr>
        <w:t>Handlungsfähige</w:t>
      </w:r>
      <w:r w:rsidRPr="00D16CCF">
        <w:rPr>
          <w:rFonts w:ascii="Arial" w:eastAsia="Times New Roman" w:hAnsi="Arial" w:cs="Arial"/>
          <w:color w:val="3F3F46"/>
          <w:sz w:val="24"/>
          <w:szCs w:val="24"/>
          <w:lang w:eastAsia="de-DE"/>
        </w:rPr>
        <w:t> ins Modell, genannt Akteure, die auf Feldzustände Ψ an bestimmten Raumpunkten und Zeiten reagieren. Ihre Akteur-Funktion ordnet Informationen aus der Umgebung gezielte Aktionen oder Entscheidungen zu – etwa ein Neuron feuert, ein Roboter bewegt sich oder ein Mensch handelt. Diese Funktion modelliert zielgerichtetes, intentional orientiertes Verhalten im System.</w:t>
      </w:r>
    </w:p>
    <w:p w14:paraId="20B12D1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10. </w:t>
      </w:r>
      <w:r w:rsidRPr="00D16CCF">
        <w:rPr>
          <w:rFonts w:ascii="Arial" w:eastAsia="Times New Roman" w:hAnsi="Arial" w:cs="Arial"/>
          <w:b/>
          <w:bCs/>
          <w:color w:val="18181B"/>
          <w:sz w:val="30"/>
          <w:szCs w:val="30"/>
          <w:bdr w:val="single" w:sz="2" w:space="0" w:color="E4E4E7" w:frame="1"/>
          <w:lang w:eastAsia="de-DE"/>
        </w:rPr>
        <w:t>Meta-Funktionen M(</w:t>
      </w:r>
      <w:proofErr w:type="spellStart"/>
      <w:proofErr w:type="gramStart"/>
      <w:r w:rsidRPr="00D16CCF">
        <w:rPr>
          <w:rFonts w:ascii="Arial" w:eastAsia="Times New Roman" w:hAnsi="Arial" w:cs="Arial"/>
          <w:b/>
          <w:bCs/>
          <w:color w:val="18181B"/>
          <w:sz w:val="30"/>
          <w:szCs w:val="30"/>
          <w:bdr w:val="single" w:sz="2" w:space="0" w:color="E4E4E7" w:frame="1"/>
          <w:lang w:eastAsia="de-DE"/>
        </w:rPr>
        <w:t>A,Ψ</w:t>
      </w:r>
      <w:proofErr w:type="gramEnd"/>
      <w:r w:rsidRPr="00D16CCF">
        <w:rPr>
          <w:rFonts w:ascii="Arial" w:eastAsia="Times New Roman" w:hAnsi="Arial" w:cs="Arial"/>
          <w:b/>
          <w:bCs/>
          <w:color w:val="18181B"/>
          <w:sz w:val="30"/>
          <w:szCs w:val="30"/>
          <w:bdr w:val="single" w:sz="2" w:space="0" w:color="E4E4E7" w:frame="1"/>
          <w:lang w:eastAsia="de-DE"/>
        </w:rPr>
        <w:t>,x,y,z,t</w:t>
      </w:r>
      <w:proofErr w:type="spellEnd"/>
      <w:r w:rsidRPr="00D16CCF">
        <w:rPr>
          <w:rFonts w:ascii="Arial" w:eastAsia="Times New Roman" w:hAnsi="Arial" w:cs="Arial"/>
          <w:b/>
          <w:bCs/>
          <w:color w:val="18181B"/>
          <w:sz w:val="30"/>
          <w:szCs w:val="30"/>
          <w:bdr w:val="single" w:sz="2" w:space="0" w:color="E4E4E7" w:frame="1"/>
          <w:lang w:eastAsia="de-DE"/>
        </w:rPr>
        <w:t>): Reflexive Beobachtung</w:t>
      </w:r>
    </w:p>
    <w:p w14:paraId="481AC6A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Diese Meta-Funktionen erfassen, wie Akteure nicht nur handeln, sondern auch beobachten und sich selbst reflektieren. Beobachtung ist nicht neutral, sondern eingebettet in das System selbst – man kann nicht „von außen“ schauen, sondern ist Teil der Struktur, die man betrachtet. Das Modell zeigt also, wie Bewusstsein, Interpretation und Selbstbewusstsein formal abgebildet werden können.</w:t>
      </w:r>
    </w:p>
    <w:p w14:paraId="464400EF"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11. </w:t>
      </w:r>
      <w:r w:rsidRPr="00D16CCF">
        <w:rPr>
          <w:rFonts w:ascii="Arial" w:eastAsia="Times New Roman" w:hAnsi="Arial" w:cs="Arial"/>
          <w:b/>
          <w:bCs/>
          <w:color w:val="18181B"/>
          <w:sz w:val="30"/>
          <w:szCs w:val="30"/>
          <w:bdr w:val="single" w:sz="2" w:space="0" w:color="E4E4E7" w:frame="1"/>
          <w:lang w:eastAsia="de-DE"/>
        </w:rPr>
        <w:t>Beobachter-Transformationen: Perspektivenwechsel modellieren</w:t>
      </w:r>
    </w:p>
    <w:p w14:paraId="39E4ABD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 xml:space="preserve">Unterschiedliche Akteure oder Beobachter können verschiedene Perspektiven auf dasselbe System haben. Beobachter-Transformationen sind mathematische Werkzeuge, um Wechsel zwischen solchen Perspektiven zu </w:t>
      </w:r>
      <w:proofErr w:type="spellStart"/>
      <w:r w:rsidRPr="00D16CCF">
        <w:rPr>
          <w:rFonts w:ascii="Arial" w:eastAsia="Times New Roman" w:hAnsi="Arial" w:cs="Arial"/>
          <w:color w:val="3F3F46"/>
          <w:sz w:val="24"/>
          <w:szCs w:val="24"/>
          <w:lang w:eastAsia="de-DE"/>
        </w:rPr>
        <w:t>formalieren</w:t>
      </w:r>
      <w:proofErr w:type="spellEnd"/>
      <w:r w:rsidRPr="00D16CCF">
        <w:rPr>
          <w:rFonts w:ascii="Arial" w:eastAsia="Times New Roman" w:hAnsi="Arial" w:cs="Arial"/>
          <w:color w:val="3F3F46"/>
          <w:sz w:val="24"/>
          <w:szCs w:val="24"/>
          <w:lang w:eastAsia="de-DE"/>
        </w:rPr>
        <w:t xml:space="preserve"> – z.B. Koordinatentransformationen, Paradigmenwechsel oder kognitive Umdeutungen. Dies macht das Modell flexibel genug, komplexe Realität aus verschiedenen Blickwinkeln zu verstehen.</w:t>
      </w:r>
    </w:p>
    <w:p w14:paraId="14A20B5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12. </w:t>
      </w:r>
      <w:r w:rsidRPr="00D16CCF">
        <w:rPr>
          <w:rFonts w:ascii="Arial" w:eastAsia="Times New Roman" w:hAnsi="Arial" w:cs="Arial"/>
          <w:b/>
          <w:bCs/>
          <w:color w:val="18181B"/>
          <w:sz w:val="30"/>
          <w:szCs w:val="30"/>
          <w:bdr w:val="single" w:sz="2" w:space="0" w:color="E4E4E7" w:frame="1"/>
          <w:lang w:eastAsia="de-DE"/>
        </w:rPr>
        <w:t>Integrale Funktionalität: Bedeutung entsteht durch Vernetzung</w:t>
      </w:r>
    </w:p>
    <w:p w14:paraId="279AAC9A"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lastRenderedPageBreak/>
        <w:t>Aus den lokalen Beobachtungen, Handlungen und Reflexionen entsteht eine </w:t>
      </w:r>
      <w:r w:rsidRPr="00D16CCF">
        <w:rPr>
          <w:rFonts w:ascii="Arial" w:eastAsia="Times New Roman" w:hAnsi="Arial" w:cs="Arial"/>
          <w:i/>
          <w:iCs/>
          <w:color w:val="3F3F46"/>
          <w:sz w:val="24"/>
          <w:szCs w:val="24"/>
          <w:bdr w:val="single" w:sz="2" w:space="0" w:color="E4E4E7" w:frame="1"/>
          <w:lang w:eastAsia="de-DE"/>
        </w:rPr>
        <w:t>integrale Funktionalität</w:t>
      </w:r>
      <w:r w:rsidRPr="00D16CCF">
        <w:rPr>
          <w:rFonts w:ascii="Arial" w:eastAsia="Times New Roman" w:hAnsi="Arial" w:cs="Arial"/>
          <w:color w:val="3F3F46"/>
          <w:sz w:val="24"/>
          <w:szCs w:val="24"/>
          <w:lang w:eastAsia="de-DE"/>
        </w:rPr>
        <w:t>: ein globales, kohärentes Bedeutungsfeld, das Muster, Geschichte und Wertungen verknüpft. So formt sich ein zusammenhängendes Sinnsystem, das weit mehr ist als die Summe seiner Teile – etwa Bewusstsein, Kultur oder kollektive Identität.</w:t>
      </w:r>
    </w:p>
    <w:p w14:paraId="73DC6429"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13. </w:t>
      </w:r>
      <w:r w:rsidRPr="00D16CCF">
        <w:rPr>
          <w:rFonts w:ascii="Arial" w:eastAsia="Times New Roman" w:hAnsi="Arial" w:cs="Arial"/>
          <w:b/>
          <w:bCs/>
          <w:color w:val="18181B"/>
          <w:sz w:val="30"/>
          <w:szCs w:val="30"/>
          <w:bdr w:val="single" w:sz="2" w:space="0" w:color="E4E4E7" w:frame="1"/>
          <w:lang w:eastAsia="de-DE"/>
        </w:rPr>
        <w:t>Bedeutungsfelder und semantische Attraktoren</w:t>
      </w:r>
    </w:p>
    <w:p w14:paraId="68FB7F6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Bedeutung ordnet sich in sogenannten </w:t>
      </w:r>
      <w:r w:rsidRPr="00D16CCF">
        <w:rPr>
          <w:rFonts w:ascii="Arial" w:eastAsia="Times New Roman" w:hAnsi="Arial" w:cs="Arial"/>
          <w:i/>
          <w:iCs/>
          <w:color w:val="3F3F46"/>
          <w:sz w:val="24"/>
          <w:szCs w:val="24"/>
          <w:bdr w:val="single" w:sz="2" w:space="0" w:color="E4E4E7" w:frame="1"/>
          <w:lang w:eastAsia="de-DE"/>
        </w:rPr>
        <w:t>Bedeutungsfeldern</w:t>
      </w:r>
      <w:r w:rsidRPr="00D16CCF">
        <w:rPr>
          <w:rFonts w:ascii="Arial" w:eastAsia="Times New Roman" w:hAnsi="Arial" w:cs="Arial"/>
          <w:color w:val="3F3F46"/>
          <w:sz w:val="24"/>
          <w:szCs w:val="24"/>
          <w:lang w:eastAsia="de-DE"/>
        </w:rPr>
        <w:t>, in denen ganze Gruppen von Ideen oder Erlebnissen zusammenhängen. </w:t>
      </w:r>
      <w:r w:rsidRPr="00D16CCF">
        <w:rPr>
          <w:rFonts w:ascii="Arial" w:eastAsia="Times New Roman" w:hAnsi="Arial" w:cs="Arial"/>
          <w:i/>
          <w:iCs/>
          <w:color w:val="3F3F46"/>
          <w:sz w:val="24"/>
          <w:szCs w:val="24"/>
          <w:bdr w:val="single" w:sz="2" w:space="0" w:color="E4E4E7" w:frame="1"/>
          <w:lang w:eastAsia="de-DE"/>
        </w:rPr>
        <w:t>Semantische Attraktoren</w:t>
      </w:r>
      <w:r w:rsidRPr="00D16CCF">
        <w:rPr>
          <w:rFonts w:ascii="Arial" w:eastAsia="Times New Roman" w:hAnsi="Arial" w:cs="Arial"/>
          <w:color w:val="3F3F46"/>
          <w:sz w:val="24"/>
          <w:szCs w:val="24"/>
          <w:lang w:eastAsia="de-DE"/>
        </w:rPr>
        <w:t> sind stabile Deutungsmuster, die Menschen Orientierung geben – etwa moralische Werte, Narrative oder kulturelle Schemata. Diese Felder sind dynamisch, können sich verschieben oder widerstreiten.</w:t>
      </w:r>
    </w:p>
    <w:p w14:paraId="1352FAF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14. </w:t>
      </w:r>
      <w:r w:rsidRPr="00D16CCF">
        <w:rPr>
          <w:rFonts w:ascii="Arial" w:eastAsia="Times New Roman" w:hAnsi="Arial" w:cs="Arial"/>
          <w:b/>
          <w:bCs/>
          <w:color w:val="18181B"/>
          <w:sz w:val="30"/>
          <w:szCs w:val="30"/>
          <w:bdr w:val="single" w:sz="2" w:space="0" w:color="E4E4E7" w:frame="1"/>
          <w:lang w:eastAsia="de-DE"/>
        </w:rPr>
        <w:t>Meta-Strukturen symbolischer Welten</w:t>
      </w:r>
    </w:p>
    <w:p w14:paraId="7172B530"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Diese Bedeutungsfelder sind eingebettet in übergeordnete </w:t>
      </w:r>
      <w:r w:rsidRPr="00D16CCF">
        <w:rPr>
          <w:rFonts w:ascii="Arial" w:eastAsia="Times New Roman" w:hAnsi="Arial" w:cs="Arial"/>
          <w:i/>
          <w:iCs/>
          <w:color w:val="3F3F46"/>
          <w:sz w:val="24"/>
          <w:szCs w:val="24"/>
          <w:bdr w:val="single" w:sz="2" w:space="0" w:color="E4E4E7" w:frame="1"/>
          <w:lang w:eastAsia="de-DE"/>
        </w:rPr>
        <w:t>symbolische Welten</w:t>
      </w:r>
      <w:r w:rsidRPr="00D16CCF">
        <w:rPr>
          <w:rFonts w:ascii="Arial" w:eastAsia="Times New Roman" w:hAnsi="Arial" w:cs="Arial"/>
          <w:color w:val="3F3F46"/>
          <w:sz w:val="24"/>
          <w:szCs w:val="24"/>
          <w:lang w:eastAsia="de-DE"/>
        </w:rPr>
        <w:t>, also komplexe kulturelle, soziale und institutionelle Ordnungen, die Normen, Sprache, Rituale und Institutionen umfassen. Solche Meta-Strukturen stabilisieren Weltbilder, erzeugen soziale Identität und steuern kollektives Verhalten.</w:t>
      </w:r>
    </w:p>
    <w:p w14:paraId="589DDC03"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15. </w:t>
      </w:r>
      <w:r w:rsidRPr="00D16CCF">
        <w:rPr>
          <w:rFonts w:ascii="Arial" w:eastAsia="Times New Roman" w:hAnsi="Arial" w:cs="Arial"/>
          <w:b/>
          <w:bCs/>
          <w:color w:val="18181B"/>
          <w:sz w:val="30"/>
          <w:szCs w:val="30"/>
          <w:bdr w:val="single" w:sz="2" w:space="0" w:color="E4E4E7" w:frame="1"/>
          <w:lang w:eastAsia="de-DE"/>
        </w:rPr>
        <w:t>Reflexion, Diskurs und Metakognition: Wandel und Selbstbeobachtung</w:t>
      </w:r>
    </w:p>
    <w:p w14:paraId="3B0E3662"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Systeme können ihre eigenen Strukturen hinterfragen und verändern durch Reflexion (Selbstbeobachtung), Diskurs (gemeinsamen Bedeutungsprozess) und Metakognition (Kontrolle der eigenen Denkprozesse). Diese Fähigkeiten sind entscheidend, damit Kulturen, Wissenschaft und Individuen sich weiterentwickeln und neue Bedeutungen schaffen können.</w:t>
      </w:r>
    </w:p>
    <w:p w14:paraId="2B491888"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16. </w:t>
      </w:r>
      <w:r w:rsidRPr="00D16CCF">
        <w:rPr>
          <w:rFonts w:ascii="Arial" w:eastAsia="Times New Roman" w:hAnsi="Arial" w:cs="Arial"/>
          <w:b/>
          <w:bCs/>
          <w:color w:val="18181B"/>
          <w:sz w:val="30"/>
          <w:szCs w:val="30"/>
          <w:bdr w:val="single" w:sz="2" w:space="0" w:color="E4E4E7" w:frame="1"/>
          <w:lang w:eastAsia="de-DE"/>
        </w:rPr>
        <w:t>Semantische Evolution und kulturelle Entwicklung</w:t>
      </w:r>
    </w:p>
    <w:p w14:paraId="2E3EE576"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Bedeutungssysteme unterliegen einem evolutionären Prozess: Sie entstehen, verändern sich, werden vererbt oder gehen verloren. Kulturelle Entwicklung ist ein nicht-linearer, komplexer Prozess von Tradierung, Innovation und Ko-Evolution mit Umwelt- und sozialen Faktoren.</w:t>
      </w:r>
    </w:p>
    <w:p w14:paraId="3DF5A15B"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17. </w:t>
      </w:r>
      <w:r w:rsidRPr="00D16CCF">
        <w:rPr>
          <w:rFonts w:ascii="Arial" w:eastAsia="Times New Roman" w:hAnsi="Arial" w:cs="Arial"/>
          <w:b/>
          <w:bCs/>
          <w:color w:val="18181B"/>
          <w:sz w:val="30"/>
          <w:szCs w:val="30"/>
          <w:bdr w:val="single" w:sz="2" w:space="0" w:color="E4E4E7" w:frame="1"/>
          <w:lang w:eastAsia="de-DE"/>
        </w:rPr>
        <w:t>Metatheorie intentionaler Systeme: Alles im großen Zusammenhang</w:t>
      </w:r>
    </w:p>
    <w:p w14:paraId="133BF076"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Das Modell integriert physikalische, biologische, kognitive und kulturelle Ebenen zu einer Metatheorie, die beschreibt, wie intentionale Systeme (mit Zielen und Bedeutung) entstehen, sich entwickeln und miteinander interagieren. Sie zeigt, wie Raum, Zeit, Struktur, Sinn und Reflexion zusammenwirken.</w:t>
      </w:r>
    </w:p>
    <w:p w14:paraId="7D848E85"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18. </w:t>
      </w:r>
      <w:r w:rsidRPr="00D16CCF">
        <w:rPr>
          <w:rFonts w:ascii="Arial" w:eastAsia="Times New Roman" w:hAnsi="Arial" w:cs="Arial"/>
          <w:b/>
          <w:bCs/>
          <w:color w:val="18181B"/>
          <w:sz w:val="30"/>
          <w:szCs w:val="30"/>
          <w:bdr w:val="single" w:sz="2" w:space="0" w:color="E4E4E7" w:frame="1"/>
          <w:lang w:eastAsia="de-DE"/>
        </w:rPr>
        <w:t>Methodische Konsequenzen: Wie erforschen und simulieren wir das?</w:t>
      </w:r>
    </w:p>
    <w:p w14:paraId="615C723C"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lastRenderedPageBreak/>
        <w:t>Das Modell fordert Methoden, die selbst reflexiv sind und komplexe, funktionale Netzwerke abbilden – beispielsweise Simulationen, diskursanalytische Verfahren oder phänomenologische Erhebungen. Es geht darum, systemische Dynamiken nicht nur zu messen, sondern selbst zu verstehen und mitzugestalten.</w:t>
      </w:r>
    </w:p>
    <w:p w14:paraId="3297539F"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lang w:eastAsia="de-DE"/>
        </w:rPr>
        <w:t>19. </w:t>
      </w:r>
      <w:r w:rsidRPr="00D16CCF">
        <w:rPr>
          <w:rFonts w:ascii="Arial" w:eastAsia="Times New Roman" w:hAnsi="Arial" w:cs="Arial"/>
          <w:b/>
          <w:bCs/>
          <w:color w:val="18181B"/>
          <w:sz w:val="30"/>
          <w:szCs w:val="30"/>
          <w:bdr w:val="single" w:sz="2" w:space="0" w:color="E4E4E7" w:frame="1"/>
          <w:lang w:eastAsia="de-DE"/>
        </w:rPr>
        <w:t>Ethik und Verantwortung: Handeln in funktionalen Systemen</w:t>
      </w:r>
    </w:p>
    <w:p w14:paraId="726FBCD9"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Mit der Einführung von Akteur-Funktionen und reflexiven Meta-Funktionen entsteht die Frage nach Verantwortung. Systeme (menschliche oder technische) treffen Handlungen innerhalb ethischer Rahmen. Verantwortung wird hier als interne Fähigkeit verstanden, Konsequenzen abzuschätzen und mögliche Folgen mit einzubeziehen. Insbesondere in KI-Systemen sind solche ethischen Reflexionen zentral.</w:t>
      </w:r>
    </w:p>
    <w:p w14:paraId="43ACB29D"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D16CCF">
        <w:rPr>
          <w:rFonts w:ascii="Arial" w:eastAsia="Times New Roman" w:hAnsi="Arial" w:cs="Arial"/>
          <w:b/>
          <w:bCs/>
          <w:color w:val="18181B"/>
          <w:sz w:val="30"/>
          <w:szCs w:val="30"/>
          <w:bdr w:val="single" w:sz="2" w:space="0" w:color="E4E4E7" w:frame="1"/>
          <w:lang w:eastAsia="de-DE"/>
        </w:rPr>
        <w:t>Fazit</w:t>
      </w:r>
    </w:p>
    <w:p w14:paraId="534D0C86" w14:textId="77777777" w:rsidR="00D16CCF" w:rsidRPr="00D16CCF" w:rsidRDefault="00D16CCF" w:rsidP="00D16CC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16CCF">
        <w:rPr>
          <w:rFonts w:ascii="Arial" w:eastAsia="Times New Roman" w:hAnsi="Arial" w:cs="Arial"/>
          <w:color w:val="3F3F46"/>
          <w:sz w:val="24"/>
          <w:szCs w:val="24"/>
          <w:lang w:eastAsia="de-DE"/>
        </w:rPr>
        <w:t>Das mathematische Modell der funktionalen Bezugssysteme beschreibt, wie aus einem grundlegenden Nichts komplexe Strukturen von Raum, Bedeutung, Handlung und Reflexion entstehen. Es integriert physikalische, kognitive und soziale Prozesse in einem dynamischen, flexiblen System. Dadurch liefert es eine neue Sicht auf die Welt als vernetzte, sich selbst modellierende und bedeutungsvoll strukturierte Realität – mit spannenden Anwendungen in Physik, Philosophie, Sozialwissenschaften, Technik und Ethik.</w:t>
      </w:r>
    </w:p>
    <w:p w14:paraId="08D93210"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CF"/>
    <w:rsid w:val="00106528"/>
    <w:rsid w:val="008871CF"/>
    <w:rsid w:val="009032D7"/>
    <w:rsid w:val="00D16C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B5BA"/>
  <w15:chartTrackingRefBased/>
  <w15:docId w15:val="{42A876A1-CA6F-4B11-B9C2-6387E771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D16CC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D16CCF"/>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D16CC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16CCF"/>
    <w:rPr>
      <w:b/>
      <w:bCs/>
    </w:rPr>
  </w:style>
  <w:style w:type="character" w:styleId="Hervorhebung">
    <w:name w:val="Emphasis"/>
    <w:basedOn w:val="Absatz-Standardschriftart"/>
    <w:uiPriority w:val="20"/>
    <w:qFormat/>
    <w:rsid w:val="00D16C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27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1160</Words>
  <Characters>7309</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2025-06-02T10:46:00Z</dcterms:created>
  <dcterms:modified xsi:type="dcterms:W3CDTF">2025-06-02T10:48:00Z</dcterms:modified>
</cp:coreProperties>
</file>