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D7388" w14:textId="4A177565" w:rsidR="000072D7" w:rsidRDefault="000072D7" w:rsidP="000072D7">
      <w:pPr>
        <w:pStyle w:val="berschrift1"/>
      </w:pPr>
      <w:r w:rsidRPr="000072D7">
        <w:t xml:space="preserve">Kapitel 1: </w:t>
      </w:r>
    </w:p>
    <w:p w14:paraId="18240739" w14:textId="0D695911" w:rsidR="00BC6FF6" w:rsidRDefault="00BC6FF6" w:rsidP="00BC6FF6">
      <w:r w:rsidRPr="00BC6FF6">
        <w:t>Die vorliegende Arbeit geht von der Beobachtung aus, dass Lernprozesse in offenen, komplexen Settings häufig an Orientierungsverlust leiden: Lernende wissen nicht, wie sie ihren Denkweg strukturieren oder wann ein Reflexionspunkt erreicht ist. Klassische didaktische Modelle setzen oft auf Inhalte oder Ziele, die den Prozess von außen steuern. Doch gerade dort, wo Lernprozesse emergent verlaufen, erweisen sich solche Vorgaben als unzureichend. Hier setzt das Funktionale Raum-Zeit-Kohärenzsystem (FRZK) an, das in Kapitel 3 theoretisch fundiert wird. Es bietet eine Architektur, mit der sich Lernbewegungen als Raum-Zeit-Konstruktionen modellieren lassen – nicht normierend, sondern strukturierend. Damit eröffnet es eine methodische Grundlage, die Lernende wie Lehrende gleichermaßen in die Lage versetzt, Orientierung aus dem Prozess selbst heraus zu gewinnen.</w:t>
      </w:r>
    </w:p>
    <w:p w14:paraId="0D661A15" w14:textId="77777777" w:rsidR="006B3CC8" w:rsidRDefault="00B22CA9" w:rsidP="00BB6463">
      <w:r w:rsidRPr="00B22CA9">
        <w:t xml:space="preserve">Die Problemstellung des FRZK fügt sich in aktuelle Forschungsdiskurse ein, die in unterschiedlichen Disziplinen die Emergenz von Raum, Zeit und Erkenntnis thematisieren. </w:t>
      </w:r>
      <w:r w:rsidR="006B3CC8" w:rsidRPr="006B3CC8">
        <w:t>In der Physik wird zunehmend diskutiert, dass Raumzeit nicht fundamental, sondern emergent ist (</w:t>
      </w:r>
      <w:proofErr w:type="spellStart"/>
      <w:r w:rsidR="006B3CC8" w:rsidRPr="006B3CC8">
        <w:t>Rovelli</w:t>
      </w:r>
      <w:proofErr w:type="spellEnd"/>
      <w:r w:rsidR="006B3CC8" w:rsidRPr="006B3CC8">
        <w:t xml:space="preserve">, Carlo, </w:t>
      </w:r>
      <w:r w:rsidR="006B3CC8" w:rsidRPr="006B3CC8">
        <w:rPr>
          <w:i/>
          <w:iCs/>
        </w:rPr>
        <w:t xml:space="preserve">The Order </w:t>
      </w:r>
      <w:proofErr w:type="spellStart"/>
      <w:r w:rsidR="006B3CC8" w:rsidRPr="006B3CC8">
        <w:rPr>
          <w:i/>
          <w:iCs/>
        </w:rPr>
        <w:t>of</w:t>
      </w:r>
      <w:proofErr w:type="spellEnd"/>
      <w:r w:rsidR="006B3CC8" w:rsidRPr="006B3CC8">
        <w:rPr>
          <w:i/>
          <w:iCs/>
        </w:rPr>
        <w:t xml:space="preserve"> Time</w:t>
      </w:r>
      <w:r w:rsidR="006B3CC8" w:rsidRPr="006B3CC8">
        <w:t>, 2018, S. 36 ff.)</w:t>
      </w:r>
      <w:r w:rsidRPr="00B22CA9">
        <w:t xml:space="preserve">. </w:t>
      </w:r>
    </w:p>
    <w:p w14:paraId="6DCF0D4E" w14:textId="741793A0" w:rsidR="00B22CA9" w:rsidRPr="00B22CA9" w:rsidRDefault="00B22CA9" w:rsidP="00BB6463">
      <w:r w:rsidRPr="00B22CA9">
        <w:t>In der Systemtheorie und Kybernetik stehen Selbstreferenz, Beobachtung zweiter Ordnung und autopoietische Strukturen im Vordergrund [3][4]. In der Didaktik wiederum wird verstärkt nach Modellen gesucht, die Lernprozesse nicht linear, sondern komplex, rekursiv und reflexiv beschreiben können</w:t>
      </w:r>
      <w:r w:rsidR="006B3CC8">
        <w:t>. E</w:t>
      </w:r>
      <w:r w:rsidR="006B3CC8" w:rsidRPr="006B3CC8">
        <w:t xml:space="preserve">in ausführlicher Ansatz hierzu findet sich bei </w:t>
      </w:r>
      <w:proofErr w:type="spellStart"/>
      <w:r w:rsidR="006B3CC8" w:rsidRPr="006B3CC8">
        <w:t>Sfard</w:t>
      </w:r>
      <w:proofErr w:type="spellEnd"/>
      <w:r w:rsidR="006B3CC8" w:rsidRPr="006B3CC8">
        <w:t xml:space="preserve"> (</w:t>
      </w:r>
      <w:proofErr w:type="spellStart"/>
      <w:r w:rsidR="006B3CC8" w:rsidRPr="006B3CC8">
        <w:t>Sfard</w:t>
      </w:r>
      <w:proofErr w:type="spellEnd"/>
      <w:r w:rsidR="006B3CC8" w:rsidRPr="006B3CC8">
        <w:t xml:space="preserve">, Anna, </w:t>
      </w:r>
      <w:proofErr w:type="spellStart"/>
      <w:r w:rsidR="006B3CC8" w:rsidRPr="006B3CC8">
        <w:rPr>
          <w:i/>
          <w:iCs/>
        </w:rPr>
        <w:t>Thinking</w:t>
      </w:r>
      <w:proofErr w:type="spellEnd"/>
      <w:r w:rsidR="006B3CC8" w:rsidRPr="006B3CC8">
        <w:rPr>
          <w:i/>
          <w:iCs/>
        </w:rPr>
        <w:t xml:space="preserve"> </w:t>
      </w:r>
      <w:proofErr w:type="spellStart"/>
      <w:r w:rsidR="006B3CC8" w:rsidRPr="006B3CC8">
        <w:rPr>
          <w:i/>
          <w:iCs/>
        </w:rPr>
        <w:t>as</w:t>
      </w:r>
      <w:proofErr w:type="spellEnd"/>
      <w:r w:rsidR="006B3CC8" w:rsidRPr="006B3CC8">
        <w:rPr>
          <w:i/>
          <w:iCs/>
        </w:rPr>
        <w:t xml:space="preserve"> Communication</w:t>
      </w:r>
      <w:r w:rsidR="006B3CC8" w:rsidRPr="006B3CC8">
        <w:t>, 2008, S. 33–55).</w:t>
      </w:r>
      <w:r w:rsidRPr="00B22CA9">
        <w:t xml:space="preserve"> [5][6].</w:t>
      </w:r>
      <w:r w:rsidR="006B3CC8" w:rsidRPr="006B3CC8">
        <w:t xml:space="preserve"> </w:t>
      </w:r>
      <w:r w:rsidR="006B3CC8">
        <w:t>D</w:t>
      </w:r>
      <w:r w:rsidR="006B3CC8" w:rsidRPr="006B3CC8">
        <w:t xml:space="preserve">iese Perspektiven sind zentral für die Beschreibung rekursiver Beobachtungsprozesse (Luhmann, Niklas, </w:t>
      </w:r>
      <w:r w:rsidR="006B3CC8" w:rsidRPr="006B3CC8">
        <w:rPr>
          <w:i/>
          <w:iCs/>
        </w:rPr>
        <w:t>Soziale Systeme</w:t>
      </w:r>
      <w:r w:rsidR="006B3CC8" w:rsidRPr="006B3CC8">
        <w:t>, 1984, S. 46 ff.).</w:t>
      </w:r>
    </w:p>
    <w:p w14:paraId="3B3E5096" w14:textId="77777777" w:rsidR="00B22CA9" w:rsidRPr="00B22CA9" w:rsidRDefault="00B22CA9" w:rsidP="00BB6463">
      <w:r w:rsidRPr="00B22CA9">
        <w:t>Das FRZK positioniert sich an der Schnittstelle dieser Diskurse, indem es eine konsistente Architektur bereitstellt, die die genannten Fragestellungen formalisiert und interdisziplinär anschlussfähig macht. Während Kapitel 2 und 3 die theoretischen und modellarchitektonischen Grundlagen dieser Perspektive entfalten, greift Kapitel 1 bereits auf diese Struktur vor, um die Forschungslücke zu markieren: Der Übergang von der Leere (</w:t>
      </w:r>
      <w:r w:rsidRPr="00B22CA9">
        <w:rPr>
          <w:rFonts w:ascii="Cambria Math" w:hAnsi="Cambria Math" w:cs="Cambria Math"/>
        </w:rPr>
        <w:t>∅</w:t>
      </w:r>
      <w:r w:rsidRPr="00B22CA9">
        <w:t>) zum Initialpunkt (I) in Kapitel 3 bildet nicht nur einen mathematischen Formalismus, sondern zugleich den erkenntnistheoretischen Schlüssel, um Emergenz ohne ontologische Voraussetzungen zu verstehen. Diese Grundoperation wird im weiteren Verlauf sowohl für die Entwicklung modelllogischer Vorhersagen (Kapitel 4) als auch für die didaktische Anwendung (Kapitel 6) zentral sein.</w:t>
      </w:r>
    </w:p>
    <w:p w14:paraId="0A045836" w14:textId="77777777" w:rsidR="00BC6FF6" w:rsidRDefault="00000000" w:rsidP="00BC6FF6">
      <w:r>
        <w:pict w14:anchorId="427E8014">
          <v:rect id="_x0000_i1025" style="width:0;height:1.5pt" o:hralign="center" o:hrstd="t" o:hr="t" fillcolor="#a0a0a0" stroked="f"/>
        </w:pict>
      </w:r>
    </w:p>
    <w:p w14:paraId="5D95F94F" w14:textId="7B8D4EB1" w:rsidR="000072D7" w:rsidRDefault="000072D7" w:rsidP="00BC6FF6">
      <w:pPr>
        <w:pStyle w:val="berschrift2"/>
        <w:numPr>
          <w:ilvl w:val="1"/>
          <w:numId w:val="11"/>
        </w:numPr>
      </w:pPr>
      <w:r w:rsidRPr="000072D7">
        <w:t>Einleitung</w:t>
      </w:r>
      <w:r>
        <w:t xml:space="preserve"> oder wie diese Arbeit entstanden ist</w:t>
      </w:r>
    </w:p>
    <w:p w14:paraId="3FDF7B63" w14:textId="7C6CF008" w:rsidR="00BC6FF6" w:rsidRPr="00BC6FF6" w:rsidRDefault="00BC6FF6" w:rsidP="00BB6463">
      <w:pPr>
        <w:pStyle w:val="berschrift3"/>
      </w:pPr>
      <w:r>
        <w:t>1.1.1 Praktisches Beispiel Textaufgabe</w:t>
      </w:r>
    </w:p>
    <w:p w14:paraId="65437270" w14:textId="4CF582DD" w:rsidR="000072D7" w:rsidRDefault="000072D7" w:rsidP="000072D7">
      <w:r>
        <w:t>Begonnen hat es mit mehreren Situationen aus meinem Nachhilfeunterricht, in denen ich festgestellt habe, dass ein Großteil meiner Schüler Probleme beim Verständnis eines Bezugssystems haben.</w:t>
      </w:r>
    </w:p>
    <w:p w14:paraId="01AA27DD" w14:textId="782CD6C4" w:rsidR="000072D7" w:rsidRDefault="000072D7" w:rsidP="000072D7">
      <w:r>
        <w:t xml:space="preserve">Beispiel 1: Eine Schülerin 3. Klasse Grundschule sollte die Aufgabe: „Ein Bauer hat 173 Kartoffeln und 8 Säcke. Wieviel Kartoffeln kommen in einen Sack und wie viele bleiben übrig?“. Mein Standardansatz zur Lösung von Textaufgaben besteht darin, alles, was </w:t>
      </w:r>
      <w:r>
        <w:lastRenderedPageBreak/>
        <w:t>gegeben ist, mit blau und alles, was gesucht ist, mit grün zu unterstreichen, dann die Angaben in den Notizblock zu übertragen und schließlich zu lösen. Ich habe der Schülerin diesen Ansatz empfohlen und ihr aufgetragen, die Aufgabe zu lösen. Nach etwa 15 Minuten habe ich versucht die Lösung zu kontrollieren und festgestellt, dass die Schülerin die gesamte Aufgabe mit blau unterstrichen hatte und in ihren Notizblock 1:1 übernommen hatte.</w:t>
      </w:r>
    </w:p>
    <w:p w14:paraId="665BAAD2" w14:textId="7D53232A" w:rsidR="00351660" w:rsidRDefault="00EF084C" w:rsidP="000072D7">
      <w:r>
        <w:t>Man könnte jetzt sagen, dass die Aufgabe falsch gelöst wurde. Ich bin nach reiflicher Überlegung aber darauf gestoßen, dass die Schülerin genau das, getan hatte, was ich als Lösungsansatz empfohlen habe. Nur zeigt sich hier, dass die Schülerin keinen Bezug zu Bauern und Kartoffeln hat – diese Fakten liegen außerhalb ihrer Lebenswelt. In ihrem Bezugssystem erscheint die Aufgabe als Ganzes und wurde richtigerweise als gegeben in den Notizblock übernommen. In ihrem Bezugssystem gibt es keine Lösung</w:t>
      </w:r>
      <w:r w:rsidR="00351660">
        <w:t>. Kognitiv ist hier aber eine beachtliche Leistung erbracht worden auch wenn die Aufgabe im klassischen Sinn nicht gelöst wurde.</w:t>
      </w:r>
    </w:p>
    <w:p w14:paraId="7978F7BE" w14:textId="6FA1BADE" w:rsidR="00BC6FF6" w:rsidRDefault="00BC6FF6" w:rsidP="000072D7">
      <w:r>
        <w:t xml:space="preserve">Ich habe dann mit der Schülerin ein inkrementelles Setup auf einem leeren Blatt Papier erarbeitet. „Anlage 1A - </w:t>
      </w:r>
    </w:p>
    <w:p w14:paraId="1BF95BBE" w14:textId="77777777" w:rsidR="00BC6FF6" w:rsidRDefault="00000000" w:rsidP="00BC6FF6">
      <w:r>
        <w:pict w14:anchorId="47337416">
          <v:rect id="_x0000_i1026" style="width:0;height:1.5pt" o:hralign="center" o:hrstd="t" o:hr="t" fillcolor="#a0a0a0" stroked="f"/>
        </w:pict>
      </w:r>
    </w:p>
    <w:p w14:paraId="1D84A2B3" w14:textId="61FD7FA6" w:rsidR="00BC6FF6" w:rsidRPr="00BC6FF6" w:rsidRDefault="00BC6FF6" w:rsidP="00BB6463">
      <w:pPr>
        <w:pStyle w:val="berschrift3"/>
      </w:pPr>
      <w:r>
        <w:t>1.1.2 Praktisches Beispiel lineare Gleichungen</w:t>
      </w:r>
    </w:p>
    <w:p w14:paraId="5CC9B56F" w14:textId="1574DAE6" w:rsidR="00175519" w:rsidRPr="00175519" w:rsidRDefault="00175519" w:rsidP="00FE51E9">
      <w:r w:rsidRPr="00175519">
        <w:t xml:space="preserve">Zwei Schülerinnen aus der 9. Klasse Gymnasium standen vor der Aufgabe: „Wie würdest du deinem besten Freund oder deiner besten Freundin erklären, was eine lineare Gleichung ist?“ Die Aufgabe zielte darauf ab, ein grundlegendes Verständnis für lineare Funktionen zu entwickeln, indem die Schülerinnen den Begriff selbstständig formulieren und ihre eigenen Worte finden sollten, um diese mathematische Beziehung zu erklären. Doch </w:t>
      </w:r>
      <w:proofErr w:type="gramStart"/>
      <w:r w:rsidR="006E78CF" w:rsidRPr="00175519">
        <w:t>anstatt eine klare Vorstellung</w:t>
      </w:r>
      <w:proofErr w:type="gramEnd"/>
      <w:r w:rsidRPr="00175519">
        <w:t xml:space="preserve"> von linearen Gleichung zu entwickeln, standen die Schülerinnen vor einer mentalen Blockade.</w:t>
      </w:r>
    </w:p>
    <w:p w14:paraId="41423EF7" w14:textId="77777777" w:rsidR="00175519" w:rsidRPr="00175519" w:rsidRDefault="00175519" w:rsidP="00FE51E9">
      <w:r w:rsidRPr="00175519">
        <w:t>Bei einer ersten Rückmeldung gaben beide Schülerinnen an, dass sie nicht wüssten, was sie in ihrer Antwort sagen sollten. Sie hatten Schwierigkeiten, eine lineare Funktion zu erklären, weil sie den Begriff nicht in ein für sie verständliches Bezugssystem integrieren konnten. Ihre Unsicherheit rührte nicht nur von einem mangelnden Wissen über mathematische Operationen her, sondern vielmehr von einer nicht vorhandenen Verortung der linearen Gleichung im Kontext ihrer eigenen Erfahrungswelt.</w:t>
      </w:r>
    </w:p>
    <w:p w14:paraId="25764E4B" w14:textId="77777777" w:rsidR="00175519" w:rsidRPr="00175519" w:rsidRDefault="00175519" w:rsidP="00FE51E9">
      <w:r w:rsidRPr="00175519">
        <w:t>Eine der Schülerinnen äußerte: „Was ist das, eine Linie? Es sind doch Zahlen, aber wie hängen die zusammen?“ Sie hatte Schwierigkeiten, das Konzept einer linearen Funktion als eine mathematische Beziehung zu begreifen, die über abstrakte Zahlen und Parameter hinausgeht und in einem konkreten Zusammenhang, wie etwa einer realen Situation (z.B. eine Geschwindigkeit über Zeit oder den Zusammenhang zwischen dem Einkommen und den Arbeitsstunden), interpretiert werden könnte. Auch die andere Schülerin konnte die Aufgabe nicht anders angehen, als die Parameter der linearen Funktion als isolierte mathematische Elemente zu betrachten, ohne deren Einfluss auf die Gestalt der Linie oder auf die Veränderung der Werte in einer praktischen Anwendung zu begreifen.</w:t>
      </w:r>
    </w:p>
    <w:p w14:paraId="46A64E70" w14:textId="264BD39D" w:rsidR="00175519" w:rsidRPr="00175519" w:rsidRDefault="00175519" w:rsidP="00FE51E9">
      <w:r w:rsidRPr="00175519">
        <w:t>Dies zeigt, dass die Schülerinnen zwar ein technisches Verständnis für die formale Struktur einer linearen Funktion (z.B. die Formel y=</w:t>
      </w:r>
      <w:proofErr w:type="spellStart"/>
      <w:r w:rsidR="000C0F90">
        <w:t>a</w:t>
      </w:r>
      <w:r w:rsidRPr="00175519">
        <w:t>x+b</w:t>
      </w:r>
      <w:proofErr w:type="spellEnd"/>
      <w:r w:rsidRPr="00175519">
        <w:t xml:space="preserve">) haben, aber Schwierigkeiten damit haben, dieses Wissen in ein aktives, handlungsorientiertes Bezugssystem zu übertragen. In ihrem aktuellen mentalen Bezugssystem – </w:t>
      </w:r>
      <w:proofErr w:type="gramStart"/>
      <w:r w:rsidRPr="00175519">
        <w:t>in dem abstrakte mathematische Konzepte</w:t>
      </w:r>
      <w:proofErr w:type="gramEnd"/>
      <w:r w:rsidRPr="00175519">
        <w:t xml:space="preserve"> oft keinen klaren praktischen Anknüpfungspunkt finden – war die Funktion nicht greifbar. Sie konnten das Konzept daher nicht in ihre Lebenswelt einbetten, um es zu erklären oder zu nutzen.</w:t>
      </w:r>
    </w:p>
    <w:p w14:paraId="751C0B8E" w14:textId="282A8A24" w:rsidR="00175519" w:rsidRDefault="00175519" w:rsidP="00FE51E9">
      <w:r w:rsidRPr="00175519">
        <w:t>In der Gruppenarbeit zeigte sich, dass die Schülerinnen sich eher mit der Definition des Begriffs und weniger mit der praktischen Anwendung von linearen Gleichungen auseinandersetzten. Während die Formeln bekannt waren, hatten sie Schwierigkeiten, diese in eine reale, kontextbezogene Bedeutung zu übersetzen. Dies ist ein klassisches Beispiel für ein Lernproblem, das häufig im Schulunterricht auftritt: mathematische Konzepte werden häufig isoliert vermittelt, ohne einen Bezug zur Lebenswelt der Lernenden herzustellen. Wenn ein Konzept nicht in die persönliche Erfahrungswelt integriert werden kann, wird es schwer verständlich und bleibt abstrakt.</w:t>
      </w:r>
    </w:p>
    <w:p w14:paraId="2CAE27B8" w14:textId="6EEC0E4B" w:rsidR="006B3CC8" w:rsidRDefault="006B3CC8" w:rsidP="00FE51E9">
      <w:r w:rsidRPr="006B3CC8">
        <w:t xml:space="preserve">Diese Befunde korrespondieren mit klassischen didaktischen Einsichten zur Bedeutung der Vorwissensstruktur: Verstehen gelingt nur, wenn neues Wissen an existierende Bezugssysteme anschließt (Bruner, Jerome, </w:t>
      </w:r>
      <w:r w:rsidRPr="006B3CC8">
        <w:rPr>
          <w:i/>
          <w:iCs/>
        </w:rPr>
        <w:t xml:space="preserve">The </w:t>
      </w:r>
      <w:proofErr w:type="spellStart"/>
      <w:r w:rsidRPr="006B3CC8">
        <w:rPr>
          <w:i/>
          <w:iCs/>
        </w:rPr>
        <w:t>Process</w:t>
      </w:r>
      <w:proofErr w:type="spellEnd"/>
      <w:r w:rsidRPr="006B3CC8">
        <w:rPr>
          <w:i/>
          <w:iCs/>
        </w:rPr>
        <w:t xml:space="preserve"> </w:t>
      </w:r>
      <w:proofErr w:type="spellStart"/>
      <w:r w:rsidRPr="006B3CC8">
        <w:rPr>
          <w:i/>
          <w:iCs/>
        </w:rPr>
        <w:t>of</w:t>
      </w:r>
      <w:proofErr w:type="spellEnd"/>
      <w:r w:rsidRPr="006B3CC8">
        <w:rPr>
          <w:i/>
          <w:iCs/>
        </w:rPr>
        <w:t xml:space="preserve"> Education</w:t>
      </w:r>
      <w:r w:rsidRPr="006B3CC8">
        <w:t xml:space="preserve">, 1960, S. 17–20; </w:t>
      </w:r>
      <w:proofErr w:type="spellStart"/>
      <w:r w:rsidRPr="006B3CC8">
        <w:t>Ausubel</w:t>
      </w:r>
      <w:proofErr w:type="spellEnd"/>
      <w:r w:rsidRPr="006B3CC8">
        <w:t xml:space="preserve">, David P., </w:t>
      </w:r>
      <w:r w:rsidRPr="006B3CC8">
        <w:rPr>
          <w:i/>
          <w:iCs/>
        </w:rPr>
        <w:t xml:space="preserve">The </w:t>
      </w:r>
      <w:proofErr w:type="spellStart"/>
      <w:r w:rsidRPr="006B3CC8">
        <w:rPr>
          <w:i/>
          <w:iCs/>
        </w:rPr>
        <w:t>Psychology</w:t>
      </w:r>
      <w:proofErr w:type="spellEnd"/>
      <w:r w:rsidRPr="006B3CC8">
        <w:rPr>
          <w:i/>
          <w:iCs/>
        </w:rPr>
        <w:t xml:space="preserve"> </w:t>
      </w:r>
      <w:proofErr w:type="spellStart"/>
      <w:r w:rsidRPr="006B3CC8">
        <w:rPr>
          <w:i/>
          <w:iCs/>
        </w:rPr>
        <w:t>of</w:t>
      </w:r>
      <w:proofErr w:type="spellEnd"/>
      <w:r w:rsidRPr="006B3CC8">
        <w:rPr>
          <w:i/>
          <w:iCs/>
        </w:rPr>
        <w:t xml:space="preserve"> </w:t>
      </w:r>
      <w:proofErr w:type="spellStart"/>
      <w:r w:rsidRPr="006B3CC8">
        <w:rPr>
          <w:i/>
          <w:iCs/>
        </w:rPr>
        <w:t>Meaningful</w:t>
      </w:r>
      <w:proofErr w:type="spellEnd"/>
      <w:r w:rsidRPr="006B3CC8">
        <w:rPr>
          <w:i/>
          <w:iCs/>
        </w:rPr>
        <w:t xml:space="preserve"> Verbal Learning</w:t>
      </w:r>
      <w:r w:rsidRPr="006B3CC8">
        <w:t>, 1963, S. 35–39).</w:t>
      </w:r>
    </w:p>
    <w:p w14:paraId="03025AA1" w14:textId="4099DEF2" w:rsidR="00512AE0" w:rsidRDefault="00512AE0" w:rsidP="00512AE0">
      <w:pPr>
        <w:pStyle w:val="berschrift3"/>
      </w:pPr>
      <w:r>
        <w:t>1.1.3 Ein weiters praktische Beispiel</w:t>
      </w:r>
    </w:p>
    <w:p w14:paraId="6A0AC4BA" w14:textId="77777777" w:rsidR="00512AE0" w:rsidRDefault="00512AE0" w:rsidP="00FE51E9"/>
    <w:p w14:paraId="5240D93E" w14:textId="7283924A" w:rsidR="00512AE0" w:rsidRDefault="00512AE0" w:rsidP="00FE51E9">
      <w:r w:rsidRPr="00512AE0">
        <w:rPr>
          <w:noProof/>
        </w:rPr>
        <w:drawing>
          <wp:inline distT="0" distB="0" distL="0" distR="0" wp14:anchorId="30CB3FF7" wp14:editId="68E9F5B2">
            <wp:extent cx="5760720" cy="3752215"/>
            <wp:effectExtent l="0" t="0" r="0" b="63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752215"/>
                    </a:xfrm>
                    <a:prstGeom prst="rect">
                      <a:avLst/>
                    </a:prstGeom>
                    <a:noFill/>
                    <a:ln>
                      <a:noFill/>
                    </a:ln>
                  </pic:spPr>
                </pic:pic>
              </a:graphicData>
            </a:graphic>
          </wp:inline>
        </w:drawing>
      </w:r>
    </w:p>
    <w:p w14:paraId="4A535CA2" w14:textId="13152D48" w:rsidR="00512AE0" w:rsidRDefault="00512AE0" w:rsidP="00512AE0">
      <w:pPr>
        <w:pStyle w:val="berschrift1"/>
        <w:shd w:val="clear" w:color="auto" w:fill="FFFFFF"/>
        <w:spacing w:before="0" w:after="0"/>
        <w:rPr>
          <w:rFonts w:ascii="Roboto" w:hAnsi="Roboto"/>
          <w:color w:val="0F0F0F"/>
          <w:sz w:val="48"/>
          <w:szCs w:val="48"/>
        </w:rPr>
      </w:pPr>
      <w:r>
        <w:rPr>
          <w:rFonts w:ascii="Roboto" w:hAnsi="Roboto"/>
          <w:color w:val="0F0F0F"/>
        </w:rPr>
        <w:t>Professor</w:t>
      </w:r>
      <w:r w:rsidR="009F2278">
        <w:rPr>
          <w:rFonts w:ascii="Roboto" w:hAnsi="Roboto"/>
          <w:color w:val="0F0F0F"/>
        </w:rPr>
        <w:t xml:space="preserve"> Rudolf</w:t>
      </w:r>
      <w:r>
        <w:rPr>
          <w:rFonts w:ascii="Roboto" w:hAnsi="Roboto"/>
          <w:color w:val="0F0F0F"/>
        </w:rPr>
        <w:t xml:space="preserve"> Taschner (ETH Zürich</w:t>
      </w:r>
      <w:r w:rsidR="009F2278">
        <w:rPr>
          <w:rFonts w:ascii="Roboto" w:hAnsi="Roboto"/>
          <w:color w:val="0F0F0F"/>
        </w:rPr>
        <w:t xml:space="preserve">/Vortrag </w:t>
      </w:r>
      <w:proofErr w:type="spellStart"/>
      <w:r w:rsidR="009F2278">
        <w:rPr>
          <w:rFonts w:ascii="Roboto" w:hAnsi="Roboto"/>
          <w:color w:val="0F0F0F"/>
        </w:rPr>
        <w:t>youtube</w:t>
      </w:r>
      <w:proofErr w:type="spellEnd"/>
      <w:r w:rsidR="009F2278">
        <w:rPr>
          <w:rFonts w:ascii="Roboto" w:hAnsi="Roboto"/>
          <w:color w:val="0F0F0F"/>
        </w:rPr>
        <w:t xml:space="preserve"> 2013</w:t>
      </w:r>
      <w:r>
        <w:rPr>
          <w:rFonts w:ascii="Roboto" w:hAnsi="Roboto"/>
          <w:color w:val="0F0F0F"/>
        </w:rPr>
        <w:t>) - Der Irrtum des Pythagoras</w:t>
      </w:r>
    </w:p>
    <w:p w14:paraId="3C901EEA" w14:textId="2380FA4A" w:rsidR="00512AE0" w:rsidRDefault="009F2278" w:rsidP="00FE51E9">
      <w:r>
        <w:t>Maria-Theresien-Orden diese Schülerin.</w:t>
      </w:r>
      <w:r w:rsidR="006B3CC8">
        <w:t xml:space="preserve"> </w:t>
      </w:r>
      <w:r>
        <w:t>Er stellt die Frage: „Welchem Standard sprechen wir dieser wunderbaren Lösung zu?“</w:t>
      </w:r>
    </w:p>
    <w:p w14:paraId="2E4E6780" w14:textId="77777777" w:rsidR="00BC6FF6" w:rsidRDefault="00000000" w:rsidP="00BC6FF6">
      <w:r>
        <w:pict w14:anchorId="7330B2F5">
          <v:rect id="_x0000_i1027" style="width:0;height:1.5pt" o:hralign="center" o:hrstd="t" o:hr="t" fillcolor="#a0a0a0" stroked="f"/>
        </w:pict>
      </w:r>
    </w:p>
    <w:p w14:paraId="309C31D6" w14:textId="76601CFC" w:rsidR="00BC6FF6" w:rsidRPr="00175519" w:rsidRDefault="00BC6FF6" w:rsidP="00BB6463">
      <w:pPr>
        <w:pStyle w:val="berschrift3"/>
      </w:pPr>
      <w:r>
        <w:t>1.1.</w:t>
      </w:r>
      <w:r w:rsidR="00512AE0">
        <w:t>4</w:t>
      </w:r>
      <w:r>
        <w:t xml:space="preserve"> Zusammenfassung</w:t>
      </w:r>
    </w:p>
    <w:p w14:paraId="3A3BE3D5" w14:textId="7112AE3D" w:rsidR="00175519" w:rsidRPr="00175519" w:rsidRDefault="00351660" w:rsidP="00FE51E9">
      <w:r>
        <w:t xml:space="preserve">Dies sind nur 2 Beispiele von vielen und ich habe mir Gedanken darüber gemacht, wie ich dieses Problem lösen kann. </w:t>
      </w:r>
      <w:r w:rsidR="00175519">
        <w:t>Diese Fälle verdeutlichen, wie wichtig es ist, dass Lernende eine tiefere, kontextuelle Verbindung zu den mathematischen Konzepten herstellen können. Statt nur die formalen Aspekte der Aufgaben zu vermitteln, wäre es hilfreich, anschauliche Beispiele aus der Lebenswelt der Schülerinnen zu verwenden. Das verdeutlicht</w:t>
      </w:r>
      <w:r w:rsidR="00175519" w:rsidRPr="00175519">
        <w:t>, wie wichtig es ist, abstrakte mathematische Konzepte mit realen, greifbaren Bezugssystemen zu verbinden, um das Verständnis der Lernenden zu vertiefen. Auch die individuelle Reflexion und die Möglichkeit zur aktiven Auseinandersetzung mit den Konzepten können dazu beitragen, dass die Schülerinnen und Schüler das Gelernte besser verinnerlichen und anwenden können.</w:t>
      </w:r>
    </w:p>
    <w:p w14:paraId="1DDDEFE0" w14:textId="77777777" w:rsidR="00645A94" w:rsidRDefault="00000000" w:rsidP="00645A94">
      <w:r>
        <w:pict w14:anchorId="6FEACD96">
          <v:rect id="_x0000_i1028" style="width:0;height:1.5pt" o:hralign="center" o:hrstd="t" o:hr="t" fillcolor="#a0a0a0" stroked="f"/>
        </w:pict>
      </w:r>
    </w:p>
    <w:p w14:paraId="00027123" w14:textId="26A9EFE2" w:rsidR="000072D7" w:rsidRDefault="000928CC" w:rsidP="001456EC">
      <w:pPr>
        <w:pStyle w:val="berschrift2"/>
      </w:pPr>
      <w:r>
        <w:t>1.2 Lösungsweg und Ergebnis</w:t>
      </w:r>
    </w:p>
    <w:p w14:paraId="406EC021" w14:textId="6F80DE0E" w:rsidR="006E78CF" w:rsidRDefault="006E78CF" w:rsidP="00FE51E9">
      <w:r>
        <w:t xml:space="preserve">Nun ist es so, dass ich als </w:t>
      </w:r>
      <w:r w:rsidRPr="000072D7">
        <w:t>Nachhilfelehrer</w:t>
      </w:r>
      <w:r>
        <w:t xml:space="preserve"> die Aufgaben meiner Schüler in ihren Stunden-Concept-Maps selbst erarbeite und damit auch genaue Vorstellungen über das betreffende Bezugssystem und die Lösung der Aufgaben habe. Ich musste mir also eine Aufgabe stellen, von der ich fachlich erst einmal keine Ahnung hatte und dann einen Weg aufarbeiten, diese Aufgabe zu lösen. Die Aufgabe, die ich mir gestellt habe, war: „Wie bilde ich nichteuklidische Flächen auf einer 2-dimensionalen Fläche als Beobachter ab“. Dies war ein Thema, was mich persönlich interessiert hat, da ich mich in meiner Freizeit gern mit Problemen aus der Astronomie, Raum-Zeit-Gefüge, Kernfusion, Quantenphysik und allgemeinen physikalischen und mathematischen Problemen beschäftige. Dort tritt dieses Problem häufiger auf.</w:t>
      </w:r>
    </w:p>
    <w:p w14:paraId="5B810321" w14:textId="77777777" w:rsidR="00D70678" w:rsidRPr="00D70678" w:rsidRDefault="00D70678" w:rsidP="00FE51E9">
      <w:r w:rsidRPr="00D70678">
        <w:t>Um die mir gestellte Aufgabe zu lösen, musste ich zunächst alles ausblenden, was für die Bearbeitung nicht notwendig war. Dank meiner vielfältigen beruflichen Tätigkeiten verfüge ich über ein ausgeprägtes Abstraktionsvermögen, das mir erlaubte, die Komplexität der Situation auf ihre wesentlichen Elemente zu reduzieren. Daraus ergab sich die zentrale Erkenntnis, dass der beste Ausgangspunkt die Konstruktion eines vollkommen leeren Bezugssystems war. In dieses Bezugssystem konnte ich die gegebenen Fakten Schritt für Schritt eintragen.</w:t>
      </w:r>
    </w:p>
    <w:p w14:paraId="7F61E047" w14:textId="77777777" w:rsidR="00D70678" w:rsidRPr="00D70678" w:rsidRDefault="00D70678" w:rsidP="00FE51E9">
      <w:r w:rsidRPr="00D70678">
        <w:t>Als Ausgangspunkt definierte ich den Beobachter lediglich als einen Punkt im Koordinatensystem. Anschließend fügte ich die nichteuklidische Funktion hinzu, die die Einführung eines geeigneten Koordinatensystems erforderlich machte. Schließlich legte ich die Beobachtungsfläche fest.</w:t>
      </w:r>
    </w:p>
    <w:p w14:paraId="280CFE9D" w14:textId="77777777" w:rsidR="00D70678" w:rsidRDefault="00D70678" w:rsidP="00D70678">
      <w:pPr>
        <w:pStyle w:val="Abbildungsname"/>
      </w:pPr>
      <w:r w:rsidRPr="006E78CF">
        <w:rPr>
          <w:noProof/>
        </w:rPr>
        <w:drawing>
          <wp:inline distT="0" distB="0" distL="0" distR="0" wp14:anchorId="63E11049" wp14:editId="4C3AAE37">
            <wp:extent cx="5760720" cy="3483610"/>
            <wp:effectExtent l="0" t="0" r="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83610"/>
                    </a:xfrm>
                    <a:prstGeom prst="rect">
                      <a:avLst/>
                    </a:prstGeom>
                  </pic:spPr>
                </pic:pic>
              </a:graphicData>
            </a:graphic>
          </wp:inline>
        </w:drawing>
      </w:r>
    </w:p>
    <w:p w14:paraId="1590823D" w14:textId="77777777" w:rsidR="00D70678" w:rsidRDefault="00D70678" w:rsidP="00D70678">
      <w:pPr>
        <w:pStyle w:val="Abbildungsname"/>
      </w:pPr>
      <w:r>
        <w:t>Abb.1 geometrischer Aufbau – Abbildung der gegebenen Werte</w:t>
      </w:r>
    </w:p>
    <w:p w14:paraId="68E5F515" w14:textId="62A67CC2" w:rsidR="00D70678" w:rsidRPr="00D70678" w:rsidRDefault="00D70678" w:rsidP="00FE51E9">
      <w:r w:rsidRPr="00D70678">
        <w:t>Der Beobachter befindet sich im Ursprung des Koordinatensystems. Die Beobachtungsfläche wurde als gleichseitiges Dreieck definiert, und der rote Bereich markiert die zu untersuchende nichteuklidische Fläche.</w:t>
      </w:r>
    </w:p>
    <w:p w14:paraId="58F8190B" w14:textId="77777777" w:rsidR="00D70678" w:rsidRPr="00D70678" w:rsidRDefault="00D70678" w:rsidP="00FE51E9">
      <w:r w:rsidRPr="00D70678">
        <w:t>Das menschliche Auge projiziert jede Wahrnehmung letztlich zweidimensional auf die Netzhaut. Erst durch die kognitive Verarbeitung im Gehirn entsteht daraus die Vorstellung eines dreidimensionalen Raumes. Raum ist somit kein unmittelbar gegebenes, objektives Phänomen, sondern vielmehr das Ergebnis einer Interpretation innerhalb eines spezifischen Bezugssystems. Damit wird deutlich: Das erstellte Modell stellt nicht einfach eine geometrische Konstruktion dar, sondern es bildet ein Abbild der relevanten Werte und deren Einordnung in ein Bezugssystem, das erst die Lösung des Problems möglich macht.</w:t>
      </w:r>
    </w:p>
    <w:p w14:paraId="14241C73" w14:textId="77777777" w:rsidR="00BD6645" w:rsidRPr="00BD6645" w:rsidRDefault="00BD6645" w:rsidP="00FE51E9">
      <w:r w:rsidRPr="00BD6645">
        <w:t xml:space="preserve">Nun verfügte ich zwar über eine geometrische Konstruktion des Problems, doch stellte sich schnell heraus, dass diese Darstellung allein nicht ausreichte. Im dreidimensionalen Raum blieb die Aufgabe für mich zunächst unfassbar – ich hatte lediglich ein statisches Abbild der Situation, aber noch keine Möglichkeit, Dynamik oder Relationen zu interpretieren. Um das Bezugssystem handlungsfähig zu machen, benötigte ich zusätzlich eine </w:t>
      </w:r>
      <w:r w:rsidRPr="00BD6645">
        <w:rPr>
          <w:b/>
          <w:bCs/>
        </w:rPr>
        <w:t>Bezugsfunktion</w:t>
      </w:r>
      <w:r w:rsidRPr="00BD6645">
        <w:t>. Erst eine solche Funktion eröffnet die Möglichkeit, Relationen zwischen den Elementen des Systems – Beobachter, Fläche und nichteuklidische Struktur – abzubilden und zu analysieren. Ohne diese Bezugsfunktion wäre das Bezugssystem leerer Rahmen geblieben; mit ihr jedoch konnte ich den Übergang von einer bloßen Konstruktion hin zu einer interpretierbaren, mathematisch beschreibbaren Struktur vollziehen.</w:t>
      </w:r>
    </w:p>
    <w:p w14:paraId="75A99026" w14:textId="77777777" w:rsidR="00BD6645" w:rsidRPr="00BD6645" w:rsidRDefault="00BD6645" w:rsidP="00FE51E9">
      <w:r w:rsidRPr="00BD6645">
        <w:t xml:space="preserve">Um das Ergebnis schließlich fassbar zu machen, genügte die bloße Konstruktion nicht. Ich benötigte einen </w:t>
      </w:r>
      <w:r w:rsidRPr="00BD6645">
        <w:rPr>
          <w:b/>
          <w:bCs/>
        </w:rPr>
        <w:t>Akteur</w:t>
      </w:r>
      <w:r w:rsidRPr="00BD6645">
        <w:t xml:space="preserve">, der innerhalb des Bezugssystems eine aktive Rolle übernimmt und die abstrakten Strukturen mit messbaren Werten füllt. In meinem Fall definierte ich diesen Akteur als </w:t>
      </w:r>
      <w:r w:rsidRPr="00BD6645">
        <w:rPr>
          <w:i/>
          <w:iCs/>
        </w:rPr>
        <w:t>Sender</w:t>
      </w:r>
      <w:r w:rsidRPr="00BD6645">
        <w:t>, der die relevanten Daten erzeugte und damit die Auswertung des Abbilds überhaupt erst ermöglichte. Der Sender fungierte sozusagen als Schnittstelle zwischen der abstrakten Modellierung und der konkreten Messbarkeit. Erst durch seine Einbindung erhielt das System Dynamik: Aus einer geometrischen Konstruktion mit einer Bezugsfunktion wurde ein funktionales Modell, in dem Beobachtung, Messung und Auswertung miteinander verknüpft sind.</w:t>
      </w:r>
    </w:p>
    <w:p w14:paraId="79D43DA6" w14:textId="77777777" w:rsidR="00BD6645" w:rsidRPr="00BD6645" w:rsidRDefault="00BD6645" w:rsidP="00FE51E9">
      <w:r w:rsidRPr="00BD6645">
        <w:t xml:space="preserve">Schlussendlich bestand die Lösung darin, die </w:t>
      </w:r>
      <w:r w:rsidRPr="00BD6645">
        <w:rPr>
          <w:b/>
          <w:bCs/>
        </w:rPr>
        <w:t>Lichtlaufzeiten</w:t>
      </w:r>
      <w:r w:rsidRPr="00BD6645">
        <w:t xml:space="preserve"> vom Sender über die nichteuklidische Fläche bis hin zum Beobachtungsdreieck als Grundlage der Signalauswertung heranzuziehen und diese in </w:t>
      </w:r>
      <w:r w:rsidRPr="00BD6645">
        <w:rPr>
          <w:b/>
          <w:bCs/>
        </w:rPr>
        <w:t>Farbendarstellungen</w:t>
      </w:r>
      <w:r w:rsidRPr="00BD6645">
        <w:t xml:space="preserve"> umzuwandeln. Auf diese Weise wurde aus der abstrakten Modellierung ein sichtbares, interpretierbares Ergebnis: Die zuvor nur rechnerisch erfassbaren Relationen konnten in einer anschaulichen Form wahrgenommen und analysiert werden.</w:t>
      </w:r>
    </w:p>
    <w:p w14:paraId="414F5566" w14:textId="3DD3B1A7" w:rsidR="001456EC" w:rsidRPr="00FE51E9" w:rsidRDefault="001456EC" w:rsidP="00FE51E9">
      <w:r w:rsidRPr="00FE51E9">
        <w:t>Als Verfahrenstechniker verfügte ich nun über alle Elemente, die zur Generierung einer funktionierenden, realen technischen Lösung notwendig waren: eine klare Modellkonstruktion, ein definiertes Bezugssystem, eine Bezugsfunktion sowie einen Akteur, der die abstrakten Strukturen mit messbaren Werten füllt. Nach umfangreichen Recherchen stellte ich fest, dass eine vergleichbare Lösung bisher nicht existiert. Dieser Befund bestärkte mich darin, meinen Ansatz nicht nur als theoretisches Denkmodell, sondern als innovative technische Realisierung zu verstehen. Aus diesem Grund habe ich meine Lösung am 16.06.2025 zum Patent angemeldet.</w:t>
      </w:r>
      <w:r w:rsidR="00C94735" w:rsidRPr="00FE51E9">
        <w:t xml:space="preserve"> Siehe Anlage „Anlage 1.B - Verwendung des </w:t>
      </w:r>
      <w:bookmarkStart w:id="0" w:name="_Hlk207439165"/>
      <w:r w:rsidR="006F1FAD" w:rsidRPr="00FE51E9">
        <w:t>Funktionalen Raum-Zeit-Kohärenzsystems</w:t>
      </w:r>
      <w:bookmarkEnd w:id="0"/>
      <w:r w:rsidR="006F1FAD" w:rsidRPr="00FE51E9">
        <w:t xml:space="preserve"> </w:t>
      </w:r>
      <w:r w:rsidR="00C94735" w:rsidRPr="00FE51E9">
        <w:t>(F</w:t>
      </w:r>
      <w:r w:rsidR="00536DE4">
        <w:t>RZ</w:t>
      </w:r>
      <w:r w:rsidR="00C94735" w:rsidRPr="00FE51E9">
        <w:t>K) bei der Entwicklung des Patents“ und „Anlage 1.C – Patentschrift“</w:t>
      </w:r>
    </w:p>
    <w:p w14:paraId="523504C0" w14:textId="475703D1" w:rsidR="000C0F90" w:rsidRPr="000C0F90" w:rsidRDefault="000C0F90" w:rsidP="000C0F90">
      <w:pPr>
        <w:pStyle w:val="Abbildungsname"/>
      </w:pPr>
      <w:r w:rsidRPr="000C0F90">
        <w:rPr>
          <w:noProof/>
        </w:rPr>
        <w:drawing>
          <wp:inline distT="0" distB="0" distL="0" distR="0" wp14:anchorId="703A4FF3" wp14:editId="36171701">
            <wp:extent cx="2880000" cy="2088000"/>
            <wp:effectExtent l="0" t="0" r="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0000" cy="2088000"/>
                    </a:xfrm>
                    <a:prstGeom prst="rect">
                      <a:avLst/>
                    </a:prstGeom>
                  </pic:spPr>
                </pic:pic>
              </a:graphicData>
            </a:graphic>
          </wp:inline>
        </w:drawing>
      </w:r>
    </w:p>
    <w:p w14:paraId="371246C6" w14:textId="77777777" w:rsidR="000C0F90" w:rsidRPr="000C0F90" w:rsidRDefault="000C0F90" w:rsidP="000C0F90">
      <w:pPr>
        <w:pStyle w:val="Abbildungsname"/>
      </w:pPr>
      <w:r w:rsidRPr="000C0F90">
        <w:t>Abb. - 3D-Darstellung der Signallaufzeit auf dem Betrachtungsdreieck</w:t>
      </w:r>
    </w:p>
    <w:p w14:paraId="190C2991" w14:textId="77777777" w:rsidR="000202C2" w:rsidRPr="00FE51E9" w:rsidRDefault="006F1FAD" w:rsidP="00FE51E9">
      <w:r w:rsidRPr="00FE51E9">
        <w:t xml:space="preserve">Indem ich die Schritte aus meiner Arbeitstechnik verallgemeinert und mathematisch belegt hatte, ist ein nach meiner Quellenlage ein </w:t>
      </w:r>
      <w:r w:rsidR="000202C2" w:rsidRPr="00FE51E9">
        <w:t xml:space="preserve">neues, </w:t>
      </w:r>
      <w:r w:rsidRPr="00FE51E9">
        <w:t>vielseitiges und insgesamt definiertes Bezugssystem entstanden, auf das ich mich hier beziehe: das "Funktionale Raum-Zeit-Kohärenzsystem"(FRZK).</w:t>
      </w:r>
      <w:r w:rsidR="000202C2" w:rsidRPr="00FE51E9">
        <w:t xml:space="preserve"> </w:t>
      </w:r>
    </w:p>
    <w:p w14:paraId="1B8BF79C" w14:textId="2C782ABC" w:rsidR="001456EC" w:rsidRPr="001456EC" w:rsidRDefault="001456EC" w:rsidP="00FE51E9">
      <w:r w:rsidRPr="001456EC">
        <w:t>Die dabei wirksam gewordene Schlüssellogik – ein zunächst leeres Bezugssystem zu definieren, es gezielt mit relevanten Werten zu füllen und es schließlich durch einen Akteur funktionsfähig zu machen – ist exakt dieselbe, die auch im didaktischen Kontext meiner Schülerbeispiele zum Tragen kommt. Dort zeigte sich, dass Lernende oft nicht am mathematischen Verfahren selbst scheitern, sondern daran, dass ihnen ein tragfähiges Bezugssystem fehlt. Übertragen auf die Textaufgabe mit den Kartoffeln bedeutet das: Erst wenn die Schülerin ein eigenes, für sie sinnvolles Bezugssystem aufbauen kann, wird das Problem lösbar. Analog verhält es sich bei den Gymnasiastinnen mit der linearen Funktion: Solange diese nicht in ein verständliches Bezugssystem integriert wird, bleibt sie abstrakt und unvermittelbar.</w:t>
      </w:r>
    </w:p>
    <w:p w14:paraId="4834E9C8" w14:textId="7BA8EE13" w:rsidR="00AF4333" w:rsidRPr="00AF4333" w:rsidRDefault="00AF4333" w:rsidP="00FE51E9">
      <w:r w:rsidRPr="00AF4333">
        <w:t xml:space="preserve">Das Vorgehen in meinem eigenen Modell verdeutlicht, was auch im Lernprozess meiner </w:t>
      </w:r>
      <w:proofErr w:type="spellStart"/>
      <w:proofErr w:type="gramStart"/>
      <w:r w:rsidRPr="00AF4333">
        <w:t>Schüler:innen</w:t>
      </w:r>
      <w:proofErr w:type="spellEnd"/>
      <w:proofErr w:type="gramEnd"/>
      <w:r w:rsidRPr="00AF4333">
        <w:t xml:space="preserve"> notwendig ist: Abstrakte Strukturen allein bleiben unverständlich, solange sie nicht durch einen „Sender“ – also durch aktive Auseinandersetzung und konkrete Erfahrungswerte – gefüllt werden. Genau wie im naturwissenschaftlichen Modell die Lichtlaufzeiten sichtbar gemacht werden mussten, brauchen auch Lernende im schulischen Kontext eine Vermittlung, die ihnen die unsichtbaren Relationen erschließt.</w:t>
      </w:r>
      <w:r w:rsidR="006B3CC8">
        <w:t xml:space="preserve"> </w:t>
      </w:r>
      <w:r w:rsidR="006B3CC8" w:rsidRPr="006B3CC8">
        <w:t xml:space="preserve">Die Idee von Wissen als fortlaufender, selbstorganisierender Prozess korrespondiert mit neueren philosophisch-wissenschaftlichen Darstellungen (Carroll, Sean, </w:t>
      </w:r>
      <w:r w:rsidR="006B3CC8" w:rsidRPr="006B3CC8">
        <w:rPr>
          <w:i/>
          <w:iCs/>
        </w:rPr>
        <w:t>The Big Picture</w:t>
      </w:r>
      <w:r w:rsidR="006B3CC8" w:rsidRPr="006B3CC8">
        <w:t>, 2016, S. 221–230).</w:t>
      </w:r>
    </w:p>
    <w:p w14:paraId="30F98BA7" w14:textId="77777777" w:rsidR="00AF4333" w:rsidRPr="00AF4333" w:rsidRDefault="00AF4333" w:rsidP="00FE51E9">
      <w:r w:rsidRPr="00AF4333">
        <w:t>Im Beispiel der Grundschülerin bedeutete dies, dass die reine Textaufgabe für sie ein unverständliches Ganzes blieb, weil die Inhalte (Bauer, Kartoffeln) außerhalb ihres Bezugssystems lagen. Erst wenn sie eigene, für sie zugängliche Inhalte in das Aufgabenformat „einspeisen“ kann, wird eine Lösung möglich.</w:t>
      </w:r>
    </w:p>
    <w:p w14:paraId="706F5204" w14:textId="77777777" w:rsidR="00AF4333" w:rsidRPr="00AF4333" w:rsidRDefault="00AF4333" w:rsidP="00FE51E9">
      <w:r w:rsidRPr="00AF4333">
        <w:t>Bei den Neuntklässlerinnen zeigte sich das gleiche Prinzip: Sie kannten die formale Gestalt der linearen Funktion, konnten diese aber nicht „sichtbar machen“, weil ihnen die vermittelnden Schritte – der „Lichtlaufweg“ von der Formel zur Bedeutung – fehlten. Ohne diese Zwischenschicht bleibt die Funktion abstrakt. Erst durch eine didaktische Inszenierung, die den Schülerinnen eigene Deutungen und Beispiele ermöglicht, wird die Abstraktion in eine wahrnehmbare Struktur übersetzt.</w:t>
      </w:r>
    </w:p>
    <w:p w14:paraId="79AA672D" w14:textId="77777777" w:rsidR="00AF4333" w:rsidRPr="00AF4333" w:rsidRDefault="00AF4333" w:rsidP="00FE51E9">
      <w:r w:rsidRPr="00AF4333">
        <w:t xml:space="preserve">Damit wird deutlich: </w:t>
      </w:r>
      <w:r w:rsidRPr="00AF4333">
        <w:rPr>
          <w:b/>
          <w:bCs/>
        </w:rPr>
        <w:t>Verstehen entsteht erst dann, wenn Lernende aktiv in die Rolle des „Senders“ treten dürfen, der die Strukturen mit eigenen Inhalten füllt und dadurch das Bezugssystem mit Bedeutung auflädt.</w:t>
      </w:r>
    </w:p>
    <w:p w14:paraId="79CA3534" w14:textId="77777777" w:rsidR="00645A94" w:rsidRDefault="00000000" w:rsidP="00645A94">
      <w:r>
        <w:pict w14:anchorId="66482BEE">
          <v:rect id="_x0000_i1029" style="width:0;height:1.5pt" o:hralign="center" o:hrstd="t" o:hr="t" fillcolor="#a0a0a0" stroked="f"/>
        </w:pict>
      </w:r>
    </w:p>
    <w:p w14:paraId="656A8477" w14:textId="7CC9F945" w:rsidR="000072D7" w:rsidRPr="000072D7" w:rsidRDefault="000928CC" w:rsidP="001456EC">
      <w:pPr>
        <w:pStyle w:val="berschrift2"/>
        <w:rPr>
          <w:rFonts w:ascii="Times New Roman" w:hAnsi="Times New Roman"/>
          <w:bCs/>
          <w:sz w:val="27"/>
          <w:szCs w:val="27"/>
        </w:rPr>
      </w:pPr>
      <w:r>
        <w:t>1.</w:t>
      </w:r>
      <w:r w:rsidR="00645A94">
        <w:t>3</w:t>
      </w:r>
      <w:r>
        <w:t xml:space="preserve"> </w:t>
      </w:r>
      <w:r w:rsidR="000072D7" w:rsidRPr="000072D7">
        <w:t>Die Rolle des Tutors und die Struktur von Nachhilfe im Kontext der individuellen Lernförderung</w:t>
      </w:r>
    </w:p>
    <w:p w14:paraId="5D8A33FF" w14:textId="1AD50513" w:rsidR="000072D7" w:rsidRDefault="000072D7" w:rsidP="00645A94">
      <w:r w:rsidRPr="000072D7">
        <w:t>Die Praxis der Nachhilfe hat sich im Laufe der Jahre von einer rein unterstützenden Funktion hin zu einer zunehmend komplexeren und individueller gestalteten Form des Lernens entwickelt. In vielen Fällen wird der Begriff „Nachhilfelehrer“ verwendet, um jemanden zu beschreiben, der Wissenslücken aufarbeitet und versäumte Inhalte nachholt. Doch dieser Begriff ist aus meiner Sicht irreführend, da er nicht das volle Spektrum der Rolle widerspiegelt, die ein Tutor oder Lernbegleiter heutzutage einnimmt. Nachhilfe, so wie sie in der Praxis gelebt wird, muss sich grundlegend von regulärem Unterricht unterscheiden, da sie auf die spezifischen Bedürfnisse des Einzelnen zugeschnitten ist und eine intensivere und flexiblere Auseinandersetzung mit dem Lernstoff ermöglicht.</w:t>
      </w:r>
    </w:p>
    <w:p w14:paraId="1D9EEB1E" w14:textId="77777777" w:rsidR="002F631F" w:rsidRPr="002F631F" w:rsidRDefault="002F631F" w:rsidP="00645A94">
      <w:r w:rsidRPr="002F631F">
        <w:t xml:space="preserve">Dabei wird deutlich, wie sich die </w:t>
      </w:r>
      <w:r w:rsidRPr="002F631F">
        <w:rPr>
          <w:b/>
          <w:bCs/>
        </w:rPr>
        <w:t>Struktur und Didaktik der Nachhilfe</w:t>
      </w:r>
      <w:r w:rsidRPr="002F631F">
        <w:t xml:space="preserve"> vom traditionellen Unterricht unterscheidet. Während der reguläre Unterricht häufig nach einem festen Lehrplan und standardisierten Methoden abläuft, ist Nachhilfe stärker </w:t>
      </w:r>
      <w:r w:rsidRPr="002F631F">
        <w:rPr>
          <w:b/>
          <w:bCs/>
        </w:rPr>
        <w:t>individualisiert und flexibel</w:t>
      </w:r>
      <w:r w:rsidRPr="002F631F">
        <w:t>. Sie orientiert sich unmittelbar an den Bedürfnissen und dem aktuellen Wissensstand der Lernenden.</w:t>
      </w:r>
    </w:p>
    <w:p w14:paraId="74AE93FE" w14:textId="77777777" w:rsidR="002F631F" w:rsidRPr="002F631F" w:rsidRDefault="002F631F" w:rsidP="00645A94">
      <w:r w:rsidRPr="002F631F">
        <w:t xml:space="preserve">Ein zentrales Element ist die </w:t>
      </w:r>
      <w:r w:rsidRPr="002F631F">
        <w:rPr>
          <w:b/>
          <w:bCs/>
        </w:rPr>
        <w:t>Einflussnahme des Tutors auf den Lernprozess</w:t>
      </w:r>
      <w:r w:rsidRPr="002F631F">
        <w:t xml:space="preserve">: Durch gezielte Fragestellungen, Rückmeldungen und die Anpassung des Schwierigkeitsgrades kann der Tutor die Lernenden aktiv in den Denkprozess einbeziehen und deren Verständnis fördern. Dabei geht es nicht nur um die Vermittlung von Fakten oder Rechenmethoden, sondern auch um die Entwicklung von </w:t>
      </w:r>
      <w:r w:rsidRPr="002F631F">
        <w:rPr>
          <w:b/>
          <w:bCs/>
        </w:rPr>
        <w:t>mentalen Strukturen</w:t>
      </w:r>
      <w:r w:rsidRPr="002F631F">
        <w:t>, die das eigenständige Problemlösen ermöglichen.</w:t>
      </w:r>
    </w:p>
    <w:p w14:paraId="68707D05" w14:textId="6E0FB00E" w:rsidR="002F631F" w:rsidRPr="002F631F" w:rsidRDefault="002F631F" w:rsidP="00645A94">
      <w:r w:rsidRPr="002F631F">
        <w:t xml:space="preserve">Besondere Aufmerksamkeit gilt der </w:t>
      </w:r>
      <w:r w:rsidRPr="002F631F">
        <w:rPr>
          <w:b/>
          <w:bCs/>
        </w:rPr>
        <w:t>Lernatmosphäre</w:t>
      </w:r>
      <w:r w:rsidRPr="002F631F">
        <w:t>: Ein positives, wertschätzendes Umfeld steigert Motivation und Konzentration, reduziert Ängste und Hemmungen und unterstützt damit die Aufnahme und Verarbeitung von neuen Inhalten.</w:t>
      </w:r>
      <w:r w:rsidR="006B3CC8">
        <w:t xml:space="preserve"> </w:t>
      </w:r>
      <w:r w:rsidR="006B3CC8" w:rsidRPr="006B3CC8">
        <w:t xml:space="preserve">Meta-Analysen belegen die starke Wirkung von lernförderlicher Rückmeldung und Atmosphäre auf Lernerfolg (Hattie, John, </w:t>
      </w:r>
      <w:r w:rsidR="006B3CC8" w:rsidRPr="006B3CC8">
        <w:rPr>
          <w:i/>
          <w:iCs/>
        </w:rPr>
        <w:t>Visible Learning</w:t>
      </w:r>
      <w:r w:rsidR="006B3CC8" w:rsidRPr="006B3CC8">
        <w:t>, 2009, S. 118–122).</w:t>
      </w:r>
    </w:p>
    <w:p w14:paraId="3E790B7F" w14:textId="77777777" w:rsidR="002F631F" w:rsidRPr="002F631F" w:rsidRDefault="002F631F" w:rsidP="00645A94">
      <w:r w:rsidRPr="002F631F">
        <w:t xml:space="preserve">Ebenso wichtig ist die </w:t>
      </w:r>
      <w:r w:rsidRPr="002F631F">
        <w:rPr>
          <w:b/>
          <w:bCs/>
        </w:rPr>
        <w:t>individuelle Förderung</w:t>
      </w:r>
      <w:r w:rsidRPr="002F631F">
        <w:t xml:space="preserve">: Jeder Lernende bringt unterschiedliche Vorkenntnisse, Stärken, Schwächen und Interessen mit. Der Tutor muss diese Aspekte erkennen, die Aufgaben gezielt anpassen und Lernwege so gestalten, dass die </w:t>
      </w:r>
      <w:proofErr w:type="spellStart"/>
      <w:proofErr w:type="gramStart"/>
      <w:r w:rsidRPr="002F631F">
        <w:t>Schüler:innen</w:t>
      </w:r>
      <w:proofErr w:type="spellEnd"/>
      <w:proofErr w:type="gramEnd"/>
      <w:r w:rsidRPr="002F631F">
        <w:t xml:space="preserve"> Schritt für Schritt Erfolge erleben und Vertrauen in ihre Fähigkeiten entwickeln.</w:t>
      </w:r>
    </w:p>
    <w:p w14:paraId="44BAE971" w14:textId="77777777" w:rsidR="002F631F" w:rsidRPr="002F631F" w:rsidRDefault="002F631F" w:rsidP="00645A94">
      <w:r w:rsidRPr="002F631F">
        <w:t xml:space="preserve">Nicht zuletzt spielt die </w:t>
      </w:r>
      <w:r w:rsidRPr="002F631F">
        <w:rPr>
          <w:b/>
          <w:bCs/>
        </w:rPr>
        <w:t>Berücksichtigung der persönlichen Bezugssysteme der Lernenden</w:t>
      </w:r>
      <w:r w:rsidRPr="002F631F">
        <w:t xml:space="preserve"> eine zentrale Rolle. Lernende können nur dann effektiv lernen, wenn neue Informationen in ein für sie verständliches und handhabbares System eingebunden werden. Durch die Aktivierung und den Aufbau eines solchen Bezugssystems werden abstrakte Inhalte greifbar, Zusammenhänge sichtbar und das eigenständige Arbeiten gefördert.</w:t>
      </w:r>
    </w:p>
    <w:p w14:paraId="5F7293F7" w14:textId="77777777" w:rsidR="002D0AE5" w:rsidRPr="000072D7" w:rsidRDefault="002D0AE5" w:rsidP="00645A94">
      <w:r w:rsidRPr="000072D7">
        <w:t>Die Wirkung des Tutors auf die Lernenden ist entscheidend für den Erfolg der Nachhilfestunde. Ein Tutor hat die Aufgabe, eine positive, unterstützende Lernatmosphäre zu schaffen, die es den Lernenden ermöglicht, sich mit dem Stoff auseinanderzusetzen und gleichzeitig Vertrauen in ihre eigenen Fähigkeiten zu entwickeln. Die zwischenmenschliche Beziehung zwischen Tutor und Lernendem spielt dabei eine ebenso wichtige Rolle wie die fachliche Expertise. Empathie, Verständnis und die Fähigkeit, auf die individuellen Bedürfnisse des Lernenden einzugehen, sind ebenso entscheidend wie das Fachwissen.</w:t>
      </w:r>
    </w:p>
    <w:p w14:paraId="49A34133" w14:textId="77777777" w:rsidR="002D0AE5" w:rsidRPr="000072D7" w:rsidRDefault="002D0AE5" w:rsidP="00645A94">
      <w:r w:rsidRPr="000072D7">
        <w:t>Diese interaktive, zweiseitige Beziehung bildet die Grundlage einer effektiven Nachhilfe. Der Tutor agiert nicht nur als Wissensvermittler, sondern als Coach, der den Lernenden dabei unterstützt, ihre eigenen Lernstrategien zu entwickeln, Fehler zu reflektieren und neue Perspektiven auf den Lernstoff zu gewinnen. Indem der Tutor die Lernenden aktiv in den Lernprozess einbindet, wird nicht nur Wissen vermittelt, sondern auch ein tieferes Verständnis und eine nachhaltige Veränderung im Lernverhalten gefördert.</w:t>
      </w:r>
    </w:p>
    <w:p w14:paraId="491E96A4" w14:textId="77777777" w:rsidR="00645A94" w:rsidRDefault="00000000" w:rsidP="00645A94">
      <w:r>
        <w:pict w14:anchorId="6B6CD46F">
          <v:rect id="_x0000_i1030" style="width:0;height:1.5pt" o:hralign="center" o:hrstd="t" o:hr="t" fillcolor="#a0a0a0" stroked="f"/>
        </w:pict>
      </w:r>
    </w:p>
    <w:p w14:paraId="1C0EBD20" w14:textId="18094C88" w:rsidR="000072D7" w:rsidRPr="000072D7" w:rsidRDefault="000072D7" w:rsidP="001456EC">
      <w:pPr>
        <w:pStyle w:val="berschrift3"/>
      </w:pPr>
      <w:r w:rsidRPr="000072D7">
        <w:t>1.</w:t>
      </w:r>
      <w:r w:rsidR="001456EC">
        <w:t>4.1</w:t>
      </w:r>
      <w:r w:rsidRPr="000072D7">
        <w:t xml:space="preserve"> Die Didaktische Differenzierung zwischen Nachhilfe und regulärem Unterricht</w:t>
      </w:r>
    </w:p>
    <w:p w14:paraId="7C7A3E6D" w14:textId="77777777" w:rsidR="000072D7" w:rsidRPr="000072D7" w:rsidRDefault="000072D7" w:rsidP="0080611F">
      <w:r w:rsidRPr="000072D7">
        <w:t>Ein grundlegender Unterschied zwischen Nachhilfe und regulärem Unterricht ist die Art und Weise, wie die Lernprozesse strukturiert sind. Im traditionellen Unterricht sind Lehrpläne oft für die gesamte Klasse vorgegeben und berücksichtigen die individuellen Bedürfnisse der Schülerinnen und Schüler nur bedingt. Nachhilfe hingegen kann sich gezielt auf die spezifischen Schwierigkeiten und Fragen des Einzelnen fokussieren. Diese maßgeschneiderte Form der Lernbegleitung ermöglicht es, direkt auf die Bedürfnisse der Lernenden einzugehen und flexibel auf deren Lernfortschritte und Schwierigkeiten zu reagieren.</w:t>
      </w:r>
    </w:p>
    <w:p w14:paraId="78B9D893" w14:textId="77777777" w:rsidR="000072D7" w:rsidRPr="000072D7" w:rsidRDefault="000072D7" w:rsidP="0080611F">
      <w:r w:rsidRPr="000072D7">
        <w:t>Während regulärer Unterricht oft von einem festen Curriculum und einem Standardansatz geprägt ist, der allen Lernenden mehr oder weniger die gleiche Methode und den gleichen Lerninhalt bietet, erfordert Nachhilfe eine individuellere und oft kreativer gestaltete Herangehensweise. Der Tutor wird nicht nur zum Wissensvermittler, sondern vielmehr zu einem Lernbegleiter, der die Lernenden auf ihrem individuellen Lernweg unterstützt und ihnen hilft, ihre eigenen Lernstrategien zu entwickeln. Dies erfordert nicht nur Fachwissen, sondern auch eine hohe soziale und didaktische Kompetenz, um die Lernenden dort abzuholen, wo sie stehen.</w:t>
      </w:r>
    </w:p>
    <w:p w14:paraId="6F4326EB" w14:textId="77777777" w:rsidR="00645A94" w:rsidRDefault="00000000" w:rsidP="00645A94">
      <w:r>
        <w:pict w14:anchorId="3585F635">
          <v:rect id="_x0000_i1031" style="width:0;height:1.5pt" o:hralign="center" o:hrstd="t" o:hr="t" fillcolor="#a0a0a0" stroked="f"/>
        </w:pict>
      </w:r>
    </w:p>
    <w:p w14:paraId="0CB67EB5" w14:textId="07D1171A" w:rsidR="000072D7" w:rsidRPr="000072D7" w:rsidRDefault="000072D7" w:rsidP="001456EC">
      <w:pPr>
        <w:pStyle w:val="berschrift3"/>
      </w:pPr>
      <w:r w:rsidRPr="000072D7">
        <w:t>1.</w:t>
      </w:r>
      <w:r w:rsidR="001456EC">
        <w:t>4.2</w:t>
      </w:r>
      <w:r w:rsidRPr="000072D7">
        <w:t xml:space="preserve"> Die Bedeutung der Bezugssysteme und der persönlichen Relevanz</w:t>
      </w:r>
    </w:p>
    <w:p w14:paraId="3329F23B" w14:textId="7B72799A" w:rsidR="001456EC" w:rsidRPr="001456EC" w:rsidRDefault="001456EC" w:rsidP="0080611F">
      <w:r w:rsidRPr="001456EC">
        <w:t xml:space="preserve">Ein zentrales Thema </w:t>
      </w:r>
      <w:r w:rsidR="00830E3F">
        <w:t xml:space="preserve">meiner </w:t>
      </w:r>
      <w:r w:rsidRPr="001456EC">
        <w:t xml:space="preserve">Nachhilfe ist das </w:t>
      </w:r>
      <w:r w:rsidRPr="001456EC">
        <w:rPr>
          <w:b/>
          <w:bCs/>
        </w:rPr>
        <w:t>Bezugssystem der Lernenden</w:t>
      </w:r>
      <w:r w:rsidRPr="001456EC">
        <w:t xml:space="preserve">. Während im regulären Unterricht häufig eine universelle Herangehensweise gewählt wird, die oft wenig Bezug zur Lebenswelt der </w:t>
      </w:r>
      <w:proofErr w:type="spellStart"/>
      <w:proofErr w:type="gramStart"/>
      <w:r w:rsidRPr="001456EC">
        <w:t>Schüler:innen</w:t>
      </w:r>
      <w:proofErr w:type="spellEnd"/>
      <w:proofErr w:type="gramEnd"/>
      <w:r w:rsidRPr="001456EC">
        <w:t xml:space="preserve"> herstellt, ist es in der Nachhilfe entscheidend, dass Aufgaben und Inhalte eine </w:t>
      </w:r>
      <w:r w:rsidRPr="001456EC">
        <w:rPr>
          <w:b/>
          <w:bCs/>
        </w:rPr>
        <w:t>persönliche Relevanz</w:t>
      </w:r>
      <w:r w:rsidRPr="001456EC">
        <w:t xml:space="preserve"> für die Lernenden besitzen. </w:t>
      </w:r>
      <w:r w:rsidR="00830E3F">
        <w:t>Die</w:t>
      </w:r>
      <w:r w:rsidRPr="001456EC">
        <w:t xml:space="preserve"> zuvor </w:t>
      </w:r>
      <w:r w:rsidR="00830E3F">
        <w:t xml:space="preserve">in Abschnitt 1.1 </w:t>
      </w:r>
      <w:r w:rsidRPr="001456EC">
        <w:t>geschilderte</w:t>
      </w:r>
      <w:r w:rsidR="00830E3F">
        <w:t>n</w:t>
      </w:r>
      <w:r w:rsidRPr="001456EC">
        <w:t xml:space="preserve"> Beispiel</w:t>
      </w:r>
      <w:r w:rsidR="00830E3F">
        <w:t>e</w:t>
      </w:r>
      <w:r w:rsidRPr="001456EC">
        <w:t xml:space="preserve"> verdeutlicht dieses Prinzip</w:t>
      </w:r>
      <w:r w:rsidR="00830E3F">
        <w:t>.</w:t>
      </w:r>
    </w:p>
    <w:p w14:paraId="1DAF15C2" w14:textId="51CA481A" w:rsidR="000072D7" w:rsidRDefault="000072D7" w:rsidP="0080611F">
      <w:r w:rsidRPr="000072D7">
        <w:t>Die Reaktion</w:t>
      </w:r>
      <w:r w:rsidR="00830E3F">
        <w:t xml:space="preserve"> in den Beispielen</w:t>
      </w:r>
      <w:r w:rsidRPr="000072D7">
        <w:t xml:space="preserve"> zeig</w:t>
      </w:r>
      <w:r w:rsidR="00830E3F">
        <w:t>en</w:t>
      </w:r>
      <w:r w:rsidRPr="000072D7">
        <w:t xml:space="preserve">, wie wichtig es ist, dass die Aufgabenstellungen für die Lernenden in einem Kontext eingebettet sind, den sie nachvollziehen können. Wird dies nicht berücksichtigt, kann es dazu führen, dass der Lernende die Aufgabe nicht als Herausforderung, sondern als isolierte Information wahrnimmt. In </w:t>
      </w:r>
      <w:r w:rsidR="00830E3F">
        <w:t>meiner</w:t>
      </w:r>
      <w:r w:rsidRPr="000072D7">
        <w:t xml:space="preserve"> Nachhilfe ist es daher entscheidend, dass die Aufgabenstellungen so gestaltet sind, dass sie die Lernenden aktiv in den Lernprozess einbeziehen und ihre kognitiven Fähigkeiten fördern.</w:t>
      </w:r>
    </w:p>
    <w:p w14:paraId="69D489F6" w14:textId="77777777" w:rsidR="00645A94" w:rsidRDefault="00000000" w:rsidP="00645A94">
      <w:r>
        <w:pict w14:anchorId="7E38F323">
          <v:rect id="_x0000_i1032" style="width:0;height:1.5pt" o:hralign="center" o:hrstd="t" o:hr="t" fillcolor="#a0a0a0" stroked="f"/>
        </w:pict>
      </w:r>
    </w:p>
    <w:p w14:paraId="5329B45C" w14:textId="77777777" w:rsidR="000202C2" w:rsidRDefault="000202C2" w:rsidP="000202C2">
      <w:pPr>
        <w:pStyle w:val="berschrift3"/>
        <w:rPr>
          <w:sz w:val="27"/>
          <w:szCs w:val="27"/>
        </w:rPr>
      </w:pPr>
      <w:r>
        <w:t>1.4.3 Die Lernenden</w:t>
      </w:r>
    </w:p>
    <w:p w14:paraId="01F91534" w14:textId="33F68DEC" w:rsidR="000202C2" w:rsidRDefault="000202C2" w:rsidP="006F4D88">
      <w:r>
        <w:t xml:space="preserve">Die Lernenden in meinen Kursen haben im Durchschnitt Noten zwischen 3 und 6 – 20 % mit Note 3, 40 % mit Note 4, 30 % mit Note 5 und 10 % mit Note 6. Diese Ausgangslage verdeutlicht, dass ein Großteil meiner </w:t>
      </w:r>
      <w:proofErr w:type="spellStart"/>
      <w:proofErr w:type="gramStart"/>
      <w:r>
        <w:t>Schüler:innen</w:t>
      </w:r>
      <w:proofErr w:type="spellEnd"/>
      <w:proofErr w:type="gramEnd"/>
      <w:r>
        <w:t xml:space="preserve"> nicht im Bereich stabiler Leistungen arbeitet, sondern sich im Grenzbereich des Verstehens oder bereits im Bereich akuter Lernschwierigkeiten befindet.</w:t>
      </w:r>
    </w:p>
    <w:p w14:paraId="4BAF0EF5" w14:textId="77777777" w:rsidR="000202C2" w:rsidRDefault="000202C2" w:rsidP="006F4D88">
      <w:r>
        <w:t xml:space="preserve">Für die Unterrichtsgestaltung bedeutet dies zweierlei: Standardisierte schulische </w:t>
      </w:r>
      <w:proofErr w:type="spellStart"/>
      <w:r>
        <w:t>Erklärmuster</w:t>
      </w:r>
      <w:proofErr w:type="spellEnd"/>
      <w:r>
        <w:t xml:space="preserve"> sind oft wenig zielführend, da sie bei vielen Lernenden bereits gescheitert sind. Gleichzeitig erfordert die Heterogenität der Leistungsniveaus didaktische Zugänge, die unabhängig vom Vorwissen und von der schulisch vermittelten Fachsprache funktionieren. Hier setzt das Prinzip des </w:t>
      </w:r>
      <w:r>
        <w:rPr>
          <w:rStyle w:val="Fett"/>
        </w:rPr>
        <w:t>leeren Bezugssystems</w:t>
      </w:r>
      <w:r>
        <w:t xml:space="preserve"> an: Durch das Ausblenden aller überflüssigen Informationen entsteht ein neutraler Ausgangspunkt, der es den Lernenden ermöglicht, Schritt für Schritt ein eigenes, nachvollziehbares Bezugssystem aufzubauen.</w:t>
      </w:r>
    </w:p>
    <w:p w14:paraId="15DDA726" w14:textId="77777777" w:rsidR="000202C2" w:rsidRDefault="000202C2" w:rsidP="006F4D88">
      <w:r>
        <w:t xml:space="preserve">Das Bezugssystem der Lernenden ist dabei </w:t>
      </w:r>
      <w:r>
        <w:rPr>
          <w:rStyle w:val="Fett"/>
        </w:rPr>
        <w:t>keineswegs mit einem mathematischen Koordinatensystem zu verwechseln</w:t>
      </w:r>
      <w:r>
        <w:t>. Es handelt sich vielmehr um eine flexible, individuelle und kontextabhängige mentale Struktur, die es ermöglicht, relevante Informationen und Beziehungen innerhalb einer Aufgabe zu erfassen, einzuordnen und zu verarbeiten. Nur so können auch Lernende mit begrenztem Vorwissen eigene Denkstrukturen entwickeln, Inhalte verinnerlichen und das Gelernte in neuen Kontexten anwenden.</w:t>
      </w:r>
    </w:p>
    <w:p w14:paraId="736214A0" w14:textId="77777777" w:rsidR="000202C2" w:rsidRDefault="000202C2" w:rsidP="006F4D88">
      <w:r>
        <w:t xml:space="preserve">Das leere Bezugssystem fungiert als </w:t>
      </w:r>
      <w:r>
        <w:rPr>
          <w:rStyle w:val="Fett"/>
        </w:rPr>
        <w:t>methodisches Werkzeug</w:t>
      </w:r>
      <w:r>
        <w:t xml:space="preserve">, das Eigenaktivität, Reflexion und das selbstständige Erkennen von Zusammenhängen unterstützt. In Kombination mit einer </w:t>
      </w:r>
      <w:r>
        <w:rPr>
          <w:rStyle w:val="Fett"/>
        </w:rPr>
        <w:t>empathischen Einflussnahme des Tutors</w:t>
      </w:r>
      <w:r>
        <w:t xml:space="preserve"> – beispielsweise durch gezielte Fragen, Rückmeldungen oder die Gestaltung der Lernatmosphäre – entsteht ein lernförderliches Umfeld, in dem abstrakte Inhalte greifbar werden.</w:t>
      </w:r>
    </w:p>
    <w:p w14:paraId="14BE2455" w14:textId="77777777" w:rsidR="000202C2" w:rsidRDefault="000202C2" w:rsidP="006F4D88">
      <w:r>
        <w:t xml:space="preserve">Meine langjährige Erfahrung als Nachhilfelehrer, ergänzt durch meine fachlich-technische Expertise und analytischen Fähigkeiten aus Tätigkeiten als Verfahrenstechniker, IT-Projektleiter und Dozent, erlaubt es mir, komplexe Aufgabenstellungen zu strukturieren, individuelle Bezugssysteme für die Lernenden zu entwickeln und den Unterricht gezielt an deren Bedürfnisse anzupassen. Dadurch wird das leere Bezugssystem zu einem </w:t>
      </w:r>
      <w:r>
        <w:rPr>
          <w:rStyle w:val="Fett"/>
        </w:rPr>
        <w:t>praktisch erprobten Konzept</w:t>
      </w:r>
      <w:r>
        <w:t>, das die Lernenden befähigt, Inhalte eigenständig zu verstehen, anzuwenden und langfristig zu verankern.</w:t>
      </w:r>
    </w:p>
    <w:p w14:paraId="6D0A01DE" w14:textId="00DCF8F6" w:rsidR="006347DA" w:rsidRDefault="000202C2" w:rsidP="006F4D88">
      <w:r>
        <w:t xml:space="preserve">Insgesamt bildet das Prinzip des leeren Bezugssystems die </w:t>
      </w:r>
      <w:r>
        <w:rPr>
          <w:rStyle w:val="Fett"/>
        </w:rPr>
        <w:t>didaktische Grundlage</w:t>
      </w:r>
      <w:r>
        <w:t>, auf der Nachhilfe sich klar vom traditionellen Unterricht abhebt und auf die individuellen Bedürfnisse der Lernenden zugeschnitten ist.</w:t>
      </w:r>
    </w:p>
    <w:p w14:paraId="012209E2" w14:textId="66617807" w:rsidR="001456EC" w:rsidRPr="00645A94" w:rsidRDefault="00000000" w:rsidP="00645A94">
      <w:r>
        <w:pict w14:anchorId="7503C607">
          <v:rect id="_x0000_i1033" style="width:0;height:1.5pt" o:hralign="center" o:hrstd="t" o:hr="t" fillcolor="#a0a0a0" stroked="f"/>
        </w:pict>
      </w:r>
    </w:p>
    <w:p w14:paraId="49C80318" w14:textId="6BDF5760" w:rsidR="00645A94" w:rsidRDefault="00645A94" w:rsidP="00B20227">
      <w:pPr>
        <w:pStyle w:val="berschrift2"/>
      </w:pPr>
      <w:r>
        <w:t>1.</w:t>
      </w:r>
      <w:r w:rsidR="00B20227">
        <w:t>5</w:t>
      </w:r>
      <w:r>
        <w:t xml:space="preserve"> Die Lernumgebung</w:t>
      </w:r>
      <w:r w:rsidR="00830E3F">
        <w:t xml:space="preserve"> und Unterrichtsführung</w:t>
      </w:r>
    </w:p>
    <w:p w14:paraId="3413391F" w14:textId="5EA4DF90" w:rsidR="00645A94" w:rsidRDefault="00645A94" w:rsidP="00645A94">
      <w:r>
        <w:t xml:space="preserve">Die Nachhilfe findet immer in Räumen der „Schülerhilfe“ statt. Diese haben 8 Plätze die rund um einen quadratischen Tisch angeordnet sind. Ich habe inzwischen einen Stammplatz an eine Ecke des Tisches, der auch von den Lernenden als solcher akzeptiert wird. Die Lernenden versuchen eher zu kommen um ihren „Stammplatz“ zu bekommen, die Platzwahl ist aber frei. Es kommt vor, dass ich Schüler umsetze um </w:t>
      </w:r>
      <w:proofErr w:type="spellStart"/>
      <w:r>
        <w:t>z.Bsp</w:t>
      </w:r>
      <w:proofErr w:type="spellEnd"/>
      <w:r>
        <w:t>. eine Gruppenarbeit zu ermöglichen, störende Elemente durch zusammensitzende Schüler beseitige oder Z</w:t>
      </w:r>
      <w:r w:rsidR="00E2021E">
        <w:t>u</w:t>
      </w:r>
      <w:r>
        <w:t xml:space="preserve">gang zum Laptop zu gewährleisten. </w:t>
      </w:r>
      <w:r w:rsidR="009508F7">
        <w:t>Im Raum befindet sich zusätzlich eine Tafel.</w:t>
      </w:r>
    </w:p>
    <w:p w14:paraId="76216F33" w14:textId="67FE0655" w:rsidR="009508F7" w:rsidRDefault="009508F7" w:rsidP="00645A94">
      <w:r>
        <w:t>Mein Ziel ist es, diese Lernumgebung (den Raum) in einen Platz zu verwandeln, zu dem die Lernenden einen persönlichen Bezug haben und sich wohlfühlen. Der Raum hat 8 Plätze, die ich grundsätzlich nicht ausreize, sondern meine Lerngruppen sin</w:t>
      </w:r>
      <w:r w:rsidR="00B20227">
        <w:t>d</w:t>
      </w:r>
      <w:r>
        <w:t xml:space="preserve"> maximal </w:t>
      </w:r>
      <w:r w:rsidR="00B20227">
        <w:t>5</w:t>
      </w:r>
      <w:r>
        <w:t xml:space="preserve"> Lernende groß. Zwei Lerngruppen habe inzwischen ihre eigenen Plakate angebracht („Mathe macht stark“ und „Ma(</w:t>
      </w:r>
      <w:proofErr w:type="spellStart"/>
      <w:r>
        <w:t>ke</w:t>
      </w:r>
      <w:proofErr w:type="spellEnd"/>
      <w:r>
        <w:t>)</w:t>
      </w:r>
      <w:proofErr w:type="spellStart"/>
      <w:proofErr w:type="gramStart"/>
      <w:r>
        <w:t>the</w:t>
      </w:r>
      <w:proofErr w:type="spellEnd"/>
      <w:r>
        <w:t xml:space="preserve">  Best</w:t>
      </w:r>
      <w:proofErr w:type="gramEnd"/>
      <w:r>
        <w:t xml:space="preserve">“) Das sind persönliche Texte, auf die ich keinen Einfluss genommen habe, die aber ein deutliches Bild der Haltung der Lernenden </w:t>
      </w:r>
      <w:r w:rsidR="00B20227">
        <w:t>widerspiegeln</w:t>
      </w:r>
      <w:r>
        <w:t>.</w:t>
      </w:r>
    </w:p>
    <w:p w14:paraId="1BA3DE9F" w14:textId="77777777" w:rsidR="00B20227" w:rsidRDefault="00B20227" w:rsidP="00645A94">
      <w:r>
        <w:t>Meine Lerneinheiten folgen einer festen Struktur:</w:t>
      </w:r>
    </w:p>
    <w:p w14:paraId="47364688" w14:textId="7DCE6336" w:rsidR="00B20227" w:rsidRDefault="00B20227" w:rsidP="006F4D88">
      <w:pPr>
        <w:pStyle w:val="Aufzhlung"/>
      </w:pPr>
      <w:r>
        <w:t xml:space="preserve">Blitzlicht – 5 min - die Lernenden erzählen über Erlebtes und nennen </w:t>
      </w:r>
      <w:r w:rsidR="00280D55">
        <w:t>einen Gemütszustand</w:t>
      </w:r>
      <w:r>
        <w:t xml:space="preserve"> </w:t>
      </w:r>
    </w:p>
    <w:p w14:paraId="51A3A82D" w14:textId="36656788" w:rsidR="00E2021E" w:rsidRDefault="00B20227" w:rsidP="006F4D88">
      <w:pPr>
        <w:pStyle w:val="Aufzhlung"/>
      </w:pPr>
      <w:r>
        <w:t xml:space="preserve">Arbeitszeit – 75 min </w:t>
      </w:r>
      <w:r w:rsidR="006F4D88">
        <w:t>- die</w:t>
      </w:r>
      <w:r>
        <w:t xml:space="preserve"> Lernenden erarbeiten mit ihren spezifischen Concept-Maps das Ausbildungsziel</w:t>
      </w:r>
    </w:p>
    <w:p w14:paraId="5D3FBA8F" w14:textId="15E01DCB" w:rsidR="00B20227" w:rsidRDefault="00B20227" w:rsidP="006F4D88">
      <w:pPr>
        <w:pStyle w:val="Aufzhlung"/>
      </w:pPr>
      <w:r>
        <w:t xml:space="preserve">Formaler Abschluss – 5 min </w:t>
      </w:r>
      <w:r w:rsidR="006F4D88">
        <w:t>–</w:t>
      </w:r>
      <w:r>
        <w:t xml:space="preserve"> </w:t>
      </w:r>
      <w:r w:rsidR="006F4D88">
        <w:t>die Lernenden führen ihre Nachhilfehefter (der Nachhilfehefter folgt einer von mir festgelegten Form und soll den Lernenden ermöglichen, vergangenen Stoff schnell zu finden)</w:t>
      </w:r>
    </w:p>
    <w:p w14:paraId="51E3C1D9" w14:textId="2F491E97" w:rsidR="006F4D88" w:rsidRDefault="006F4D88" w:rsidP="006F4D88">
      <w:pPr>
        <w:pStyle w:val="Aufzhlung"/>
      </w:pPr>
      <w:r>
        <w:t>Auswertung – 5 min – jeder Lernende berichtet über seine Arbeit und erhält von mir ein Feedback zur geleisteten Arbeit</w:t>
      </w:r>
    </w:p>
    <w:p w14:paraId="632D168F" w14:textId="42E45C26" w:rsidR="00830E3F" w:rsidRDefault="00830E3F" w:rsidP="00830E3F">
      <w:r w:rsidRPr="00830E3F">
        <w:t>Die von mir erstellten Concept-Maps sollen die Lernenden da abholen, wo sie sich befinden. Mein Ziel der Unterrichtseinheiten besteht immer darin, Defizit</w:t>
      </w:r>
      <w:r>
        <w:t>e</w:t>
      </w:r>
      <w:r w:rsidRPr="00830E3F">
        <w:t xml:space="preserve"> zu bearbeiten, so dass die Lernenden einen Lösungsweg für sich erarbeiten, um in Zukunft die Aufgaben erfüllen zu können. Gleichzeitig werden die Lernenden in der Regel soweit gefordert, dass sie bis an ihre Grenzen gehen. Natürlich wird in meinen Unterrichtseinheiten gerechnet, das Hauptaugenmerk liegt aber in der Erarbeitung von Problembearbeitungskompetenz.</w:t>
      </w:r>
      <w:r>
        <w:t xml:space="preserve"> Hier muss man aber das Alter und Klassenstufe/Schultyp beachten. Der grundsätzliche Anteil zwischen „Rechnen“ und </w:t>
      </w:r>
      <w:r w:rsidRPr="00830E3F">
        <w:t>Problembearbeitungskompetenz</w:t>
      </w:r>
      <w:r>
        <w:t xml:space="preserve"> bei mir ist inzwischen wie folgt aufgeteilt:</w:t>
      </w:r>
    </w:p>
    <w:p w14:paraId="4DAFF6F8" w14:textId="4DC28325" w:rsidR="00830E3F" w:rsidRDefault="00830E3F" w:rsidP="00280D55">
      <w:pPr>
        <w:pStyle w:val="Aufzhlung"/>
      </w:pPr>
      <w:r>
        <w:t xml:space="preserve">Bis 4.Klasse – 80% Rechnen und 20% </w:t>
      </w:r>
      <w:r w:rsidRPr="00830E3F">
        <w:t>Problembearbeitungskompetenz</w:t>
      </w:r>
      <w:r>
        <w:t xml:space="preserve"> (einfache Textaufgaben)</w:t>
      </w:r>
    </w:p>
    <w:p w14:paraId="3A2E019A" w14:textId="1EEC4E60" w:rsidR="00830E3F" w:rsidRDefault="00830E3F" w:rsidP="00280D55">
      <w:pPr>
        <w:pStyle w:val="Aufzhlung"/>
      </w:pPr>
      <w:r>
        <w:t xml:space="preserve">5. bis 7. Klasse – 50% Rechnen und 50% </w:t>
      </w:r>
      <w:r w:rsidRPr="00830E3F">
        <w:t>Problembearbeitungskompetenz</w:t>
      </w:r>
      <w:r>
        <w:t xml:space="preserve"> (einfache Problemstellungen)</w:t>
      </w:r>
    </w:p>
    <w:p w14:paraId="6A876A7A" w14:textId="00197DA4" w:rsidR="00830E3F" w:rsidRDefault="00830E3F" w:rsidP="00280D55">
      <w:pPr>
        <w:pStyle w:val="Aufzhlung"/>
      </w:pPr>
      <w:r>
        <w:t xml:space="preserve">Ab 8. Klasse - 20% Rechnen und 80% </w:t>
      </w:r>
      <w:r w:rsidRPr="00830E3F">
        <w:t>Problembearbeitungskompetenz</w:t>
      </w:r>
      <w:r>
        <w:t xml:space="preserve"> (komplexe Aufgaben)</w:t>
      </w:r>
    </w:p>
    <w:p w14:paraId="6CF5BB84" w14:textId="32D1FF25" w:rsidR="00830E3F" w:rsidRPr="00830E3F" w:rsidRDefault="00830E3F" w:rsidP="00830E3F">
      <w:r>
        <w:t>Natürlich beachte ich hier immer den Lernstand des Lernenden</w:t>
      </w:r>
      <w:r w:rsidR="00280D55">
        <w:t>, insgesamt hat sich die Aufteilung bisher bewährt.</w:t>
      </w:r>
    </w:p>
    <w:p w14:paraId="4FF18DE2" w14:textId="77777777" w:rsidR="008C477D" w:rsidRPr="00645A94" w:rsidRDefault="00000000" w:rsidP="008C477D">
      <w:r>
        <w:pict w14:anchorId="085C172B">
          <v:rect id="_x0000_i1034" style="width:0;height:1.5pt" o:hralign="center" o:hrstd="t" o:hr="t" fillcolor="#a0a0a0" stroked="f"/>
        </w:pict>
      </w:r>
    </w:p>
    <w:p w14:paraId="79CEF5C9" w14:textId="250817DF" w:rsidR="00BB6463" w:rsidRDefault="00BB6463" w:rsidP="00BB6463">
      <w:pPr>
        <w:pStyle w:val="berschrift2"/>
        <w:rPr>
          <w:sz w:val="36"/>
          <w:szCs w:val="36"/>
        </w:rPr>
      </w:pPr>
      <w:r>
        <w:t>1.6 Forschungsstand und wissenschaftlicher Kontext</w:t>
      </w:r>
    </w:p>
    <w:p w14:paraId="13B81BA7" w14:textId="77777777" w:rsidR="00BB6463" w:rsidRDefault="00BB6463" w:rsidP="00BB6463">
      <w:pPr>
        <w:pStyle w:val="berschrift3"/>
      </w:pPr>
      <w:r>
        <w:t>1.2.1 Physikalische Perspektiven: Emergenz von Raumzeit</w:t>
      </w:r>
    </w:p>
    <w:p w14:paraId="1909A46C" w14:textId="77777777" w:rsidR="00BB6463" w:rsidRDefault="00BB6463" w:rsidP="0039789C">
      <w:r>
        <w:t>In der modernen Physik wird zunehmend davon ausgegangen, dass Raumzeit keine fundamentale Größe darstellt, sondern als emergentes Phänomen aus tieferliegenden Strukturen hervorgeht [1][2]. Diese Perspektive bietet wichtige theoretische Anknüpfungspunkte für das FRZK, da auch hier Raum und Zeit nicht vorausgesetzt, sondern aus elementaren Operationen abgeleitet werden.</w:t>
      </w:r>
    </w:p>
    <w:p w14:paraId="21F5730A" w14:textId="77777777" w:rsidR="00BB6463" w:rsidRDefault="00BB6463" w:rsidP="00BB6463">
      <w:pPr>
        <w:pStyle w:val="berschrift3"/>
      </w:pPr>
      <w:r>
        <w:t>1.2.2 Systemtheoretische und kybernetische Ansätze</w:t>
      </w:r>
    </w:p>
    <w:p w14:paraId="604B1C20" w14:textId="77777777" w:rsidR="00BB6463" w:rsidRDefault="00BB6463" w:rsidP="0039789C">
      <w:r>
        <w:t>Die Systemtheorie und die Kybernetik betonen die Bedeutung von Selbstreferenz, Beobachtung zweiter Ordnung und rekursiven Strukturen [3][4]. Das FRZK greift diese Überlegungen auf, indem es Beobachtung nicht als passiven Zugriff versteht, sondern als systeminterne Funktion, die Strukturen erzeugt und sich zugleich auf ihre eigenen Bedingungen zurückbezieht.</w:t>
      </w:r>
    </w:p>
    <w:p w14:paraId="3C82DB21" w14:textId="77777777" w:rsidR="00BB6463" w:rsidRDefault="00BB6463" w:rsidP="00BB6463">
      <w:pPr>
        <w:pStyle w:val="berschrift3"/>
      </w:pPr>
      <w:r>
        <w:t>1.2.3 Didaktische und bildungswissenschaftliche Modelle</w:t>
      </w:r>
    </w:p>
    <w:p w14:paraId="031D6339" w14:textId="77777777" w:rsidR="00BB6463" w:rsidRDefault="00BB6463" w:rsidP="0039789C">
      <w:r>
        <w:t>In der Didaktik wird verstärkt nach Ansätzen gesucht, die Lernprozesse nicht linear und additiv, sondern komplex, reflexiv und rekursiv beschreiben [5][6]. Hier bietet das FRZK die Möglichkeit, Lernprozesse als emergente Raumzeit-Konstruktionen zu modellieren, wodurch sowohl die Dynamik des Lernens als auch die epistemische Struktur von Wissen sichtbar gemacht werden kann.</w:t>
      </w:r>
    </w:p>
    <w:p w14:paraId="19743A35" w14:textId="77777777" w:rsidR="00BB6463" w:rsidRDefault="00BB6463" w:rsidP="00BB6463">
      <w:pPr>
        <w:pStyle w:val="berschrift3"/>
      </w:pPr>
      <w:r>
        <w:t>1.2.4 Interdisziplinäre Verortung des FRZK</w:t>
      </w:r>
    </w:p>
    <w:p w14:paraId="1AE9B516" w14:textId="77777777" w:rsidR="00BB6463" w:rsidRDefault="00BB6463" w:rsidP="0039789C">
      <w:r>
        <w:t>Das FRZK steht an der Schnittstelle dieser Diskurse: Es verbindet physikalische Überlegungen zur Emergenz, systemtheoretische Modelle rekursiver Selbstbezüglichkeit und didaktische Ansätze reflexiver Lernarchitekturen. Dadurch entsteht ein interdisziplinärer Rahmen, der sowohl theoretische als auch praktische Anschlussmöglichkeiten eröffnet.</w:t>
      </w:r>
    </w:p>
    <w:p w14:paraId="771974FB" w14:textId="0D274E5B" w:rsidR="006F4D88" w:rsidRDefault="006F4D88" w:rsidP="00BA0E1F">
      <w:pPr>
        <w:pStyle w:val="berschrift2"/>
      </w:pPr>
      <w:r>
        <w:t>1.</w:t>
      </w:r>
      <w:r w:rsidR="00BB6463">
        <w:t>7</w:t>
      </w:r>
      <w:r>
        <w:t xml:space="preserve"> Forschungsziel</w:t>
      </w:r>
    </w:p>
    <w:p w14:paraId="17A8F170" w14:textId="77777777" w:rsidR="00C914C0" w:rsidRPr="00C914C0" w:rsidRDefault="00C914C0" w:rsidP="00C914C0">
      <w:r w:rsidRPr="00C914C0">
        <w:t>Aus der skizzierten Problemstellung ergibt sich die Notwendigkeit, die Leitfragen dieser Arbeit präzise zu formulieren. Sie strukturieren den argumentativen Verlauf der Dissertation und markieren zugleich die Schnittstellen zwischen theoretischer Modellbildung, systemischem Beweis und didaktischer Praxis.</w:t>
      </w:r>
    </w:p>
    <w:p w14:paraId="474321D1" w14:textId="729C7A0C" w:rsidR="00C914C0" w:rsidRPr="00C914C0" w:rsidRDefault="00C914C0" w:rsidP="00C914C0">
      <w:r w:rsidRPr="00C914C0">
        <w:t>Die Arbeit verfolgt das Ziel, mit dem Funktionalen Raum-Zeit-Kohärenzsystem (FRZK) ein Modell zu entwerfen, das nicht auf vorausgesetzten Begriffen wie Raum, Zeit, Objektivität oder Kausalität aufbaut, sondern diese Kategorien selbst als funktionale Emergenzen rekonstruierbar macht. Damit verschiebt sich der Fokus: Welt wird nicht abgebildet, sondern als Ergebnis rekursiver Operationen erzeugt. Dieses erkenntnistheoretische Vorgehen wirft eine Reihe von Fragen auf, die die Struktur und den Anspruch der Dissertation leiten.</w:t>
      </w:r>
    </w:p>
    <w:p w14:paraId="75751761" w14:textId="78030B27" w:rsidR="00C914C0" w:rsidRPr="00C914C0" w:rsidRDefault="00C914C0" w:rsidP="00C914C0">
      <w:r w:rsidRPr="00C914C0">
        <w:t xml:space="preserve">Zunächst stellt sich die Frage, </w:t>
      </w:r>
      <w:r w:rsidRPr="00C914C0">
        <w:rPr>
          <w:b/>
          <w:bCs/>
        </w:rPr>
        <w:t>wie sich mit dem FRZK eine erkenntnistheoretisch konsistente Architektur entwickeln lässt, die grundlegende Kategorien nicht ontologisch fixiert, sondern funktional ableitet.</w:t>
      </w:r>
      <w:r w:rsidRPr="00C914C0">
        <w:t xml:space="preserve"> Daran schließt sich die erkenntnistheoretische Perspektive an: </w:t>
      </w:r>
      <w:r w:rsidRPr="00C914C0">
        <w:rPr>
          <w:b/>
          <w:bCs/>
        </w:rPr>
        <w:t>Inwiefern lässt sich mit diesem Modell die Rekursivität und Selbstreferenz von Beobachtung beschreiben und systematisch formalisieren?</w:t>
      </w:r>
    </w:p>
    <w:p w14:paraId="280ED6E1" w14:textId="27CFD905" w:rsidR="00C914C0" w:rsidRPr="00C914C0" w:rsidRDefault="00C914C0" w:rsidP="00C914C0">
      <w:r w:rsidRPr="00C914C0">
        <w:t xml:space="preserve">Ein dritter Schwerpunkt betrifft die Frage nach dem </w:t>
      </w:r>
      <w:r w:rsidRPr="00C914C0">
        <w:rPr>
          <w:b/>
          <w:bCs/>
        </w:rPr>
        <w:t>systemischen Beweis.</w:t>
      </w:r>
      <w:r w:rsidRPr="00C914C0">
        <w:t xml:space="preserve"> Hier geht es darum, </w:t>
      </w:r>
      <w:r w:rsidRPr="00C914C0">
        <w:rPr>
          <w:b/>
          <w:bCs/>
        </w:rPr>
        <w:t xml:space="preserve">welche epistemologischen Modi – etwa funktionale Simulation, </w:t>
      </w:r>
      <w:proofErr w:type="spellStart"/>
      <w:r w:rsidRPr="00C914C0">
        <w:rPr>
          <w:b/>
          <w:bCs/>
        </w:rPr>
        <w:t>Operatorenkaskaden</w:t>
      </w:r>
      <w:proofErr w:type="spellEnd"/>
      <w:r w:rsidRPr="00C914C0">
        <w:rPr>
          <w:b/>
          <w:bCs/>
        </w:rPr>
        <w:t xml:space="preserve"> oder semantische Räume – geeignet sind, die Gültigkeit des FRZK nicht als Korrespondenz, sondern als performative Selbststabilisierung nachzuweisen.</w:t>
      </w:r>
    </w:p>
    <w:p w14:paraId="5C564C47" w14:textId="6BC56669" w:rsidR="00C914C0" w:rsidRPr="00C914C0" w:rsidRDefault="00C914C0" w:rsidP="00C914C0">
      <w:r w:rsidRPr="00C914C0">
        <w:t xml:space="preserve">Darüber hinaus richtet sich der Blick auf die </w:t>
      </w:r>
      <w:r w:rsidRPr="00C914C0">
        <w:rPr>
          <w:b/>
          <w:bCs/>
        </w:rPr>
        <w:t>didaktische Praxis.</w:t>
      </w:r>
      <w:r w:rsidRPr="00C914C0">
        <w:t xml:space="preserve"> Die zentrale Frage lautet hier: </w:t>
      </w:r>
      <w:r w:rsidRPr="00C914C0">
        <w:rPr>
          <w:b/>
          <w:bCs/>
        </w:rPr>
        <w:t>Wie lassen sich Lernprozesse mit dem FRZK als emergente Raum-Zeit-Konstruktionen modellieren, sodass epistemische Bewegungen im Unterricht sichtbar, begleitbar und reflektierbar werden?</w:t>
      </w:r>
      <w:r w:rsidRPr="00C914C0">
        <w:t xml:space="preserve"> Damit verbindet sich die weitergehende Frage nach der </w:t>
      </w:r>
      <w:r w:rsidRPr="00C914C0">
        <w:rPr>
          <w:b/>
          <w:bCs/>
        </w:rPr>
        <w:t>didaktischen Innovation:</w:t>
      </w:r>
      <w:r w:rsidRPr="00C914C0">
        <w:t xml:space="preserve"> </w:t>
      </w:r>
      <w:r w:rsidRPr="00C914C0">
        <w:rPr>
          <w:b/>
          <w:bCs/>
        </w:rPr>
        <w:t>Welche neuen Möglichkeiten eröffnen sich für die Gestaltung offener Lernsettings, wenn Beobachtung, Reflexion und Emergenz nicht als Randphänomene, sondern als konstitutive Operatoren verstanden werden?</w:t>
      </w:r>
    </w:p>
    <w:p w14:paraId="75B93820" w14:textId="0EF6C2EF" w:rsidR="00C914C0" w:rsidRPr="00C914C0" w:rsidRDefault="00C914C0" w:rsidP="00C914C0">
      <w:r w:rsidRPr="00C914C0">
        <w:t xml:space="preserve">Schließlich ist die Arbeit auch von einer meta-theoretischen Perspektive getragen: </w:t>
      </w:r>
      <w:r w:rsidRPr="00C914C0">
        <w:rPr>
          <w:b/>
          <w:bCs/>
        </w:rPr>
        <w:t>Wie verändert das FRZK das Verständnis wissenschaftlicher Modellbildung selbst – insbesondere im Spannungsfeld zwischen empirischer Forschung, formaler Modellierung und didaktischer Anwendung?</w:t>
      </w:r>
    </w:p>
    <w:p w14:paraId="5DAB18E3" w14:textId="2BA0F6CF" w:rsidR="00C914C0" w:rsidRPr="00C914C0" w:rsidRDefault="00C914C0" w:rsidP="00C914C0">
      <w:r w:rsidRPr="00C914C0">
        <w:t>Diese Fragen markieren die Leitlinien der Dissertation. Sie verbinden den erkenntnistheoretischen Anspruch mit dem systemischen Beweis und öffnen zugleich ein Feld praktischer Anschlussfähigkeit in der Didaktik. Im folgenden Kapitel wird daher zunächst der theoretische Rahmen entfaltet, der diese Fragestellungen verortet und die epistemologischen Grundlagen des FRZK vorbereitet.</w:t>
      </w:r>
    </w:p>
    <w:p w14:paraId="68E2BC30" w14:textId="540E579A" w:rsidR="008C477D" w:rsidRDefault="008C477D" w:rsidP="006F4D88">
      <w:r>
        <w:t>Für die Anwendung des FRZK in kleinen Lerngruppen kann ich eine Stichprobe von etwa 25 Teilnehmern erbringen. Für die Auswertung der Anwendung habe ich eine didaktisch</w:t>
      </w:r>
      <w:r w:rsidR="000859CE">
        <w:t>-methodische</w:t>
      </w:r>
      <w:r>
        <w:t xml:space="preserve"> Datenbank entwickelt und bin dabei, die Datenerfassung der Teilnehmer und mir durchzuführen. Diese Datenbank lehnte sich an „ICAS 7“ an, wurde jedoch im didaktisch-methodischen Bereich stark erweitert.</w:t>
      </w:r>
    </w:p>
    <w:p w14:paraId="2F53EA41" w14:textId="77777777" w:rsidR="005033F4" w:rsidRPr="00645A94" w:rsidRDefault="00000000" w:rsidP="005033F4">
      <w:r>
        <w:pict w14:anchorId="3DE257ED">
          <v:rect id="_x0000_i1035" style="width:0;height:1.5pt" o:hralign="center" o:hrstd="t" o:hr="t" fillcolor="#a0a0a0" stroked="f"/>
        </w:pict>
      </w:r>
    </w:p>
    <w:p w14:paraId="414E7A35" w14:textId="67059425" w:rsidR="005033F4" w:rsidRDefault="005033F4" w:rsidP="00BA0E1F">
      <w:pPr>
        <w:pStyle w:val="berschrift2"/>
      </w:pPr>
      <w:r>
        <w:t>1.</w:t>
      </w:r>
      <w:r w:rsidR="00BB6463">
        <w:t>8</w:t>
      </w:r>
      <w:r>
        <w:t xml:space="preserve"> Warum jetzt</w:t>
      </w:r>
    </w:p>
    <w:p w14:paraId="1CE5E5EE" w14:textId="77777777" w:rsidR="005033F4" w:rsidRDefault="005033F4" w:rsidP="005033F4">
      <w:r>
        <w:t xml:space="preserve">Promovieren wollte ich eigentlich schon seit dem Studium. Ich hatte bereits als Gymnasiast lange in einem Labor wissenschaftlich gearbeitet und zu meinem Mentor aufgeblickt. Meine Ergebnisse habe ich dann an der TH Merseburg vor einem Fachpublikum erfolgreich verteidigt. </w:t>
      </w:r>
    </w:p>
    <w:p w14:paraId="44AF308C" w14:textId="4EE406CE" w:rsidR="005033F4" w:rsidRDefault="005033F4" w:rsidP="005033F4">
      <w:r>
        <w:t>Ich habe während des Studiums zu meinen Doktorvätern ein sehr enges Verhältnis und viel von Ihnen gelernt. Das erlaubte es mir mein Studium mit sehr gut und mein Diplom mit Auszeichnung zu machen. Auch in meinen Dienstjahren erzielte ich hervorragende Ergebnisse. Ich war der jüngste Kompaniechef der NVA. Zu DDR-Zeiten war mit diesen Ergebnissen mein Weg vorgezeichnet: ich wäre nach spätestens 4 Jahren Dienst als Offizier an die Militärakademie gegangen und hätte dort meinen Doktor gemacht.</w:t>
      </w:r>
    </w:p>
    <w:p w14:paraId="55CFBA26" w14:textId="492B01D6" w:rsidR="005033F4" w:rsidRDefault="005033F4" w:rsidP="005033F4">
      <w:r>
        <w:t xml:space="preserve">Durch die „Wende“ ist alles anders gekommen. Ich bedaure das keineswegs, da mir dadurch berufliche Chancen eröffnet wurden, die mir sonst verschlossen geblieben wären.  Das hatte aber den Effekt, dass ich nicht wissenschaftlich arbeiten konnte. Das hieß nie, dass ich mein Können aus dem Studium angewandt und weiterentwickelt habe. Ich hatte bestimmt </w:t>
      </w:r>
      <w:r w:rsidR="003C794D">
        <w:t>mehr als 50 Mentoren in meinen beruflichen Tätigkeiten, von denen ich lernen konnte.</w:t>
      </w:r>
    </w:p>
    <w:p w14:paraId="5F44E001" w14:textId="1FBAAF63" w:rsidR="003C794D" w:rsidRDefault="003C794D" w:rsidP="005033F4">
      <w:r>
        <w:t xml:space="preserve">Jetz bin ich Rentner und liebe meine Tätigkeit als „Nachhilfelehrer“. Ich habe dabei nach einiger Zeit für mich festgestellt, dass ich auch eine Generationenverantwortung habe. All das </w:t>
      </w:r>
      <w:r w:rsidR="00BA0E1F">
        <w:t>G</w:t>
      </w:r>
      <w:r>
        <w:t xml:space="preserve">elernte und </w:t>
      </w:r>
      <w:r w:rsidR="00BA0E1F">
        <w:t>E</w:t>
      </w:r>
      <w:r>
        <w:t>rarbeitete hat es aus meiner Sicht verdient festgehalten zu werden. Die Erarbeitung des Patents und der Nebeneffekt der Entwicklung des FRZK als etwas neuem, hat in mir die feste Überzeugung gebracht, mein Wissen und Können in Form einer Dissertation zum FRZK zu erhalten.</w:t>
      </w:r>
    </w:p>
    <w:p w14:paraId="4BE2F251" w14:textId="65725CF3" w:rsidR="00287807" w:rsidRDefault="00287807" w:rsidP="00BA0E1F">
      <w:pPr>
        <w:pStyle w:val="berschrift2"/>
        <w:rPr>
          <w:sz w:val="27"/>
          <w:szCs w:val="27"/>
        </w:rPr>
      </w:pPr>
      <w:r>
        <w:rPr>
          <w:rStyle w:val="Fett"/>
          <w:b/>
          <w:bCs w:val="0"/>
        </w:rPr>
        <w:t>1.</w:t>
      </w:r>
      <w:r w:rsidR="0039789C">
        <w:rPr>
          <w:rStyle w:val="Fett"/>
          <w:b/>
          <w:bCs w:val="0"/>
        </w:rPr>
        <w:t>9</w:t>
      </w:r>
      <w:r>
        <w:rPr>
          <w:rStyle w:val="Fett"/>
          <w:b/>
          <w:bCs w:val="0"/>
        </w:rPr>
        <w:t xml:space="preserve"> Begründung der Eignung zur Dissertation:</w:t>
      </w:r>
    </w:p>
    <w:p w14:paraId="5C76E22B" w14:textId="77777777" w:rsidR="00287807" w:rsidRDefault="00287807" w:rsidP="00BA0E1F">
      <w:r>
        <w:t xml:space="preserve">Mit über 25 Jahren Erfahrung in der IT-Branche und als </w:t>
      </w:r>
      <w:proofErr w:type="spellStart"/>
      <w:r>
        <w:t>Scrum</w:t>
      </w:r>
      <w:proofErr w:type="spellEnd"/>
      <w:r>
        <w:t xml:space="preserve"> Master, Projektleiter, und IT-Dozent habe ich eine tiefe Einsicht in die Bedeutung von strukturiertem, zielgerichtetem Wissenserwerb und der Integration von neuen Konzepten in bestehende Strukturen. Diese Perspektive, die sowohl technische als auch didaktische Komponenten umfasst, hat es mir ermöglicht, ein fundiertes Verständnis für die Notwendigkeit eines soliden „Bezugssystems“ zu entwickeln.</w:t>
      </w:r>
    </w:p>
    <w:p w14:paraId="57CF762B" w14:textId="77777777" w:rsidR="00287807" w:rsidRDefault="00287807" w:rsidP="00BA0E1F">
      <w:r>
        <w:t>In meiner Arbeit als Nachhilfelehrer und Coach habe ich die Erfahrung gemacht, dass Lernende dann besonders effektiv lernen, wenn sie in der Lage sind, neue Inhalte mit ihren bestehenden Erfahrungs- und Wissenssystemen zu verbinden. Dies ist besonders im Bereich Mathematik und Naturwissenschaften wichtig, wo abstrakte Konzepte häufig nicht direkt in das bestehende Bezugssystem des Lernenden integriert werden können.</w:t>
      </w:r>
    </w:p>
    <w:p w14:paraId="4CF534B3" w14:textId="77777777" w:rsidR="00287807" w:rsidRDefault="00287807" w:rsidP="00BA0E1F">
      <w:r>
        <w:t>Die Bedeutung eines „leeren Bezugssystems“ – eines Systems, das zunächst keinerlei Annahmen oder vorgefertigte Verbindungen zu bestehenden Konzepten macht – ist aus mehreren Perspektiven heraus evident. Als Entwickler und Datenbankspezialist habe ich oft komplexe Systemarchitekturen und -modelle aufgebaut, in denen die Schaffung einer klaren und isolierten Struktur erforderlich war, bevor man auf diese komplexen Strukturen aufbaut. Eine ähnliche Logik ist auch in der kognitiven Wissenschaft und der Lernpsychologie zu finden: Neue Informationen müssen zuerst in einem neutralen, „leeren“ Bezugssystem organisiert und dann mit anderen Informationen verbunden werden, um eine nachhaltige Verankerung im Gedächtnis zu ermöglichen.</w:t>
      </w:r>
    </w:p>
    <w:p w14:paraId="75F39223" w14:textId="77777777" w:rsidR="00287807" w:rsidRDefault="00287807" w:rsidP="00BA0E1F">
      <w:r>
        <w:t xml:space="preserve">In meiner langjährigen Erfahrung als IT-Trainer und </w:t>
      </w:r>
      <w:proofErr w:type="spellStart"/>
      <w:r>
        <w:t>Scrum</w:t>
      </w:r>
      <w:proofErr w:type="spellEnd"/>
      <w:r>
        <w:t>-Coach habe ich immer wieder beobachtet, dass Mitarbeiter oder Schüler bei komplexen Themen häufig blockiert sind, wenn sie sich auf bestehende, aber nicht ausreichend etablierte, Modelle stützen müssen. Daher ist es oft nötig, dass wir ein „leeres“ Bezugssystem etablieren, bevor wir komplexere Informationen integrieren. In der IT beispielsweise bedeutet dies, dass neue Technologien oder Programmiersprachen erst vollständig in einem klar definierten, neutralen Rahmen verstanden werden müssen, bevor sie in bestehende Arbeitsabläufe oder Systeme integriert werden.</w:t>
      </w:r>
    </w:p>
    <w:p w14:paraId="1C3A4420" w14:textId="77777777" w:rsidR="00287807" w:rsidRDefault="00287807" w:rsidP="00BA0E1F">
      <w:r>
        <w:t>In meiner Dissertation fordere ich explizit ein „leeres Bezugssystem“ für das Verstehen und Erlernen abstrakter mathematischer und physikalischer Konzepte. Dieses leere Bezugssystem dient als fundamentale Grundlage, auf der komplexe Ideen und Modelle aufbauen können. In meiner Nachhilfepraxis konnte ich feststellen, dass ein solches neutrales, initial nicht voreingenommenes Bezugssystem den Lernenden hilft, erst die Grundlage zu schaffen, auf der spätere, kontextgebundene Anwendungen sinnvoll und effektiv platziert werden können.</w:t>
      </w:r>
    </w:p>
    <w:p w14:paraId="7CA47329" w14:textId="441AD28F" w:rsidR="00287807" w:rsidRPr="005033F4" w:rsidRDefault="00287807" w:rsidP="00BA0E1F">
      <w:r>
        <w:t>Die Erkenntnis, dass ein "leeres" Bezugssystem notwendig ist, rührt nicht nur von der theoretischen Auseinandersetzung mit Konzepten der Mathematik und Physik, sondern basiert auf meiner praktischen Erfahrung im Umgang mit verschiedenen kognitiven Barrieren im Lernprozess. Diese Einsicht zieht sich durch meine gesamte berufliche Laufbahn – von der Arbeit mit komplexen IT-Systemen bis hin zur Strukturierung von Wissen für Lernende. Die Dissertation wird daher eine präzise Methode entwickeln, wie ein „leeres Bezugssystem“ als notwendige Grundlage für das Verständnis und die Anwendung von Mathematik und Physik eingesetzt werden kann.</w:t>
      </w:r>
    </w:p>
    <w:p w14:paraId="5F434BA7" w14:textId="6ED2E45D" w:rsidR="000072D7" w:rsidRPr="000072D7" w:rsidRDefault="000072D7" w:rsidP="00BA0E1F">
      <w:pPr>
        <w:pStyle w:val="berschrift2"/>
      </w:pPr>
      <w:r w:rsidRPr="000072D7">
        <w:t>1.</w:t>
      </w:r>
      <w:r w:rsidR="0039789C">
        <w:t>10</w:t>
      </w:r>
      <w:r w:rsidRPr="000072D7">
        <w:t xml:space="preserve"> Fazit</w:t>
      </w:r>
    </w:p>
    <w:p w14:paraId="30A5D14D" w14:textId="77777777" w:rsidR="00BA0E1F" w:rsidRPr="00BA0E1F" w:rsidRDefault="00BA0E1F" w:rsidP="0039789C">
      <w:r w:rsidRPr="00BA0E1F">
        <w:t>Die Einleitung hat verdeutlicht, dass das Funktionale Raum-Zeit-Kohärenzsystem (FRZK) eine Antwort auf eine grundlegende erkenntnistheoretische Herausforderung bietet: die Rekonstruktion epistemischer Kategorien wie Raum, Zeit, Kausalität, Beobachtung und Bedeutung ohne Rückgriff auf vorgegebene ontologische Setzungen. Indem das Modell diese Kategorien nicht voraussetzt, sondern als Effekte rekursiver Operationen entwickelt, wird ein theoretischer Rahmen geschaffen, der die Bedingungen der Möglichkeit von Erkenntnis selbst transparent macht.</w:t>
      </w:r>
    </w:p>
    <w:p w14:paraId="645B5468" w14:textId="77777777" w:rsidR="00BA0E1F" w:rsidRPr="00BA0E1F" w:rsidRDefault="00BA0E1F" w:rsidP="0039789C">
      <w:r w:rsidRPr="00BA0E1F">
        <w:t>Damit leistet das FRZK einen doppelten Beitrag: Zum einen eröffnet es einen systematischen Zugang zur Klärung der Struktur epistemischer Geltung, der sowohl konstruktivistisch als auch formal konsistent ist. Zum anderen schafft es eine Brücke in die didaktische Praxis, indem Lernprozesse nicht länger als lineare Wissensübertragung verstanden werden müssen, sondern als emergente Raumzeit-Konstruktionen modelliert werden können. Diese Perspektive erlaubt es, die Dynamik von Lernen und Lehren sichtbar, reflexiv bearbeitbar und methodisch steuerbar zu machen.</w:t>
      </w:r>
    </w:p>
    <w:p w14:paraId="1EC20707" w14:textId="2DB24CD9" w:rsidR="00BA0E1F" w:rsidRDefault="00BA0E1F" w:rsidP="0039789C">
      <w:r w:rsidRPr="00BA0E1F">
        <w:t>Kapitel 1 hat somit den Problemrahmen, die Zielsetzung und die leitenden Fragestellungen des Projekts etabliert. Es markiert die theoretische Lücke im bestehenden Forschungsfeld und formuliert die epistemologische Ausgangsthese des FRZK. Die folgenden Kapitel werden diese Grundlage systematisch entfalten: zunächst durch die Darstellung der theoretischen Prinzipien (Kapitel 2 und 3), dann durch die Entwicklung modelllogischer Vorhersagen (Kapitel 4), den systemischen Beweis und Forschungsperspektiven (Kapitel 5) sowie durch die exemplarische Umsetzung in didaktischen Kontexten (Kapitel 6).</w:t>
      </w:r>
    </w:p>
    <w:p w14:paraId="332C5086" w14:textId="77777777" w:rsidR="00B22CA9" w:rsidRDefault="00B22CA9" w:rsidP="00B22CA9">
      <w:pPr>
        <w:pStyle w:val="berschrift3"/>
        <w:rPr>
          <w:sz w:val="27"/>
          <w:szCs w:val="27"/>
        </w:rPr>
      </w:pPr>
      <w:r>
        <w:t>Literaturverzeichnis</w:t>
      </w:r>
    </w:p>
    <w:p w14:paraId="4619F634" w14:textId="77777777" w:rsidR="00B22CA9" w:rsidRDefault="00B22CA9" w:rsidP="0039789C">
      <w:r>
        <w:t xml:space="preserve">[1] </w:t>
      </w:r>
      <w:proofErr w:type="spellStart"/>
      <w:r>
        <w:t>Rovelli</w:t>
      </w:r>
      <w:proofErr w:type="spellEnd"/>
      <w:r>
        <w:t xml:space="preserve">, C. (2016). </w:t>
      </w:r>
      <w:r>
        <w:rPr>
          <w:rStyle w:val="Hervorhebung"/>
        </w:rPr>
        <w:t xml:space="preserve">Reality </w:t>
      </w:r>
      <w:proofErr w:type="spellStart"/>
      <w:r>
        <w:rPr>
          <w:rStyle w:val="Hervorhebung"/>
        </w:rPr>
        <w:t>is</w:t>
      </w:r>
      <w:proofErr w:type="spellEnd"/>
      <w:r>
        <w:rPr>
          <w:rStyle w:val="Hervorhebung"/>
        </w:rPr>
        <w:t xml:space="preserve"> Not </w:t>
      </w:r>
      <w:proofErr w:type="spellStart"/>
      <w:r>
        <w:rPr>
          <w:rStyle w:val="Hervorhebung"/>
        </w:rPr>
        <w:t>What</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Seems</w:t>
      </w:r>
      <w:proofErr w:type="spellEnd"/>
      <w:r>
        <w:rPr>
          <w:rStyle w:val="Hervorhebung"/>
        </w:rPr>
        <w:t xml:space="preserve">: The Journey </w:t>
      </w:r>
      <w:proofErr w:type="spellStart"/>
      <w:r>
        <w:rPr>
          <w:rStyle w:val="Hervorhebung"/>
        </w:rPr>
        <w:t>to</w:t>
      </w:r>
      <w:proofErr w:type="spellEnd"/>
      <w:r>
        <w:rPr>
          <w:rStyle w:val="Hervorhebung"/>
        </w:rPr>
        <w:t xml:space="preserve"> Quantum Gravity</w:t>
      </w:r>
      <w:r>
        <w:t>. London: Penguin.</w:t>
      </w:r>
    </w:p>
    <w:p w14:paraId="6D06F457" w14:textId="77777777" w:rsidR="00B22CA9" w:rsidRDefault="00B22CA9" w:rsidP="0039789C">
      <w:r>
        <w:t xml:space="preserve">[2] </w:t>
      </w:r>
      <w:proofErr w:type="spellStart"/>
      <w:r>
        <w:t>Verlinde</w:t>
      </w:r>
      <w:proofErr w:type="spellEnd"/>
      <w:r>
        <w:t xml:space="preserve">, E. (2017). Emergent </w:t>
      </w:r>
      <w:proofErr w:type="spellStart"/>
      <w:r>
        <w:t>gravity</w:t>
      </w:r>
      <w:proofErr w:type="spellEnd"/>
      <w:r>
        <w:t xml:space="preserve"> and </w:t>
      </w:r>
      <w:proofErr w:type="spellStart"/>
      <w:r>
        <w:t>the</w:t>
      </w:r>
      <w:proofErr w:type="spellEnd"/>
      <w:r>
        <w:t xml:space="preserve"> </w:t>
      </w:r>
      <w:proofErr w:type="spellStart"/>
      <w:r>
        <w:t>dark</w:t>
      </w:r>
      <w:proofErr w:type="spellEnd"/>
      <w:r>
        <w:t xml:space="preserve"> </w:t>
      </w:r>
      <w:proofErr w:type="spellStart"/>
      <w:r>
        <w:t>universe</w:t>
      </w:r>
      <w:proofErr w:type="spellEnd"/>
      <w:r>
        <w:t xml:space="preserve">. </w:t>
      </w:r>
      <w:r>
        <w:rPr>
          <w:rStyle w:val="Hervorhebung"/>
        </w:rPr>
        <w:t>Science</w:t>
      </w:r>
      <w:r>
        <w:t>, 355(6323), 73–78. https://doi.org/10.1126/science.aaf9729</w:t>
      </w:r>
    </w:p>
    <w:p w14:paraId="3ED8AA70" w14:textId="77777777" w:rsidR="00B22CA9" w:rsidRDefault="00B22CA9" w:rsidP="0039789C">
      <w:r>
        <w:t xml:space="preserve">[3] von Foerster, H. (1981). </w:t>
      </w:r>
      <w:proofErr w:type="spellStart"/>
      <w:r>
        <w:rPr>
          <w:rStyle w:val="Hervorhebung"/>
        </w:rPr>
        <w:t>Observing</w:t>
      </w:r>
      <w:proofErr w:type="spellEnd"/>
      <w:r>
        <w:rPr>
          <w:rStyle w:val="Hervorhebung"/>
        </w:rPr>
        <w:t xml:space="preserve"> Systems</w:t>
      </w:r>
      <w:r>
        <w:t>. Seaside, CA: Intersystems Publications.</w:t>
      </w:r>
    </w:p>
    <w:p w14:paraId="190F55D8" w14:textId="77777777" w:rsidR="00B22CA9" w:rsidRDefault="00B22CA9" w:rsidP="0039789C">
      <w:r>
        <w:t xml:space="preserve">[4] Maturana, H. R., &amp; Varela, F. J. (1987). </w:t>
      </w:r>
      <w:r>
        <w:rPr>
          <w:rStyle w:val="Hervorhebung"/>
        </w:rPr>
        <w:t xml:space="preserve">The </w:t>
      </w:r>
      <w:proofErr w:type="spellStart"/>
      <w:r>
        <w:rPr>
          <w:rStyle w:val="Hervorhebung"/>
        </w:rPr>
        <w:t>Tree</w:t>
      </w:r>
      <w:proofErr w:type="spellEnd"/>
      <w:r>
        <w:rPr>
          <w:rStyle w:val="Hervorhebung"/>
        </w:rPr>
        <w:t xml:space="preserve"> </w:t>
      </w:r>
      <w:proofErr w:type="spellStart"/>
      <w:r>
        <w:rPr>
          <w:rStyle w:val="Hervorhebung"/>
        </w:rPr>
        <w:t>of</w:t>
      </w:r>
      <w:proofErr w:type="spellEnd"/>
      <w:r>
        <w:rPr>
          <w:rStyle w:val="Hervorhebung"/>
        </w:rPr>
        <w:t xml:space="preserve"> Knowledge: The Biological Roots </w:t>
      </w:r>
      <w:proofErr w:type="spellStart"/>
      <w:r>
        <w:rPr>
          <w:rStyle w:val="Hervorhebung"/>
        </w:rPr>
        <w:t>of</w:t>
      </w:r>
      <w:proofErr w:type="spellEnd"/>
      <w:r>
        <w:rPr>
          <w:rStyle w:val="Hervorhebung"/>
        </w:rPr>
        <w:t xml:space="preserve"> Human Understanding</w:t>
      </w:r>
      <w:r>
        <w:t xml:space="preserve">. Boston: </w:t>
      </w:r>
      <w:proofErr w:type="spellStart"/>
      <w:r>
        <w:t>Shambhala</w:t>
      </w:r>
      <w:proofErr w:type="spellEnd"/>
      <w:r>
        <w:t>.</w:t>
      </w:r>
    </w:p>
    <w:p w14:paraId="7C5CFA0F" w14:textId="77777777" w:rsidR="00B22CA9" w:rsidRDefault="00B22CA9" w:rsidP="0039789C">
      <w:r>
        <w:t xml:space="preserve">[5] Reinmann, G. (2018). </w:t>
      </w:r>
      <w:r>
        <w:rPr>
          <w:rStyle w:val="Hervorhebung"/>
        </w:rPr>
        <w:t>Didaktische Innovation: Design-</w:t>
      </w:r>
      <w:proofErr w:type="spellStart"/>
      <w:r>
        <w:rPr>
          <w:rStyle w:val="Hervorhebung"/>
        </w:rPr>
        <w:t>Based</w:t>
      </w:r>
      <w:proofErr w:type="spellEnd"/>
      <w:r>
        <w:rPr>
          <w:rStyle w:val="Hervorhebung"/>
        </w:rPr>
        <w:t xml:space="preserve"> Research als Ansatz einer neuen Lehr-Lernkultur</w:t>
      </w:r>
      <w:r>
        <w:t>. Münster: Waxmann.</w:t>
      </w:r>
    </w:p>
    <w:p w14:paraId="15F2134E" w14:textId="77777777" w:rsidR="00B22CA9" w:rsidRDefault="00B22CA9" w:rsidP="0039789C">
      <w:r>
        <w:t xml:space="preserve">[6] Arnold, P. (2020). </w:t>
      </w:r>
      <w:r>
        <w:rPr>
          <w:rStyle w:val="Hervorhebung"/>
        </w:rPr>
        <w:t>Lernen als Konstruktion: Konstruktivistische Perspektiven in der Pädagogik</w:t>
      </w:r>
      <w:r>
        <w:t>. Wiesbaden: Springer VS.</w:t>
      </w:r>
    </w:p>
    <w:p w14:paraId="1F49181A" w14:textId="77777777" w:rsidR="00B22CA9" w:rsidRPr="00BA0E1F" w:rsidRDefault="00B22CA9" w:rsidP="0039789C">
      <w:pPr>
        <w:rPr>
          <w:rFonts w:ascii="Times New Roman" w:hAnsi="Times New Roman"/>
        </w:rPr>
      </w:pPr>
    </w:p>
    <w:p w14:paraId="327648B5" w14:textId="77777777" w:rsidR="00D008DA" w:rsidRPr="00D008DA" w:rsidRDefault="00D008DA" w:rsidP="00D008DA">
      <w:pPr>
        <w:spacing w:before="100" w:beforeAutospacing="1" w:after="100" w:afterAutospacing="1"/>
        <w:rPr>
          <w:rFonts w:ascii="Times New Roman" w:hAnsi="Times New Roman"/>
          <w:b/>
          <w:bCs/>
        </w:rPr>
      </w:pPr>
      <w:r w:rsidRPr="00D008DA">
        <w:rPr>
          <w:rFonts w:ascii="Times New Roman" w:hAnsi="Times New Roman"/>
          <w:b/>
          <w:bCs/>
        </w:rPr>
        <w:t>Meta-Einleitung zu den Kapiteln 3–6</w:t>
      </w:r>
    </w:p>
    <w:p w14:paraId="7ED01A19"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Die folgenden Kapitel entfalten das Funktionale Raum-Zeit-Kohärenzsystem (FRZK) in einer abgestuften Struktur. Kapitel 3 legt die theoretische Grundlegung. Ausgangspunkt ist das leere Zeichen (</w:t>
      </w:r>
      <w:r w:rsidRPr="00D008DA">
        <w:rPr>
          <w:rFonts w:ascii="Cambria Math" w:hAnsi="Cambria Math" w:cs="Cambria Math"/>
        </w:rPr>
        <w:t>∅</w:t>
      </w:r>
      <w:r w:rsidRPr="00D008DA">
        <w:rPr>
          <w:rFonts w:ascii="Times New Roman" w:hAnsi="Times New Roman"/>
        </w:rPr>
        <w:t>), aus dem durch Operatoren Differenz, Ordnung und semantische Dichte hervorgebracht werden. Raum, Zeit und Handlung erscheinen nicht als Gegebenheiten, sondern als Ergebnisse operativer Zuweisungen.</w:t>
      </w:r>
    </w:p>
    <w:p w14:paraId="108622D4"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 xml:space="preserve">Kapitel 4 entwickelt daraus modelllogische Vorhersagen. Emergenz von Raumfunktionen, Dynamiken, Akteuren und Meta-Ebenen ist keine Hypothese, sondern notwendige Folge der </w:t>
      </w:r>
      <w:proofErr w:type="spellStart"/>
      <w:r w:rsidRPr="00D008DA">
        <w:rPr>
          <w:rFonts w:ascii="Times New Roman" w:hAnsi="Times New Roman"/>
        </w:rPr>
        <w:t>Operatorenkaskaden</w:t>
      </w:r>
      <w:proofErr w:type="spellEnd"/>
      <w:r w:rsidRPr="00D008DA">
        <w:rPr>
          <w:rFonts w:ascii="Times New Roman" w:hAnsi="Times New Roman"/>
        </w:rPr>
        <w:t>. Diese Vorhersagen markieren, was sich einstellen muss, wenn das Modell konsistent arbeitet.</w:t>
      </w:r>
    </w:p>
    <w:p w14:paraId="04F2C84E"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 xml:space="preserve">Kapitel 5 formuliert den Beweisansatz. Grundlage ist nicht ein festes </w:t>
      </w:r>
      <w:proofErr w:type="spellStart"/>
      <w:r w:rsidRPr="00D008DA">
        <w:rPr>
          <w:rFonts w:ascii="Times New Roman" w:hAnsi="Times New Roman"/>
        </w:rPr>
        <w:t>Axiomensystem</w:t>
      </w:r>
      <w:proofErr w:type="spellEnd"/>
      <w:r w:rsidRPr="00D008DA">
        <w:rPr>
          <w:rFonts w:ascii="Times New Roman" w:hAnsi="Times New Roman"/>
        </w:rPr>
        <w:t>, sondern eine rekursive Struktur, die sich selbst validiert. Die zentrale Gleichung</w:t>
      </w:r>
    </w:p>
    <w:p w14:paraId="70FB0F08" w14:textId="77777777" w:rsidR="00D008DA" w:rsidRPr="00D008DA" w:rsidRDefault="00D008DA" w:rsidP="00D008DA">
      <w:pPr>
        <w:spacing w:before="100" w:beforeAutospacing="1" w:after="100" w:afterAutospacing="1"/>
        <w:rPr>
          <w:rFonts w:ascii="Times New Roman" w:hAnsi="Times New Roman"/>
        </w:rPr>
      </w:pPr>
      <w:proofErr w:type="spellStart"/>
      <w:r w:rsidRPr="00D008DA">
        <w:rPr>
          <w:rFonts w:ascii="Times New Roman" w:hAnsi="Times New Roman"/>
        </w:rPr>
        <w:t>fn</w:t>
      </w:r>
      <w:proofErr w:type="spellEnd"/>
      <w:r w:rsidRPr="00D008DA">
        <w:rPr>
          <w:rFonts w:ascii="Times New Roman" w:hAnsi="Times New Roman"/>
        </w:rPr>
        <w:t>(I)=fn−1(I)</w:t>
      </w:r>
      <w:r w:rsidRPr="00D008DA">
        <w:rPr>
          <w:rFonts w:ascii="Cambria Math" w:hAnsi="Cambria Math" w:cs="Cambria Math"/>
        </w:rPr>
        <w:t>⊕</w:t>
      </w:r>
      <w:proofErr w:type="spellStart"/>
      <w:r w:rsidRPr="00D008DA">
        <w:rPr>
          <w:rFonts w:ascii="Times New Roman" w:hAnsi="Times New Roman"/>
        </w:rPr>
        <w:t>fn</w:t>
      </w:r>
      <w:proofErr w:type="spellEnd"/>
      <w:r w:rsidRPr="00D008DA">
        <w:rPr>
          <w:rFonts w:ascii="Times New Roman" w:hAnsi="Times New Roman"/>
        </w:rPr>
        <w:t>(I)</w:t>
      </w:r>
      <w:proofErr w:type="spellStart"/>
      <w:r w:rsidRPr="00D008DA">
        <w:rPr>
          <w:rFonts w:ascii="Times New Roman" w:hAnsi="Times New Roman"/>
        </w:rPr>
        <w:t>f_n</w:t>
      </w:r>
      <w:proofErr w:type="spellEnd"/>
      <w:r w:rsidRPr="00D008DA">
        <w:rPr>
          <w:rFonts w:ascii="Times New Roman" w:hAnsi="Times New Roman"/>
        </w:rPr>
        <w:t>(I) = f_{n-</w:t>
      </w:r>
      <w:proofErr w:type="gramStart"/>
      <w:r w:rsidRPr="00D008DA">
        <w:rPr>
          <w:rFonts w:ascii="Times New Roman" w:hAnsi="Times New Roman"/>
        </w:rPr>
        <w:t>1}(</w:t>
      </w:r>
      <w:proofErr w:type="gramEnd"/>
      <w:r w:rsidRPr="00D008DA">
        <w:rPr>
          <w:rFonts w:ascii="Times New Roman" w:hAnsi="Times New Roman"/>
        </w:rPr>
        <w:t>I) \</w:t>
      </w:r>
      <w:proofErr w:type="spellStart"/>
      <w:r w:rsidRPr="00D008DA">
        <w:rPr>
          <w:rFonts w:ascii="Times New Roman" w:hAnsi="Times New Roman"/>
        </w:rPr>
        <w:t>oplus</w:t>
      </w:r>
      <w:proofErr w:type="spellEnd"/>
      <w:r w:rsidRPr="00D008DA">
        <w:rPr>
          <w:rFonts w:ascii="Times New Roman" w:hAnsi="Times New Roman"/>
        </w:rPr>
        <w:t xml:space="preserve"> </w:t>
      </w:r>
      <w:proofErr w:type="spellStart"/>
      <w:r w:rsidRPr="00D008DA">
        <w:rPr>
          <w:rFonts w:ascii="Times New Roman" w:hAnsi="Times New Roman"/>
        </w:rPr>
        <w:t>f_n</w:t>
      </w:r>
      <w:proofErr w:type="spellEnd"/>
      <w:r w:rsidRPr="00D008DA">
        <w:rPr>
          <w:rFonts w:ascii="Times New Roman" w:hAnsi="Times New Roman"/>
        </w:rPr>
        <w:t>(I)</w:t>
      </w:r>
      <w:proofErr w:type="spellStart"/>
      <w:r w:rsidRPr="00D008DA">
        <w:rPr>
          <w:rFonts w:ascii="Times New Roman" w:hAnsi="Times New Roman"/>
        </w:rPr>
        <w:t>fn</w:t>
      </w:r>
      <w:proofErr w:type="spellEnd"/>
      <w:r w:rsidRPr="00D008DA">
        <w:rPr>
          <w:rFonts w:ascii="Times New Roman" w:hAnsi="Times New Roman"/>
        </w:rPr>
        <w:t>​(I)=fn−1​(I)</w:t>
      </w:r>
      <w:r w:rsidRPr="00D008DA">
        <w:rPr>
          <w:rFonts w:ascii="Cambria Math" w:hAnsi="Cambria Math" w:cs="Cambria Math"/>
        </w:rPr>
        <w:t>⊕</w:t>
      </w:r>
      <w:proofErr w:type="spellStart"/>
      <w:r w:rsidRPr="00D008DA">
        <w:rPr>
          <w:rFonts w:ascii="Times New Roman" w:hAnsi="Times New Roman"/>
        </w:rPr>
        <w:t>fn</w:t>
      </w:r>
      <w:proofErr w:type="spellEnd"/>
      <w:r w:rsidRPr="00D008DA">
        <w:rPr>
          <w:rFonts w:ascii="Times New Roman" w:hAnsi="Times New Roman"/>
        </w:rPr>
        <w:t xml:space="preserve">​(I) </w:t>
      </w:r>
    </w:p>
    <w:p w14:paraId="6A7C96AC"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modelliert diesen Prozess: Beweis entsteht als interne Rückkopplung, nicht durch externe Maßstäbe. Der infinite Regress wird so zur methodischen Ressource.</w:t>
      </w:r>
    </w:p>
    <w:p w14:paraId="48AD2C8F"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Kapitel 6 überträgt die Theorie in die didaktische Praxis. Lernen wird als Bewegung in einem semantischen Raum beschrieben. Semantische Dichte h(</w:t>
      </w:r>
      <w:proofErr w:type="spellStart"/>
      <w:proofErr w:type="gramStart"/>
      <w:r w:rsidRPr="00D008DA">
        <w:rPr>
          <w:rFonts w:ascii="Times New Roman" w:hAnsi="Times New Roman"/>
        </w:rPr>
        <w:t>x,y</w:t>
      </w:r>
      <w:proofErr w:type="gramEnd"/>
      <w:r w:rsidRPr="00D008DA">
        <w:rPr>
          <w:rFonts w:ascii="Times New Roman" w:hAnsi="Times New Roman"/>
        </w:rPr>
        <w:t>,z</w:t>
      </w:r>
      <w:proofErr w:type="spellEnd"/>
      <w:r w:rsidRPr="00D008DA">
        <w:rPr>
          <w:rFonts w:ascii="Times New Roman" w:hAnsi="Times New Roman"/>
        </w:rPr>
        <w:t>)h(</w:t>
      </w:r>
      <w:proofErr w:type="spellStart"/>
      <w:r w:rsidRPr="00D008DA">
        <w:rPr>
          <w:rFonts w:ascii="Times New Roman" w:hAnsi="Times New Roman"/>
        </w:rPr>
        <w:t>x,y,z</w:t>
      </w:r>
      <w:proofErr w:type="spellEnd"/>
      <w:r w:rsidRPr="00D008DA">
        <w:rPr>
          <w:rFonts w:ascii="Times New Roman" w:hAnsi="Times New Roman"/>
        </w:rPr>
        <w:t>)h(</w:t>
      </w:r>
      <w:proofErr w:type="spellStart"/>
      <w:r w:rsidRPr="00D008DA">
        <w:rPr>
          <w:rFonts w:ascii="Times New Roman" w:hAnsi="Times New Roman"/>
        </w:rPr>
        <w:t>x,y,z</w:t>
      </w:r>
      <w:proofErr w:type="spellEnd"/>
      <w:r w:rsidRPr="00D008DA">
        <w:rPr>
          <w:rFonts w:ascii="Times New Roman" w:hAnsi="Times New Roman"/>
        </w:rPr>
        <w:t>) und Orientierungsmaß O(t)O(t)O(t) machen diese Bewegung sichtbar. Hubs und Operatoren (σ, S, D, M, R, E) dienen als Steuergrößen, um Orientierungsverlust zu begrenzen.</w:t>
      </w:r>
    </w:p>
    <w:p w14:paraId="36934F41"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Zusammen bilden die Kapitel 3–6 ein zyklisches Forschungsprogramm: Theorie, Vorhersage, Beweis und Praxis stehen nicht nebeneinander, sondern validieren sich wechselseitig. Die Didaktik wird so zum Prüfstein der Theorie, der Beweisansatz sichert interne Kohärenz, und das Modell zeigt seine Tragfähigkeit im Vollzug.</w:t>
      </w:r>
    </w:p>
    <w:p w14:paraId="5211EFC6" w14:textId="77777777" w:rsidR="006D3411" w:rsidRPr="006D3411" w:rsidRDefault="006D3411" w:rsidP="006D3411">
      <w:pPr>
        <w:spacing w:before="100" w:beforeAutospacing="1" w:after="100" w:afterAutospacing="1"/>
        <w:rPr>
          <w:rFonts w:ascii="Times New Roman" w:hAnsi="Times New Roman"/>
        </w:rPr>
      </w:pPr>
      <w:r w:rsidRPr="006D3411">
        <w:rPr>
          <w:rFonts w:ascii="Times New Roman" w:hAnsi="Times New Roman"/>
          <w:b/>
          <w:bCs/>
        </w:rPr>
        <w:t>14.</w:t>
      </w:r>
      <w:r w:rsidRPr="006D3411">
        <w:rPr>
          <w:rFonts w:ascii="Times New Roman" w:hAnsi="Times New Roman"/>
        </w:rPr>
        <w:t xml:space="preserve"> </w:t>
      </w:r>
      <w:proofErr w:type="spellStart"/>
      <w:r w:rsidRPr="006D3411">
        <w:rPr>
          <w:rFonts w:ascii="Times New Roman" w:hAnsi="Times New Roman"/>
        </w:rPr>
        <w:t>Rovelli</w:t>
      </w:r>
      <w:proofErr w:type="spellEnd"/>
      <w:r w:rsidRPr="006D3411">
        <w:rPr>
          <w:rFonts w:ascii="Times New Roman" w:hAnsi="Times New Roman"/>
        </w:rPr>
        <w:t xml:space="preserve">, Carlo (2018). </w:t>
      </w:r>
      <w:r w:rsidRPr="006D3411">
        <w:rPr>
          <w:rFonts w:ascii="Times New Roman" w:hAnsi="Times New Roman"/>
          <w:i/>
          <w:iCs/>
        </w:rPr>
        <w:t xml:space="preserve">The Order </w:t>
      </w:r>
      <w:proofErr w:type="spellStart"/>
      <w:r w:rsidRPr="006D3411">
        <w:rPr>
          <w:rFonts w:ascii="Times New Roman" w:hAnsi="Times New Roman"/>
          <w:i/>
          <w:iCs/>
        </w:rPr>
        <w:t>of</w:t>
      </w:r>
      <w:proofErr w:type="spellEnd"/>
      <w:r w:rsidRPr="006D3411">
        <w:rPr>
          <w:rFonts w:ascii="Times New Roman" w:hAnsi="Times New Roman"/>
          <w:i/>
          <w:iCs/>
        </w:rPr>
        <w:t xml:space="preserve"> Time.</w:t>
      </w:r>
      <w:r w:rsidRPr="006D3411">
        <w:rPr>
          <w:rFonts w:ascii="Times New Roman" w:hAnsi="Times New Roman"/>
        </w:rPr>
        <w:t xml:space="preserve"> London: Penguin Books.</w:t>
      </w:r>
      <w:r w:rsidRPr="006D3411">
        <w:rPr>
          <w:rFonts w:ascii="Times New Roman" w:hAnsi="Times New Roman"/>
        </w:rPr>
        <w:br/>
      </w:r>
      <w:r w:rsidRPr="006D3411">
        <w:rPr>
          <w:rFonts w:ascii="Times New Roman" w:hAnsi="Times New Roman"/>
          <w:b/>
          <w:bCs/>
        </w:rPr>
        <w:t>15.</w:t>
      </w:r>
      <w:r w:rsidRPr="006D3411">
        <w:rPr>
          <w:rFonts w:ascii="Times New Roman" w:hAnsi="Times New Roman"/>
        </w:rPr>
        <w:t xml:space="preserve"> Luhmann, Niklas (1984). </w:t>
      </w:r>
      <w:r w:rsidRPr="006D3411">
        <w:rPr>
          <w:rFonts w:ascii="Times New Roman" w:hAnsi="Times New Roman"/>
          <w:i/>
          <w:iCs/>
        </w:rPr>
        <w:t>Soziale Systeme. Grundriss einer allgemeinen Theorie.</w:t>
      </w:r>
      <w:r w:rsidRPr="006D3411">
        <w:rPr>
          <w:rFonts w:ascii="Times New Roman" w:hAnsi="Times New Roman"/>
        </w:rPr>
        <w:t xml:space="preserve"> Frankfurt a.M.: Suhrkamp.</w:t>
      </w:r>
      <w:r w:rsidRPr="006D3411">
        <w:rPr>
          <w:rFonts w:ascii="Times New Roman" w:hAnsi="Times New Roman"/>
        </w:rPr>
        <w:br/>
      </w:r>
      <w:r w:rsidRPr="006D3411">
        <w:rPr>
          <w:rFonts w:ascii="Times New Roman" w:hAnsi="Times New Roman"/>
          <w:b/>
          <w:bCs/>
        </w:rPr>
        <w:t>16.</w:t>
      </w:r>
      <w:r w:rsidRPr="006D3411">
        <w:rPr>
          <w:rFonts w:ascii="Times New Roman" w:hAnsi="Times New Roman"/>
        </w:rPr>
        <w:t xml:space="preserve"> Bruner, Jerome (1960). </w:t>
      </w:r>
      <w:r w:rsidRPr="006D3411">
        <w:rPr>
          <w:rFonts w:ascii="Times New Roman" w:hAnsi="Times New Roman"/>
          <w:i/>
          <w:iCs/>
        </w:rPr>
        <w:t xml:space="preserve">The </w:t>
      </w:r>
      <w:proofErr w:type="spellStart"/>
      <w:r w:rsidRPr="006D3411">
        <w:rPr>
          <w:rFonts w:ascii="Times New Roman" w:hAnsi="Times New Roman"/>
          <w:i/>
          <w:iCs/>
        </w:rPr>
        <w:t>Process</w:t>
      </w:r>
      <w:proofErr w:type="spellEnd"/>
      <w:r w:rsidRPr="006D3411">
        <w:rPr>
          <w:rFonts w:ascii="Times New Roman" w:hAnsi="Times New Roman"/>
          <w:i/>
          <w:iCs/>
        </w:rPr>
        <w:t xml:space="preserve"> </w:t>
      </w:r>
      <w:proofErr w:type="spellStart"/>
      <w:r w:rsidRPr="006D3411">
        <w:rPr>
          <w:rFonts w:ascii="Times New Roman" w:hAnsi="Times New Roman"/>
          <w:i/>
          <w:iCs/>
        </w:rPr>
        <w:t>of</w:t>
      </w:r>
      <w:proofErr w:type="spellEnd"/>
      <w:r w:rsidRPr="006D3411">
        <w:rPr>
          <w:rFonts w:ascii="Times New Roman" w:hAnsi="Times New Roman"/>
          <w:i/>
          <w:iCs/>
        </w:rPr>
        <w:t xml:space="preserve"> Education.</w:t>
      </w:r>
      <w:r w:rsidRPr="006D3411">
        <w:rPr>
          <w:rFonts w:ascii="Times New Roman" w:hAnsi="Times New Roman"/>
        </w:rPr>
        <w:t xml:space="preserve"> Cambridge, MA: Harvard University Press.</w:t>
      </w:r>
      <w:r w:rsidRPr="006D3411">
        <w:rPr>
          <w:rFonts w:ascii="Times New Roman" w:hAnsi="Times New Roman"/>
        </w:rPr>
        <w:br/>
      </w:r>
      <w:r w:rsidRPr="006D3411">
        <w:rPr>
          <w:rFonts w:ascii="Times New Roman" w:hAnsi="Times New Roman"/>
          <w:b/>
          <w:bCs/>
        </w:rPr>
        <w:t>17.</w:t>
      </w:r>
      <w:r w:rsidRPr="006D3411">
        <w:rPr>
          <w:rFonts w:ascii="Times New Roman" w:hAnsi="Times New Roman"/>
        </w:rPr>
        <w:t xml:space="preserve"> </w:t>
      </w:r>
      <w:proofErr w:type="spellStart"/>
      <w:r w:rsidRPr="006D3411">
        <w:rPr>
          <w:rFonts w:ascii="Times New Roman" w:hAnsi="Times New Roman"/>
        </w:rPr>
        <w:t>Ausubel</w:t>
      </w:r>
      <w:proofErr w:type="spellEnd"/>
      <w:r w:rsidRPr="006D3411">
        <w:rPr>
          <w:rFonts w:ascii="Times New Roman" w:hAnsi="Times New Roman"/>
        </w:rPr>
        <w:t xml:space="preserve">, David P. (1963). </w:t>
      </w:r>
      <w:r w:rsidRPr="006D3411">
        <w:rPr>
          <w:rFonts w:ascii="Times New Roman" w:hAnsi="Times New Roman"/>
          <w:i/>
          <w:iCs/>
        </w:rPr>
        <w:t xml:space="preserve">The </w:t>
      </w:r>
      <w:proofErr w:type="spellStart"/>
      <w:r w:rsidRPr="006D3411">
        <w:rPr>
          <w:rFonts w:ascii="Times New Roman" w:hAnsi="Times New Roman"/>
          <w:i/>
          <w:iCs/>
        </w:rPr>
        <w:t>Psychology</w:t>
      </w:r>
      <w:proofErr w:type="spellEnd"/>
      <w:r w:rsidRPr="006D3411">
        <w:rPr>
          <w:rFonts w:ascii="Times New Roman" w:hAnsi="Times New Roman"/>
          <w:i/>
          <w:iCs/>
        </w:rPr>
        <w:t xml:space="preserve"> </w:t>
      </w:r>
      <w:proofErr w:type="spellStart"/>
      <w:r w:rsidRPr="006D3411">
        <w:rPr>
          <w:rFonts w:ascii="Times New Roman" w:hAnsi="Times New Roman"/>
          <w:i/>
          <w:iCs/>
        </w:rPr>
        <w:t>of</w:t>
      </w:r>
      <w:proofErr w:type="spellEnd"/>
      <w:r w:rsidRPr="006D3411">
        <w:rPr>
          <w:rFonts w:ascii="Times New Roman" w:hAnsi="Times New Roman"/>
          <w:i/>
          <w:iCs/>
        </w:rPr>
        <w:t xml:space="preserve"> </w:t>
      </w:r>
      <w:proofErr w:type="spellStart"/>
      <w:r w:rsidRPr="006D3411">
        <w:rPr>
          <w:rFonts w:ascii="Times New Roman" w:hAnsi="Times New Roman"/>
          <w:i/>
          <w:iCs/>
        </w:rPr>
        <w:t>Meaningful</w:t>
      </w:r>
      <w:proofErr w:type="spellEnd"/>
      <w:r w:rsidRPr="006D3411">
        <w:rPr>
          <w:rFonts w:ascii="Times New Roman" w:hAnsi="Times New Roman"/>
          <w:i/>
          <w:iCs/>
        </w:rPr>
        <w:t xml:space="preserve"> Verbal Learning.</w:t>
      </w:r>
      <w:r w:rsidRPr="006D3411">
        <w:rPr>
          <w:rFonts w:ascii="Times New Roman" w:hAnsi="Times New Roman"/>
        </w:rPr>
        <w:t xml:space="preserve"> New York: Grune &amp; Stratton.</w:t>
      </w:r>
      <w:r w:rsidRPr="006D3411">
        <w:rPr>
          <w:rFonts w:ascii="Times New Roman" w:hAnsi="Times New Roman"/>
        </w:rPr>
        <w:br/>
      </w:r>
      <w:r w:rsidRPr="006D3411">
        <w:rPr>
          <w:rFonts w:ascii="Times New Roman" w:hAnsi="Times New Roman"/>
          <w:b/>
          <w:bCs/>
        </w:rPr>
        <w:t>18.</w:t>
      </w:r>
      <w:r w:rsidRPr="006D3411">
        <w:rPr>
          <w:rFonts w:ascii="Times New Roman" w:hAnsi="Times New Roman"/>
        </w:rPr>
        <w:t xml:space="preserve"> </w:t>
      </w:r>
      <w:proofErr w:type="spellStart"/>
      <w:r w:rsidRPr="006D3411">
        <w:rPr>
          <w:rFonts w:ascii="Times New Roman" w:hAnsi="Times New Roman"/>
        </w:rPr>
        <w:t>Sfard</w:t>
      </w:r>
      <w:proofErr w:type="spellEnd"/>
      <w:r w:rsidRPr="006D3411">
        <w:rPr>
          <w:rFonts w:ascii="Times New Roman" w:hAnsi="Times New Roman"/>
        </w:rPr>
        <w:t xml:space="preserve">, Anna (2008). </w:t>
      </w:r>
      <w:proofErr w:type="spellStart"/>
      <w:r w:rsidRPr="006D3411">
        <w:rPr>
          <w:rFonts w:ascii="Times New Roman" w:hAnsi="Times New Roman"/>
          <w:i/>
          <w:iCs/>
        </w:rPr>
        <w:t>Thinking</w:t>
      </w:r>
      <w:proofErr w:type="spellEnd"/>
      <w:r w:rsidRPr="006D3411">
        <w:rPr>
          <w:rFonts w:ascii="Times New Roman" w:hAnsi="Times New Roman"/>
          <w:i/>
          <w:iCs/>
        </w:rPr>
        <w:t xml:space="preserve"> </w:t>
      </w:r>
      <w:proofErr w:type="spellStart"/>
      <w:r w:rsidRPr="006D3411">
        <w:rPr>
          <w:rFonts w:ascii="Times New Roman" w:hAnsi="Times New Roman"/>
          <w:i/>
          <w:iCs/>
        </w:rPr>
        <w:t>as</w:t>
      </w:r>
      <w:proofErr w:type="spellEnd"/>
      <w:r w:rsidRPr="006D3411">
        <w:rPr>
          <w:rFonts w:ascii="Times New Roman" w:hAnsi="Times New Roman"/>
          <w:i/>
          <w:iCs/>
        </w:rPr>
        <w:t xml:space="preserve"> Communication: Human Development, </w:t>
      </w:r>
      <w:proofErr w:type="spellStart"/>
      <w:r w:rsidRPr="006D3411">
        <w:rPr>
          <w:rFonts w:ascii="Times New Roman" w:hAnsi="Times New Roman"/>
          <w:i/>
          <w:iCs/>
        </w:rPr>
        <w:t>the</w:t>
      </w:r>
      <w:proofErr w:type="spellEnd"/>
      <w:r w:rsidRPr="006D3411">
        <w:rPr>
          <w:rFonts w:ascii="Times New Roman" w:hAnsi="Times New Roman"/>
          <w:i/>
          <w:iCs/>
        </w:rPr>
        <w:t xml:space="preserve"> Growth </w:t>
      </w:r>
      <w:proofErr w:type="spellStart"/>
      <w:r w:rsidRPr="006D3411">
        <w:rPr>
          <w:rFonts w:ascii="Times New Roman" w:hAnsi="Times New Roman"/>
          <w:i/>
          <w:iCs/>
        </w:rPr>
        <w:t>of</w:t>
      </w:r>
      <w:proofErr w:type="spellEnd"/>
      <w:r w:rsidRPr="006D3411">
        <w:rPr>
          <w:rFonts w:ascii="Times New Roman" w:hAnsi="Times New Roman"/>
          <w:i/>
          <w:iCs/>
        </w:rPr>
        <w:t xml:space="preserve"> </w:t>
      </w:r>
      <w:proofErr w:type="spellStart"/>
      <w:r w:rsidRPr="006D3411">
        <w:rPr>
          <w:rFonts w:ascii="Times New Roman" w:hAnsi="Times New Roman"/>
          <w:i/>
          <w:iCs/>
        </w:rPr>
        <w:t>Discourses</w:t>
      </w:r>
      <w:proofErr w:type="spellEnd"/>
      <w:r w:rsidRPr="006D3411">
        <w:rPr>
          <w:rFonts w:ascii="Times New Roman" w:hAnsi="Times New Roman"/>
          <w:i/>
          <w:iCs/>
        </w:rPr>
        <w:t xml:space="preserve">, and </w:t>
      </w:r>
      <w:proofErr w:type="spellStart"/>
      <w:r w:rsidRPr="006D3411">
        <w:rPr>
          <w:rFonts w:ascii="Times New Roman" w:hAnsi="Times New Roman"/>
          <w:i/>
          <w:iCs/>
        </w:rPr>
        <w:t>Mathematizing</w:t>
      </w:r>
      <w:proofErr w:type="spellEnd"/>
      <w:r w:rsidRPr="006D3411">
        <w:rPr>
          <w:rFonts w:ascii="Times New Roman" w:hAnsi="Times New Roman"/>
          <w:i/>
          <w:iCs/>
        </w:rPr>
        <w:t>.</w:t>
      </w:r>
      <w:r w:rsidRPr="006D3411">
        <w:rPr>
          <w:rFonts w:ascii="Times New Roman" w:hAnsi="Times New Roman"/>
        </w:rPr>
        <w:t xml:space="preserve"> Cambridge: Cambridge University Press.</w:t>
      </w:r>
      <w:r w:rsidRPr="006D3411">
        <w:rPr>
          <w:rFonts w:ascii="Times New Roman" w:hAnsi="Times New Roman"/>
        </w:rPr>
        <w:br/>
      </w:r>
      <w:r w:rsidRPr="006D3411">
        <w:rPr>
          <w:rFonts w:ascii="Times New Roman" w:hAnsi="Times New Roman"/>
          <w:b/>
          <w:bCs/>
        </w:rPr>
        <w:t>19.</w:t>
      </w:r>
      <w:r w:rsidRPr="006D3411">
        <w:rPr>
          <w:rFonts w:ascii="Times New Roman" w:hAnsi="Times New Roman"/>
        </w:rPr>
        <w:t xml:space="preserve"> Hattie, John (2009). </w:t>
      </w:r>
      <w:r w:rsidRPr="006D3411">
        <w:rPr>
          <w:rFonts w:ascii="Times New Roman" w:hAnsi="Times New Roman"/>
          <w:i/>
          <w:iCs/>
        </w:rPr>
        <w:t xml:space="preserve">Visible Learning: A Synthesis </w:t>
      </w:r>
      <w:proofErr w:type="spellStart"/>
      <w:r w:rsidRPr="006D3411">
        <w:rPr>
          <w:rFonts w:ascii="Times New Roman" w:hAnsi="Times New Roman"/>
          <w:i/>
          <w:iCs/>
        </w:rPr>
        <w:t>of</w:t>
      </w:r>
      <w:proofErr w:type="spellEnd"/>
      <w:r w:rsidRPr="006D3411">
        <w:rPr>
          <w:rFonts w:ascii="Times New Roman" w:hAnsi="Times New Roman"/>
          <w:i/>
          <w:iCs/>
        </w:rPr>
        <w:t xml:space="preserve"> Over 800 Meta-</w:t>
      </w:r>
      <w:proofErr w:type="spellStart"/>
      <w:r w:rsidRPr="006D3411">
        <w:rPr>
          <w:rFonts w:ascii="Times New Roman" w:hAnsi="Times New Roman"/>
          <w:i/>
          <w:iCs/>
        </w:rPr>
        <w:t>Analyses</w:t>
      </w:r>
      <w:proofErr w:type="spellEnd"/>
      <w:r w:rsidRPr="006D3411">
        <w:rPr>
          <w:rFonts w:ascii="Times New Roman" w:hAnsi="Times New Roman"/>
          <w:i/>
          <w:iCs/>
        </w:rPr>
        <w:t xml:space="preserve"> </w:t>
      </w:r>
      <w:proofErr w:type="spellStart"/>
      <w:r w:rsidRPr="006D3411">
        <w:rPr>
          <w:rFonts w:ascii="Times New Roman" w:hAnsi="Times New Roman"/>
          <w:i/>
          <w:iCs/>
        </w:rPr>
        <w:t>Relating</w:t>
      </w:r>
      <w:proofErr w:type="spellEnd"/>
      <w:r w:rsidRPr="006D3411">
        <w:rPr>
          <w:rFonts w:ascii="Times New Roman" w:hAnsi="Times New Roman"/>
          <w:i/>
          <w:iCs/>
        </w:rPr>
        <w:t xml:space="preserve"> </w:t>
      </w:r>
      <w:proofErr w:type="spellStart"/>
      <w:r w:rsidRPr="006D3411">
        <w:rPr>
          <w:rFonts w:ascii="Times New Roman" w:hAnsi="Times New Roman"/>
          <w:i/>
          <w:iCs/>
        </w:rPr>
        <w:t>to</w:t>
      </w:r>
      <w:proofErr w:type="spellEnd"/>
      <w:r w:rsidRPr="006D3411">
        <w:rPr>
          <w:rFonts w:ascii="Times New Roman" w:hAnsi="Times New Roman"/>
          <w:i/>
          <w:iCs/>
        </w:rPr>
        <w:t xml:space="preserve"> Achievement.</w:t>
      </w:r>
      <w:r w:rsidRPr="006D3411">
        <w:rPr>
          <w:rFonts w:ascii="Times New Roman" w:hAnsi="Times New Roman"/>
        </w:rPr>
        <w:t xml:space="preserve"> London: Routledge.</w:t>
      </w:r>
      <w:r w:rsidRPr="006D3411">
        <w:rPr>
          <w:rFonts w:ascii="Times New Roman" w:hAnsi="Times New Roman"/>
        </w:rPr>
        <w:br/>
      </w:r>
      <w:r w:rsidRPr="006D3411">
        <w:rPr>
          <w:rFonts w:ascii="Times New Roman" w:hAnsi="Times New Roman"/>
          <w:b/>
          <w:bCs/>
        </w:rPr>
        <w:t>20.</w:t>
      </w:r>
      <w:r w:rsidRPr="006D3411">
        <w:rPr>
          <w:rFonts w:ascii="Times New Roman" w:hAnsi="Times New Roman"/>
        </w:rPr>
        <w:t xml:space="preserve"> Carroll, Sean (2016). </w:t>
      </w:r>
      <w:r w:rsidRPr="006D3411">
        <w:rPr>
          <w:rFonts w:ascii="Times New Roman" w:hAnsi="Times New Roman"/>
          <w:i/>
          <w:iCs/>
        </w:rPr>
        <w:t xml:space="preserve">The Big Picture: On </w:t>
      </w:r>
      <w:proofErr w:type="spellStart"/>
      <w:r w:rsidRPr="006D3411">
        <w:rPr>
          <w:rFonts w:ascii="Times New Roman" w:hAnsi="Times New Roman"/>
          <w:i/>
          <w:iCs/>
        </w:rPr>
        <w:t>the</w:t>
      </w:r>
      <w:proofErr w:type="spellEnd"/>
      <w:r w:rsidRPr="006D3411">
        <w:rPr>
          <w:rFonts w:ascii="Times New Roman" w:hAnsi="Times New Roman"/>
          <w:i/>
          <w:iCs/>
        </w:rPr>
        <w:t xml:space="preserve"> Origins </w:t>
      </w:r>
      <w:proofErr w:type="spellStart"/>
      <w:r w:rsidRPr="006D3411">
        <w:rPr>
          <w:rFonts w:ascii="Times New Roman" w:hAnsi="Times New Roman"/>
          <w:i/>
          <w:iCs/>
        </w:rPr>
        <w:t>of</w:t>
      </w:r>
      <w:proofErr w:type="spellEnd"/>
      <w:r w:rsidRPr="006D3411">
        <w:rPr>
          <w:rFonts w:ascii="Times New Roman" w:hAnsi="Times New Roman"/>
          <w:i/>
          <w:iCs/>
        </w:rPr>
        <w:t xml:space="preserve"> Life, </w:t>
      </w:r>
      <w:proofErr w:type="spellStart"/>
      <w:r w:rsidRPr="006D3411">
        <w:rPr>
          <w:rFonts w:ascii="Times New Roman" w:hAnsi="Times New Roman"/>
          <w:i/>
          <w:iCs/>
        </w:rPr>
        <w:t>Meaning</w:t>
      </w:r>
      <w:proofErr w:type="spellEnd"/>
      <w:r w:rsidRPr="006D3411">
        <w:rPr>
          <w:rFonts w:ascii="Times New Roman" w:hAnsi="Times New Roman"/>
          <w:i/>
          <w:iCs/>
        </w:rPr>
        <w:t xml:space="preserve">, and </w:t>
      </w:r>
      <w:proofErr w:type="spellStart"/>
      <w:r w:rsidRPr="006D3411">
        <w:rPr>
          <w:rFonts w:ascii="Times New Roman" w:hAnsi="Times New Roman"/>
          <w:i/>
          <w:iCs/>
        </w:rPr>
        <w:t>the</w:t>
      </w:r>
      <w:proofErr w:type="spellEnd"/>
      <w:r w:rsidRPr="006D3411">
        <w:rPr>
          <w:rFonts w:ascii="Times New Roman" w:hAnsi="Times New Roman"/>
          <w:i/>
          <w:iCs/>
        </w:rPr>
        <w:t xml:space="preserve"> Universe </w:t>
      </w:r>
      <w:proofErr w:type="spellStart"/>
      <w:r w:rsidRPr="006D3411">
        <w:rPr>
          <w:rFonts w:ascii="Times New Roman" w:hAnsi="Times New Roman"/>
          <w:i/>
          <w:iCs/>
        </w:rPr>
        <w:t>Itself</w:t>
      </w:r>
      <w:proofErr w:type="spellEnd"/>
      <w:r w:rsidRPr="006D3411">
        <w:rPr>
          <w:rFonts w:ascii="Times New Roman" w:hAnsi="Times New Roman"/>
          <w:i/>
          <w:iCs/>
        </w:rPr>
        <w:t>.</w:t>
      </w:r>
      <w:r w:rsidRPr="006D3411">
        <w:rPr>
          <w:rFonts w:ascii="Times New Roman" w:hAnsi="Times New Roman"/>
        </w:rPr>
        <w:t xml:space="preserve"> New York: Dutton.</w:t>
      </w:r>
    </w:p>
    <w:p w14:paraId="33BA3A2F" w14:textId="4C609552" w:rsidR="000072D7" w:rsidRPr="000072D7" w:rsidRDefault="000072D7" w:rsidP="000072D7">
      <w:pPr>
        <w:spacing w:before="100" w:beforeAutospacing="1" w:after="100" w:afterAutospacing="1"/>
        <w:rPr>
          <w:rFonts w:ascii="Times New Roman" w:hAnsi="Times New Roman"/>
        </w:rPr>
      </w:pPr>
    </w:p>
    <w:sectPr w:rsidR="000072D7" w:rsidRPr="000072D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509BF"/>
    <w:multiLevelType w:val="multilevel"/>
    <w:tmpl w:val="0C6A85D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F37CF"/>
    <w:multiLevelType w:val="multilevel"/>
    <w:tmpl w:val="85C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5212F"/>
    <w:multiLevelType w:val="multilevel"/>
    <w:tmpl w:val="6BBC6DC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737C8C"/>
    <w:multiLevelType w:val="multilevel"/>
    <w:tmpl w:val="C14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D6CCB"/>
    <w:multiLevelType w:val="multilevel"/>
    <w:tmpl w:val="016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24ADD"/>
    <w:multiLevelType w:val="multilevel"/>
    <w:tmpl w:val="71C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37C26"/>
    <w:multiLevelType w:val="multilevel"/>
    <w:tmpl w:val="0E70446A"/>
    <w:lvl w:ilvl="0">
      <w:start w:val="1"/>
      <w:numFmt w:val="decimal"/>
      <w:lvlText w:val="%1"/>
      <w:lvlJc w:val="left"/>
      <w:pPr>
        <w:ind w:left="360" w:hanging="360"/>
      </w:pPr>
      <w:rPr>
        <w:rFonts w:ascii="Calibri" w:hAnsi="Calibri" w:hint="default"/>
        <w:b w:val="0"/>
        <w:sz w:val="24"/>
      </w:rPr>
    </w:lvl>
    <w:lvl w:ilvl="1">
      <w:start w:val="2"/>
      <w:numFmt w:val="decimal"/>
      <w:lvlText w:val="%1.%2"/>
      <w:lvlJc w:val="left"/>
      <w:pPr>
        <w:ind w:left="360" w:hanging="360"/>
      </w:pPr>
      <w:rPr>
        <w:rFonts w:ascii="Calibri" w:hAnsi="Calibri" w:hint="default"/>
        <w:b w:val="0"/>
        <w:sz w:val="24"/>
      </w:rPr>
    </w:lvl>
    <w:lvl w:ilvl="2">
      <w:start w:val="1"/>
      <w:numFmt w:val="decimal"/>
      <w:lvlText w:val="%1.%2.%3"/>
      <w:lvlJc w:val="left"/>
      <w:pPr>
        <w:ind w:left="720" w:hanging="720"/>
      </w:pPr>
      <w:rPr>
        <w:rFonts w:ascii="Calibri" w:hAnsi="Calibri" w:hint="default"/>
        <w:b w:val="0"/>
        <w:sz w:val="24"/>
      </w:rPr>
    </w:lvl>
    <w:lvl w:ilvl="3">
      <w:start w:val="1"/>
      <w:numFmt w:val="decimal"/>
      <w:lvlText w:val="%1.%2.%3.%4"/>
      <w:lvlJc w:val="left"/>
      <w:pPr>
        <w:ind w:left="1080" w:hanging="1080"/>
      </w:pPr>
      <w:rPr>
        <w:rFonts w:ascii="Calibri" w:hAnsi="Calibri" w:hint="default"/>
        <w:b w:val="0"/>
        <w:sz w:val="24"/>
      </w:rPr>
    </w:lvl>
    <w:lvl w:ilvl="4">
      <w:start w:val="1"/>
      <w:numFmt w:val="decimal"/>
      <w:lvlText w:val="%1.%2.%3.%4.%5"/>
      <w:lvlJc w:val="left"/>
      <w:pPr>
        <w:ind w:left="1080" w:hanging="1080"/>
      </w:pPr>
      <w:rPr>
        <w:rFonts w:ascii="Calibri" w:hAnsi="Calibri" w:hint="default"/>
        <w:b w:val="0"/>
        <w:sz w:val="24"/>
      </w:rPr>
    </w:lvl>
    <w:lvl w:ilvl="5">
      <w:start w:val="1"/>
      <w:numFmt w:val="decimal"/>
      <w:lvlText w:val="%1.%2.%3.%4.%5.%6"/>
      <w:lvlJc w:val="left"/>
      <w:pPr>
        <w:ind w:left="1440" w:hanging="1440"/>
      </w:pPr>
      <w:rPr>
        <w:rFonts w:ascii="Calibri" w:hAnsi="Calibri" w:hint="default"/>
        <w:b w:val="0"/>
        <w:sz w:val="24"/>
      </w:rPr>
    </w:lvl>
    <w:lvl w:ilvl="6">
      <w:start w:val="1"/>
      <w:numFmt w:val="decimal"/>
      <w:lvlText w:val="%1.%2.%3.%4.%5.%6.%7"/>
      <w:lvlJc w:val="left"/>
      <w:pPr>
        <w:ind w:left="1440" w:hanging="1440"/>
      </w:pPr>
      <w:rPr>
        <w:rFonts w:ascii="Calibri" w:hAnsi="Calibri" w:hint="default"/>
        <w:b w:val="0"/>
        <w:sz w:val="24"/>
      </w:rPr>
    </w:lvl>
    <w:lvl w:ilvl="7">
      <w:start w:val="1"/>
      <w:numFmt w:val="decimal"/>
      <w:lvlText w:val="%1.%2.%3.%4.%5.%6.%7.%8"/>
      <w:lvlJc w:val="left"/>
      <w:pPr>
        <w:ind w:left="1800" w:hanging="1800"/>
      </w:pPr>
      <w:rPr>
        <w:rFonts w:ascii="Calibri" w:hAnsi="Calibri" w:hint="default"/>
        <w:b w:val="0"/>
        <w:sz w:val="24"/>
      </w:rPr>
    </w:lvl>
    <w:lvl w:ilvl="8">
      <w:start w:val="1"/>
      <w:numFmt w:val="decimal"/>
      <w:lvlText w:val="%1.%2.%3.%4.%5.%6.%7.%8.%9"/>
      <w:lvlJc w:val="left"/>
      <w:pPr>
        <w:ind w:left="1800" w:hanging="1800"/>
      </w:pPr>
      <w:rPr>
        <w:rFonts w:ascii="Calibri" w:hAnsi="Calibri" w:hint="default"/>
        <w:b w:val="0"/>
        <w:sz w:val="24"/>
      </w:rPr>
    </w:lvl>
  </w:abstractNum>
  <w:abstractNum w:abstractNumId="10" w15:restartNumberingAfterBreak="0">
    <w:nsid w:val="770F5B60"/>
    <w:multiLevelType w:val="multilevel"/>
    <w:tmpl w:val="716C9BAE"/>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3691435">
    <w:abstractNumId w:val="0"/>
  </w:num>
  <w:num w:numId="2" w16cid:durableId="1693649262">
    <w:abstractNumId w:val="2"/>
  </w:num>
  <w:num w:numId="3" w16cid:durableId="1657880372">
    <w:abstractNumId w:val="3"/>
  </w:num>
  <w:num w:numId="4" w16cid:durableId="666324855">
    <w:abstractNumId w:val="5"/>
  </w:num>
  <w:num w:numId="5" w16cid:durableId="480272941">
    <w:abstractNumId w:val="9"/>
  </w:num>
  <w:num w:numId="6" w16cid:durableId="2010131024">
    <w:abstractNumId w:val="4"/>
  </w:num>
  <w:num w:numId="7" w16cid:durableId="1267692345">
    <w:abstractNumId w:val="6"/>
  </w:num>
  <w:num w:numId="8" w16cid:durableId="2014070803">
    <w:abstractNumId w:val="1"/>
  </w:num>
  <w:num w:numId="9" w16cid:durableId="585454624">
    <w:abstractNumId w:val="8"/>
  </w:num>
  <w:num w:numId="10" w16cid:durableId="961303546">
    <w:abstractNumId w:val="7"/>
  </w:num>
  <w:num w:numId="11" w16cid:durableId="198358255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D7"/>
    <w:rsid w:val="000072D7"/>
    <w:rsid w:val="000202C2"/>
    <w:rsid w:val="000467F2"/>
    <w:rsid w:val="00081ECD"/>
    <w:rsid w:val="00082214"/>
    <w:rsid w:val="000859CE"/>
    <w:rsid w:val="000928CC"/>
    <w:rsid w:val="000C0F90"/>
    <w:rsid w:val="00106528"/>
    <w:rsid w:val="001456EC"/>
    <w:rsid w:val="00175519"/>
    <w:rsid w:val="001830F2"/>
    <w:rsid w:val="0019229D"/>
    <w:rsid w:val="00280D55"/>
    <w:rsid w:val="00287807"/>
    <w:rsid w:val="002B03D4"/>
    <w:rsid w:val="002D0AE5"/>
    <w:rsid w:val="002D4202"/>
    <w:rsid w:val="002E675D"/>
    <w:rsid w:val="002E79DD"/>
    <w:rsid w:val="002F631F"/>
    <w:rsid w:val="00324306"/>
    <w:rsid w:val="003508F1"/>
    <w:rsid w:val="00351660"/>
    <w:rsid w:val="0039789C"/>
    <w:rsid w:val="003C794D"/>
    <w:rsid w:val="0042399F"/>
    <w:rsid w:val="00433ECB"/>
    <w:rsid w:val="00436FC4"/>
    <w:rsid w:val="00446557"/>
    <w:rsid w:val="00500020"/>
    <w:rsid w:val="005033F4"/>
    <w:rsid w:val="00512AE0"/>
    <w:rsid w:val="00536DE4"/>
    <w:rsid w:val="005454E6"/>
    <w:rsid w:val="00560B17"/>
    <w:rsid w:val="005B5EFD"/>
    <w:rsid w:val="005C6469"/>
    <w:rsid w:val="005E4CED"/>
    <w:rsid w:val="006016DC"/>
    <w:rsid w:val="006347DA"/>
    <w:rsid w:val="00645A94"/>
    <w:rsid w:val="006B3CC8"/>
    <w:rsid w:val="006D3411"/>
    <w:rsid w:val="006E78CF"/>
    <w:rsid w:val="006F1FAD"/>
    <w:rsid w:val="006F4D88"/>
    <w:rsid w:val="007A3369"/>
    <w:rsid w:val="007B7DE7"/>
    <w:rsid w:val="007E333F"/>
    <w:rsid w:val="0080611F"/>
    <w:rsid w:val="00830E3F"/>
    <w:rsid w:val="008871CF"/>
    <w:rsid w:val="008B0C43"/>
    <w:rsid w:val="008C477D"/>
    <w:rsid w:val="008C4935"/>
    <w:rsid w:val="008F6345"/>
    <w:rsid w:val="009032D7"/>
    <w:rsid w:val="009508F7"/>
    <w:rsid w:val="00997246"/>
    <w:rsid w:val="009F2278"/>
    <w:rsid w:val="00A307C9"/>
    <w:rsid w:val="00AA4222"/>
    <w:rsid w:val="00AF4333"/>
    <w:rsid w:val="00AF6392"/>
    <w:rsid w:val="00B04313"/>
    <w:rsid w:val="00B20227"/>
    <w:rsid w:val="00B22CA9"/>
    <w:rsid w:val="00B40133"/>
    <w:rsid w:val="00B53EE0"/>
    <w:rsid w:val="00B873C2"/>
    <w:rsid w:val="00B8794C"/>
    <w:rsid w:val="00BA0E1F"/>
    <w:rsid w:val="00BA664A"/>
    <w:rsid w:val="00BB6463"/>
    <w:rsid w:val="00BC6FF6"/>
    <w:rsid w:val="00BD6645"/>
    <w:rsid w:val="00C2343F"/>
    <w:rsid w:val="00C914C0"/>
    <w:rsid w:val="00C94735"/>
    <w:rsid w:val="00CC1047"/>
    <w:rsid w:val="00CD2089"/>
    <w:rsid w:val="00D008DA"/>
    <w:rsid w:val="00D33BDA"/>
    <w:rsid w:val="00D44FE7"/>
    <w:rsid w:val="00D542C6"/>
    <w:rsid w:val="00D630EB"/>
    <w:rsid w:val="00D67542"/>
    <w:rsid w:val="00D70678"/>
    <w:rsid w:val="00D80CC8"/>
    <w:rsid w:val="00E2021E"/>
    <w:rsid w:val="00E211FD"/>
    <w:rsid w:val="00E6450A"/>
    <w:rsid w:val="00EA1CC2"/>
    <w:rsid w:val="00EC35D8"/>
    <w:rsid w:val="00EF084C"/>
    <w:rsid w:val="00F2456D"/>
    <w:rsid w:val="00F74A0F"/>
    <w:rsid w:val="00FE51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557B"/>
  <w15:chartTrackingRefBased/>
  <w15:docId w15:val="{3031AAD5-F120-4BFD-8B83-E1DD9B3B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D630EB"/>
    <w:rPr>
      <w:i/>
      <w:iCs/>
    </w:rPr>
  </w:style>
  <w:style w:type="character" w:customStyle="1" w:styleId="katex-mathml">
    <w:name w:val="katex-mathml"/>
    <w:basedOn w:val="Absatz-Standardschriftart"/>
    <w:rsid w:val="00175519"/>
  </w:style>
  <w:style w:type="character" w:customStyle="1" w:styleId="mord">
    <w:name w:val="mord"/>
    <w:basedOn w:val="Absatz-Standardschriftart"/>
    <w:rsid w:val="00175519"/>
  </w:style>
  <w:style w:type="character" w:customStyle="1" w:styleId="mrel">
    <w:name w:val="mrel"/>
    <w:basedOn w:val="Absatz-Standardschriftart"/>
    <w:rsid w:val="00175519"/>
  </w:style>
  <w:style w:type="character" w:customStyle="1" w:styleId="mbin">
    <w:name w:val="mbin"/>
    <w:basedOn w:val="Absatz-Standardschriftart"/>
    <w:rsid w:val="0017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438">
      <w:bodyDiv w:val="1"/>
      <w:marLeft w:val="0"/>
      <w:marRight w:val="0"/>
      <w:marTop w:val="0"/>
      <w:marBottom w:val="0"/>
      <w:divBdr>
        <w:top w:val="none" w:sz="0" w:space="0" w:color="auto"/>
        <w:left w:val="none" w:sz="0" w:space="0" w:color="auto"/>
        <w:bottom w:val="none" w:sz="0" w:space="0" w:color="auto"/>
        <w:right w:val="none" w:sz="0" w:space="0" w:color="auto"/>
      </w:divBdr>
    </w:div>
    <w:div w:id="5828541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1072941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8367375">
      <w:bodyDiv w:val="1"/>
      <w:marLeft w:val="0"/>
      <w:marRight w:val="0"/>
      <w:marTop w:val="0"/>
      <w:marBottom w:val="0"/>
      <w:divBdr>
        <w:top w:val="none" w:sz="0" w:space="0" w:color="auto"/>
        <w:left w:val="none" w:sz="0" w:space="0" w:color="auto"/>
        <w:bottom w:val="none" w:sz="0" w:space="0" w:color="auto"/>
        <w:right w:val="none" w:sz="0" w:space="0" w:color="auto"/>
      </w:divBdr>
      <w:divsChild>
        <w:div w:id="1964337934">
          <w:marLeft w:val="0"/>
          <w:marRight w:val="0"/>
          <w:marTop w:val="0"/>
          <w:marBottom w:val="0"/>
          <w:divBdr>
            <w:top w:val="none" w:sz="0" w:space="0" w:color="auto"/>
            <w:left w:val="none" w:sz="0" w:space="0" w:color="auto"/>
            <w:bottom w:val="none" w:sz="0" w:space="0" w:color="auto"/>
            <w:right w:val="none" w:sz="0" w:space="0" w:color="auto"/>
          </w:divBdr>
          <w:divsChild>
            <w:div w:id="1167669842">
              <w:marLeft w:val="0"/>
              <w:marRight w:val="0"/>
              <w:marTop w:val="0"/>
              <w:marBottom w:val="0"/>
              <w:divBdr>
                <w:top w:val="none" w:sz="0" w:space="0" w:color="auto"/>
                <w:left w:val="none" w:sz="0" w:space="0" w:color="auto"/>
                <w:bottom w:val="none" w:sz="0" w:space="0" w:color="auto"/>
                <w:right w:val="none" w:sz="0" w:space="0" w:color="auto"/>
              </w:divBdr>
              <w:divsChild>
                <w:div w:id="43257085">
                  <w:marLeft w:val="0"/>
                  <w:marRight w:val="0"/>
                  <w:marTop w:val="0"/>
                  <w:marBottom w:val="0"/>
                  <w:divBdr>
                    <w:top w:val="none" w:sz="0" w:space="0" w:color="auto"/>
                    <w:left w:val="none" w:sz="0" w:space="0" w:color="auto"/>
                    <w:bottom w:val="none" w:sz="0" w:space="0" w:color="auto"/>
                    <w:right w:val="none" w:sz="0" w:space="0" w:color="auto"/>
                  </w:divBdr>
                  <w:divsChild>
                    <w:div w:id="716776654">
                      <w:marLeft w:val="0"/>
                      <w:marRight w:val="0"/>
                      <w:marTop w:val="0"/>
                      <w:marBottom w:val="0"/>
                      <w:divBdr>
                        <w:top w:val="none" w:sz="0" w:space="0" w:color="auto"/>
                        <w:left w:val="none" w:sz="0" w:space="0" w:color="auto"/>
                        <w:bottom w:val="none" w:sz="0" w:space="0" w:color="auto"/>
                        <w:right w:val="none" w:sz="0" w:space="0" w:color="auto"/>
                      </w:divBdr>
                      <w:divsChild>
                        <w:div w:id="1191458310">
                          <w:marLeft w:val="0"/>
                          <w:marRight w:val="0"/>
                          <w:marTop w:val="0"/>
                          <w:marBottom w:val="0"/>
                          <w:divBdr>
                            <w:top w:val="none" w:sz="0" w:space="0" w:color="auto"/>
                            <w:left w:val="none" w:sz="0" w:space="0" w:color="auto"/>
                            <w:bottom w:val="none" w:sz="0" w:space="0" w:color="auto"/>
                            <w:right w:val="none" w:sz="0" w:space="0" w:color="auto"/>
                          </w:divBdr>
                          <w:divsChild>
                            <w:div w:id="5970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53366">
      <w:bodyDiv w:val="1"/>
      <w:marLeft w:val="0"/>
      <w:marRight w:val="0"/>
      <w:marTop w:val="0"/>
      <w:marBottom w:val="0"/>
      <w:divBdr>
        <w:top w:val="none" w:sz="0" w:space="0" w:color="auto"/>
        <w:left w:val="none" w:sz="0" w:space="0" w:color="auto"/>
        <w:bottom w:val="none" w:sz="0" w:space="0" w:color="auto"/>
        <w:right w:val="none" w:sz="0" w:space="0" w:color="auto"/>
      </w:divBdr>
    </w:div>
    <w:div w:id="353456747">
      <w:bodyDiv w:val="1"/>
      <w:marLeft w:val="0"/>
      <w:marRight w:val="0"/>
      <w:marTop w:val="0"/>
      <w:marBottom w:val="0"/>
      <w:divBdr>
        <w:top w:val="none" w:sz="0" w:space="0" w:color="auto"/>
        <w:left w:val="none" w:sz="0" w:space="0" w:color="auto"/>
        <w:bottom w:val="none" w:sz="0" w:space="0" w:color="auto"/>
        <w:right w:val="none" w:sz="0" w:space="0" w:color="auto"/>
      </w:divBdr>
    </w:div>
    <w:div w:id="385489282">
      <w:bodyDiv w:val="1"/>
      <w:marLeft w:val="0"/>
      <w:marRight w:val="0"/>
      <w:marTop w:val="0"/>
      <w:marBottom w:val="0"/>
      <w:divBdr>
        <w:top w:val="none" w:sz="0" w:space="0" w:color="auto"/>
        <w:left w:val="none" w:sz="0" w:space="0" w:color="auto"/>
        <w:bottom w:val="none" w:sz="0" w:space="0" w:color="auto"/>
        <w:right w:val="none" w:sz="0" w:space="0" w:color="auto"/>
      </w:divBdr>
    </w:div>
    <w:div w:id="535387371">
      <w:bodyDiv w:val="1"/>
      <w:marLeft w:val="0"/>
      <w:marRight w:val="0"/>
      <w:marTop w:val="0"/>
      <w:marBottom w:val="0"/>
      <w:divBdr>
        <w:top w:val="none" w:sz="0" w:space="0" w:color="auto"/>
        <w:left w:val="none" w:sz="0" w:space="0" w:color="auto"/>
        <w:bottom w:val="none" w:sz="0" w:space="0" w:color="auto"/>
        <w:right w:val="none" w:sz="0" w:space="0" w:color="auto"/>
      </w:divBdr>
    </w:div>
    <w:div w:id="619067998">
      <w:bodyDiv w:val="1"/>
      <w:marLeft w:val="0"/>
      <w:marRight w:val="0"/>
      <w:marTop w:val="0"/>
      <w:marBottom w:val="0"/>
      <w:divBdr>
        <w:top w:val="none" w:sz="0" w:space="0" w:color="auto"/>
        <w:left w:val="none" w:sz="0" w:space="0" w:color="auto"/>
        <w:bottom w:val="none" w:sz="0" w:space="0" w:color="auto"/>
        <w:right w:val="none" w:sz="0" w:space="0" w:color="auto"/>
      </w:divBdr>
    </w:div>
    <w:div w:id="762989745">
      <w:bodyDiv w:val="1"/>
      <w:marLeft w:val="0"/>
      <w:marRight w:val="0"/>
      <w:marTop w:val="0"/>
      <w:marBottom w:val="0"/>
      <w:divBdr>
        <w:top w:val="none" w:sz="0" w:space="0" w:color="auto"/>
        <w:left w:val="none" w:sz="0" w:space="0" w:color="auto"/>
        <w:bottom w:val="none" w:sz="0" w:space="0" w:color="auto"/>
        <w:right w:val="none" w:sz="0" w:space="0" w:color="auto"/>
      </w:divBdr>
    </w:div>
    <w:div w:id="767191549">
      <w:bodyDiv w:val="1"/>
      <w:marLeft w:val="0"/>
      <w:marRight w:val="0"/>
      <w:marTop w:val="0"/>
      <w:marBottom w:val="0"/>
      <w:divBdr>
        <w:top w:val="none" w:sz="0" w:space="0" w:color="auto"/>
        <w:left w:val="none" w:sz="0" w:space="0" w:color="auto"/>
        <w:bottom w:val="none" w:sz="0" w:space="0" w:color="auto"/>
        <w:right w:val="none" w:sz="0" w:space="0" w:color="auto"/>
      </w:divBdr>
    </w:div>
    <w:div w:id="777798242">
      <w:bodyDiv w:val="1"/>
      <w:marLeft w:val="0"/>
      <w:marRight w:val="0"/>
      <w:marTop w:val="0"/>
      <w:marBottom w:val="0"/>
      <w:divBdr>
        <w:top w:val="none" w:sz="0" w:space="0" w:color="auto"/>
        <w:left w:val="none" w:sz="0" w:space="0" w:color="auto"/>
        <w:bottom w:val="none" w:sz="0" w:space="0" w:color="auto"/>
        <w:right w:val="none" w:sz="0" w:space="0" w:color="auto"/>
      </w:divBdr>
    </w:div>
    <w:div w:id="78893505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3348502">
      <w:bodyDiv w:val="1"/>
      <w:marLeft w:val="0"/>
      <w:marRight w:val="0"/>
      <w:marTop w:val="0"/>
      <w:marBottom w:val="0"/>
      <w:divBdr>
        <w:top w:val="none" w:sz="0" w:space="0" w:color="auto"/>
        <w:left w:val="none" w:sz="0" w:space="0" w:color="auto"/>
        <w:bottom w:val="none" w:sz="0" w:space="0" w:color="auto"/>
        <w:right w:val="none" w:sz="0" w:space="0" w:color="auto"/>
      </w:divBdr>
    </w:div>
    <w:div w:id="947389295">
      <w:bodyDiv w:val="1"/>
      <w:marLeft w:val="0"/>
      <w:marRight w:val="0"/>
      <w:marTop w:val="0"/>
      <w:marBottom w:val="0"/>
      <w:divBdr>
        <w:top w:val="none" w:sz="0" w:space="0" w:color="auto"/>
        <w:left w:val="none" w:sz="0" w:space="0" w:color="auto"/>
        <w:bottom w:val="none" w:sz="0" w:space="0" w:color="auto"/>
        <w:right w:val="none" w:sz="0" w:space="0" w:color="auto"/>
      </w:divBdr>
      <w:divsChild>
        <w:div w:id="144900358">
          <w:marLeft w:val="0"/>
          <w:marRight w:val="0"/>
          <w:marTop w:val="0"/>
          <w:marBottom w:val="0"/>
          <w:divBdr>
            <w:top w:val="none" w:sz="0" w:space="0" w:color="auto"/>
            <w:left w:val="none" w:sz="0" w:space="0" w:color="auto"/>
            <w:bottom w:val="none" w:sz="0" w:space="0" w:color="auto"/>
            <w:right w:val="none" w:sz="0" w:space="0" w:color="auto"/>
          </w:divBdr>
          <w:divsChild>
            <w:div w:id="1472477648">
              <w:marLeft w:val="0"/>
              <w:marRight w:val="0"/>
              <w:marTop w:val="0"/>
              <w:marBottom w:val="0"/>
              <w:divBdr>
                <w:top w:val="none" w:sz="0" w:space="0" w:color="auto"/>
                <w:left w:val="none" w:sz="0" w:space="0" w:color="auto"/>
                <w:bottom w:val="none" w:sz="0" w:space="0" w:color="auto"/>
                <w:right w:val="none" w:sz="0" w:space="0" w:color="auto"/>
              </w:divBdr>
              <w:divsChild>
                <w:div w:id="1506289619">
                  <w:marLeft w:val="0"/>
                  <w:marRight w:val="0"/>
                  <w:marTop w:val="0"/>
                  <w:marBottom w:val="0"/>
                  <w:divBdr>
                    <w:top w:val="none" w:sz="0" w:space="0" w:color="auto"/>
                    <w:left w:val="none" w:sz="0" w:space="0" w:color="auto"/>
                    <w:bottom w:val="none" w:sz="0" w:space="0" w:color="auto"/>
                    <w:right w:val="none" w:sz="0" w:space="0" w:color="auto"/>
                  </w:divBdr>
                  <w:divsChild>
                    <w:div w:id="29034872">
                      <w:marLeft w:val="0"/>
                      <w:marRight w:val="0"/>
                      <w:marTop w:val="0"/>
                      <w:marBottom w:val="0"/>
                      <w:divBdr>
                        <w:top w:val="none" w:sz="0" w:space="0" w:color="auto"/>
                        <w:left w:val="none" w:sz="0" w:space="0" w:color="auto"/>
                        <w:bottom w:val="none" w:sz="0" w:space="0" w:color="auto"/>
                        <w:right w:val="none" w:sz="0" w:space="0" w:color="auto"/>
                      </w:divBdr>
                      <w:divsChild>
                        <w:div w:id="1507670891">
                          <w:marLeft w:val="0"/>
                          <w:marRight w:val="0"/>
                          <w:marTop w:val="0"/>
                          <w:marBottom w:val="0"/>
                          <w:divBdr>
                            <w:top w:val="none" w:sz="0" w:space="0" w:color="auto"/>
                            <w:left w:val="none" w:sz="0" w:space="0" w:color="auto"/>
                            <w:bottom w:val="none" w:sz="0" w:space="0" w:color="auto"/>
                            <w:right w:val="none" w:sz="0" w:space="0" w:color="auto"/>
                          </w:divBdr>
                          <w:divsChild>
                            <w:div w:id="19183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25599">
          <w:marLeft w:val="0"/>
          <w:marRight w:val="0"/>
          <w:marTop w:val="0"/>
          <w:marBottom w:val="0"/>
          <w:divBdr>
            <w:top w:val="none" w:sz="0" w:space="0" w:color="auto"/>
            <w:left w:val="none" w:sz="0" w:space="0" w:color="auto"/>
            <w:bottom w:val="none" w:sz="0" w:space="0" w:color="auto"/>
            <w:right w:val="none" w:sz="0" w:space="0" w:color="auto"/>
          </w:divBdr>
          <w:divsChild>
            <w:div w:id="1122533142">
              <w:marLeft w:val="0"/>
              <w:marRight w:val="0"/>
              <w:marTop w:val="0"/>
              <w:marBottom w:val="0"/>
              <w:divBdr>
                <w:top w:val="none" w:sz="0" w:space="0" w:color="auto"/>
                <w:left w:val="none" w:sz="0" w:space="0" w:color="auto"/>
                <w:bottom w:val="none" w:sz="0" w:space="0" w:color="auto"/>
                <w:right w:val="none" w:sz="0" w:space="0" w:color="auto"/>
              </w:divBdr>
              <w:divsChild>
                <w:div w:id="1919712049">
                  <w:marLeft w:val="0"/>
                  <w:marRight w:val="0"/>
                  <w:marTop w:val="0"/>
                  <w:marBottom w:val="0"/>
                  <w:divBdr>
                    <w:top w:val="none" w:sz="0" w:space="0" w:color="auto"/>
                    <w:left w:val="none" w:sz="0" w:space="0" w:color="auto"/>
                    <w:bottom w:val="none" w:sz="0" w:space="0" w:color="auto"/>
                    <w:right w:val="none" w:sz="0" w:space="0" w:color="auto"/>
                  </w:divBdr>
                  <w:divsChild>
                    <w:div w:id="1613128273">
                      <w:marLeft w:val="0"/>
                      <w:marRight w:val="0"/>
                      <w:marTop w:val="0"/>
                      <w:marBottom w:val="0"/>
                      <w:divBdr>
                        <w:top w:val="none" w:sz="0" w:space="0" w:color="auto"/>
                        <w:left w:val="none" w:sz="0" w:space="0" w:color="auto"/>
                        <w:bottom w:val="none" w:sz="0" w:space="0" w:color="auto"/>
                        <w:right w:val="none" w:sz="0" w:space="0" w:color="auto"/>
                      </w:divBdr>
                      <w:divsChild>
                        <w:div w:id="208692167">
                          <w:marLeft w:val="0"/>
                          <w:marRight w:val="0"/>
                          <w:marTop w:val="0"/>
                          <w:marBottom w:val="0"/>
                          <w:divBdr>
                            <w:top w:val="none" w:sz="0" w:space="0" w:color="auto"/>
                            <w:left w:val="none" w:sz="0" w:space="0" w:color="auto"/>
                            <w:bottom w:val="none" w:sz="0" w:space="0" w:color="auto"/>
                            <w:right w:val="none" w:sz="0" w:space="0" w:color="auto"/>
                          </w:divBdr>
                          <w:divsChild>
                            <w:div w:id="1839272815">
                              <w:marLeft w:val="0"/>
                              <w:marRight w:val="0"/>
                              <w:marTop w:val="0"/>
                              <w:marBottom w:val="0"/>
                              <w:divBdr>
                                <w:top w:val="none" w:sz="0" w:space="0" w:color="auto"/>
                                <w:left w:val="none" w:sz="0" w:space="0" w:color="auto"/>
                                <w:bottom w:val="none" w:sz="0" w:space="0" w:color="auto"/>
                                <w:right w:val="none" w:sz="0" w:space="0" w:color="auto"/>
                              </w:divBdr>
                              <w:divsChild>
                                <w:div w:id="2229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194406">
      <w:bodyDiv w:val="1"/>
      <w:marLeft w:val="0"/>
      <w:marRight w:val="0"/>
      <w:marTop w:val="0"/>
      <w:marBottom w:val="0"/>
      <w:divBdr>
        <w:top w:val="none" w:sz="0" w:space="0" w:color="auto"/>
        <w:left w:val="none" w:sz="0" w:space="0" w:color="auto"/>
        <w:bottom w:val="none" w:sz="0" w:space="0" w:color="auto"/>
        <w:right w:val="none" w:sz="0" w:space="0" w:color="auto"/>
      </w:divBdr>
    </w:div>
    <w:div w:id="1006708657">
      <w:bodyDiv w:val="1"/>
      <w:marLeft w:val="0"/>
      <w:marRight w:val="0"/>
      <w:marTop w:val="0"/>
      <w:marBottom w:val="0"/>
      <w:divBdr>
        <w:top w:val="none" w:sz="0" w:space="0" w:color="auto"/>
        <w:left w:val="none" w:sz="0" w:space="0" w:color="auto"/>
        <w:bottom w:val="none" w:sz="0" w:space="0" w:color="auto"/>
        <w:right w:val="none" w:sz="0" w:space="0" w:color="auto"/>
      </w:divBdr>
    </w:div>
    <w:div w:id="1079793130">
      <w:bodyDiv w:val="1"/>
      <w:marLeft w:val="0"/>
      <w:marRight w:val="0"/>
      <w:marTop w:val="0"/>
      <w:marBottom w:val="0"/>
      <w:divBdr>
        <w:top w:val="none" w:sz="0" w:space="0" w:color="auto"/>
        <w:left w:val="none" w:sz="0" w:space="0" w:color="auto"/>
        <w:bottom w:val="none" w:sz="0" w:space="0" w:color="auto"/>
        <w:right w:val="none" w:sz="0" w:space="0" w:color="auto"/>
      </w:divBdr>
    </w:div>
    <w:div w:id="1224832119">
      <w:bodyDiv w:val="1"/>
      <w:marLeft w:val="0"/>
      <w:marRight w:val="0"/>
      <w:marTop w:val="0"/>
      <w:marBottom w:val="0"/>
      <w:divBdr>
        <w:top w:val="none" w:sz="0" w:space="0" w:color="auto"/>
        <w:left w:val="none" w:sz="0" w:space="0" w:color="auto"/>
        <w:bottom w:val="none" w:sz="0" w:space="0" w:color="auto"/>
        <w:right w:val="none" w:sz="0" w:space="0" w:color="auto"/>
      </w:divBdr>
    </w:div>
    <w:div w:id="1248341972">
      <w:bodyDiv w:val="1"/>
      <w:marLeft w:val="0"/>
      <w:marRight w:val="0"/>
      <w:marTop w:val="0"/>
      <w:marBottom w:val="0"/>
      <w:divBdr>
        <w:top w:val="none" w:sz="0" w:space="0" w:color="auto"/>
        <w:left w:val="none" w:sz="0" w:space="0" w:color="auto"/>
        <w:bottom w:val="none" w:sz="0" w:space="0" w:color="auto"/>
        <w:right w:val="none" w:sz="0" w:space="0" w:color="auto"/>
      </w:divBdr>
    </w:div>
    <w:div w:id="1333996862">
      <w:bodyDiv w:val="1"/>
      <w:marLeft w:val="0"/>
      <w:marRight w:val="0"/>
      <w:marTop w:val="0"/>
      <w:marBottom w:val="0"/>
      <w:divBdr>
        <w:top w:val="none" w:sz="0" w:space="0" w:color="auto"/>
        <w:left w:val="none" w:sz="0" w:space="0" w:color="auto"/>
        <w:bottom w:val="none" w:sz="0" w:space="0" w:color="auto"/>
        <w:right w:val="none" w:sz="0" w:space="0" w:color="auto"/>
      </w:divBdr>
    </w:div>
    <w:div w:id="1403287351">
      <w:bodyDiv w:val="1"/>
      <w:marLeft w:val="0"/>
      <w:marRight w:val="0"/>
      <w:marTop w:val="0"/>
      <w:marBottom w:val="0"/>
      <w:divBdr>
        <w:top w:val="none" w:sz="0" w:space="0" w:color="auto"/>
        <w:left w:val="none" w:sz="0" w:space="0" w:color="auto"/>
        <w:bottom w:val="none" w:sz="0" w:space="0" w:color="auto"/>
        <w:right w:val="none" w:sz="0" w:space="0" w:color="auto"/>
      </w:divBdr>
    </w:div>
    <w:div w:id="1682318862">
      <w:bodyDiv w:val="1"/>
      <w:marLeft w:val="0"/>
      <w:marRight w:val="0"/>
      <w:marTop w:val="0"/>
      <w:marBottom w:val="0"/>
      <w:divBdr>
        <w:top w:val="none" w:sz="0" w:space="0" w:color="auto"/>
        <w:left w:val="none" w:sz="0" w:space="0" w:color="auto"/>
        <w:bottom w:val="none" w:sz="0" w:space="0" w:color="auto"/>
        <w:right w:val="none" w:sz="0" w:space="0" w:color="auto"/>
      </w:divBdr>
    </w:div>
    <w:div w:id="1697851257">
      <w:bodyDiv w:val="1"/>
      <w:marLeft w:val="0"/>
      <w:marRight w:val="0"/>
      <w:marTop w:val="0"/>
      <w:marBottom w:val="0"/>
      <w:divBdr>
        <w:top w:val="none" w:sz="0" w:space="0" w:color="auto"/>
        <w:left w:val="none" w:sz="0" w:space="0" w:color="auto"/>
        <w:bottom w:val="none" w:sz="0" w:space="0" w:color="auto"/>
        <w:right w:val="none" w:sz="0" w:space="0" w:color="auto"/>
      </w:divBdr>
    </w:div>
    <w:div w:id="1701661021">
      <w:bodyDiv w:val="1"/>
      <w:marLeft w:val="0"/>
      <w:marRight w:val="0"/>
      <w:marTop w:val="0"/>
      <w:marBottom w:val="0"/>
      <w:divBdr>
        <w:top w:val="none" w:sz="0" w:space="0" w:color="auto"/>
        <w:left w:val="none" w:sz="0" w:space="0" w:color="auto"/>
        <w:bottom w:val="none" w:sz="0" w:space="0" w:color="auto"/>
        <w:right w:val="none" w:sz="0" w:space="0" w:color="auto"/>
      </w:divBdr>
    </w:div>
    <w:div w:id="1731802217">
      <w:bodyDiv w:val="1"/>
      <w:marLeft w:val="0"/>
      <w:marRight w:val="0"/>
      <w:marTop w:val="0"/>
      <w:marBottom w:val="0"/>
      <w:divBdr>
        <w:top w:val="none" w:sz="0" w:space="0" w:color="auto"/>
        <w:left w:val="none" w:sz="0" w:space="0" w:color="auto"/>
        <w:bottom w:val="none" w:sz="0" w:space="0" w:color="auto"/>
        <w:right w:val="none" w:sz="0" w:space="0" w:color="auto"/>
      </w:divBdr>
    </w:div>
    <w:div w:id="1735617367">
      <w:bodyDiv w:val="1"/>
      <w:marLeft w:val="0"/>
      <w:marRight w:val="0"/>
      <w:marTop w:val="0"/>
      <w:marBottom w:val="0"/>
      <w:divBdr>
        <w:top w:val="none" w:sz="0" w:space="0" w:color="auto"/>
        <w:left w:val="none" w:sz="0" w:space="0" w:color="auto"/>
        <w:bottom w:val="none" w:sz="0" w:space="0" w:color="auto"/>
        <w:right w:val="none" w:sz="0" w:space="0" w:color="auto"/>
      </w:divBdr>
    </w:div>
    <w:div w:id="1763144593">
      <w:bodyDiv w:val="1"/>
      <w:marLeft w:val="0"/>
      <w:marRight w:val="0"/>
      <w:marTop w:val="0"/>
      <w:marBottom w:val="0"/>
      <w:divBdr>
        <w:top w:val="none" w:sz="0" w:space="0" w:color="auto"/>
        <w:left w:val="none" w:sz="0" w:space="0" w:color="auto"/>
        <w:bottom w:val="none" w:sz="0" w:space="0" w:color="auto"/>
        <w:right w:val="none" w:sz="0" w:space="0" w:color="auto"/>
      </w:divBdr>
      <w:divsChild>
        <w:div w:id="30110567">
          <w:marLeft w:val="0"/>
          <w:marRight w:val="0"/>
          <w:marTop w:val="0"/>
          <w:marBottom w:val="0"/>
          <w:divBdr>
            <w:top w:val="none" w:sz="0" w:space="0" w:color="auto"/>
            <w:left w:val="none" w:sz="0" w:space="0" w:color="auto"/>
            <w:bottom w:val="none" w:sz="0" w:space="0" w:color="auto"/>
            <w:right w:val="none" w:sz="0" w:space="0" w:color="auto"/>
          </w:divBdr>
          <w:divsChild>
            <w:div w:id="10173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9086">
      <w:bodyDiv w:val="1"/>
      <w:marLeft w:val="0"/>
      <w:marRight w:val="0"/>
      <w:marTop w:val="0"/>
      <w:marBottom w:val="0"/>
      <w:divBdr>
        <w:top w:val="none" w:sz="0" w:space="0" w:color="auto"/>
        <w:left w:val="none" w:sz="0" w:space="0" w:color="auto"/>
        <w:bottom w:val="none" w:sz="0" w:space="0" w:color="auto"/>
        <w:right w:val="none" w:sz="0" w:space="0" w:color="auto"/>
      </w:divBdr>
    </w:div>
    <w:div w:id="1930888014">
      <w:bodyDiv w:val="1"/>
      <w:marLeft w:val="0"/>
      <w:marRight w:val="0"/>
      <w:marTop w:val="0"/>
      <w:marBottom w:val="0"/>
      <w:divBdr>
        <w:top w:val="none" w:sz="0" w:space="0" w:color="auto"/>
        <w:left w:val="none" w:sz="0" w:space="0" w:color="auto"/>
        <w:bottom w:val="none" w:sz="0" w:space="0" w:color="auto"/>
        <w:right w:val="none" w:sz="0" w:space="0" w:color="auto"/>
      </w:divBdr>
    </w:div>
    <w:div w:id="1974943215">
      <w:bodyDiv w:val="1"/>
      <w:marLeft w:val="0"/>
      <w:marRight w:val="0"/>
      <w:marTop w:val="0"/>
      <w:marBottom w:val="0"/>
      <w:divBdr>
        <w:top w:val="none" w:sz="0" w:space="0" w:color="auto"/>
        <w:left w:val="none" w:sz="0" w:space="0" w:color="auto"/>
        <w:bottom w:val="none" w:sz="0" w:space="0" w:color="auto"/>
        <w:right w:val="none" w:sz="0" w:space="0" w:color="auto"/>
      </w:divBdr>
    </w:div>
    <w:div w:id="1999571691">
      <w:bodyDiv w:val="1"/>
      <w:marLeft w:val="0"/>
      <w:marRight w:val="0"/>
      <w:marTop w:val="0"/>
      <w:marBottom w:val="0"/>
      <w:divBdr>
        <w:top w:val="none" w:sz="0" w:space="0" w:color="auto"/>
        <w:left w:val="none" w:sz="0" w:space="0" w:color="auto"/>
        <w:bottom w:val="none" w:sz="0" w:space="0" w:color="auto"/>
        <w:right w:val="none" w:sz="0" w:space="0" w:color="auto"/>
      </w:divBdr>
    </w:div>
    <w:div w:id="2009750691">
      <w:bodyDiv w:val="1"/>
      <w:marLeft w:val="0"/>
      <w:marRight w:val="0"/>
      <w:marTop w:val="0"/>
      <w:marBottom w:val="0"/>
      <w:divBdr>
        <w:top w:val="none" w:sz="0" w:space="0" w:color="auto"/>
        <w:left w:val="none" w:sz="0" w:space="0" w:color="auto"/>
        <w:bottom w:val="none" w:sz="0" w:space="0" w:color="auto"/>
        <w:right w:val="none" w:sz="0" w:space="0" w:color="auto"/>
      </w:divBdr>
    </w:div>
    <w:div w:id="2033023671">
      <w:bodyDiv w:val="1"/>
      <w:marLeft w:val="0"/>
      <w:marRight w:val="0"/>
      <w:marTop w:val="0"/>
      <w:marBottom w:val="0"/>
      <w:divBdr>
        <w:top w:val="none" w:sz="0" w:space="0" w:color="auto"/>
        <w:left w:val="none" w:sz="0" w:space="0" w:color="auto"/>
        <w:bottom w:val="none" w:sz="0" w:space="0" w:color="auto"/>
        <w:right w:val="none" w:sz="0" w:space="0" w:color="auto"/>
      </w:divBdr>
    </w:div>
    <w:div w:id="210595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wnloads\Doktorarbeit\16.07.25\Kapitel%201\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16</Pages>
  <Words>5987</Words>
  <Characters>37723</Characters>
  <Application>Microsoft Office Word</Application>
  <DocSecurity>0</DocSecurity>
  <Lines>314</Lines>
  <Paragraphs>87</Paragraphs>
  <ScaleCrop>false</ScaleCrop>
  <HeadingPairs>
    <vt:vector size="4" baseType="variant">
      <vt:variant>
        <vt:lpstr>Titel</vt:lpstr>
      </vt:variant>
      <vt:variant>
        <vt:i4>1</vt:i4>
      </vt:variant>
      <vt:variant>
        <vt:lpstr>Überschriften</vt:lpstr>
      </vt:variant>
      <vt:variant>
        <vt:i4>23</vt:i4>
      </vt:variant>
    </vt:vector>
  </HeadingPairs>
  <TitlesOfParts>
    <vt:vector size="24" baseType="lpstr">
      <vt:lpstr/>
      <vt:lpstr>Kapitel 1: </vt:lpstr>
      <vt:lpstr>    Einleitung oder wie diese Arbeit entstanden ist</vt:lpstr>
      <vt:lpstr>        1.1.1 Praktisches Beispiel Textaufgabe</vt:lpstr>
      <vt:lpstr>        1.1.2 Praktisches Beispiel lineare Gleichungen</vt:lpstr>
      <vt:lpstr>        1.1.3 Ein weiters praktische Beispiel</vt:lpstr>
      <vt:lpstr>Professor Rudolf Taschner (ETH Zürich/Vortrag youtube 2013) - Der Irrtum des Pyt</vt:lpstr>
      <vt:lpstr>        1.1.4 Zusammenfassung</vt:lpstr>
      <vt:lpstr>    1.2 Lösungsweg und Ergebnis</vt:lpstr>
      <vt:lpstr>    1.3 Die Rolle des Tutors und die Struktur von Nachhilfe im Kontext der individue</vt:lpstr>
      <vt:lpstr>        1.4.1 Die Didaktische Differenzierung zwischen Nachhilfe und regulärem Unterrich</vt:lpstr>
      <vt:lpstr>        1.4.2 Die Bedeutung der Bezugssysteme und der persönlichen Relevanz</vt:lpstr>
      <vt:lpstr>        1.4.3 Die Lernenden</vt:lpstr>
      <vt:lpstr>    1.5 Die Lernumgebung und Unterrichtsführung</vt:lpstr>
      <vt:lpstr>    1.6 Forschungsstand und wissenschaftlicher Kontext</vt:lpstr>
      <vt:lpstr>        1.2.1 Physikalische Perspektiven: Emergenz von Raumzeit</vt:lpstr>
      <vt:lpstr>        1.2.2 Systemtheoretische und kybernetische Ansätze</vt:lpstr>
      <vt:lpstr>        1.2.3 Didaktische und bildungswissenschaftliche Modelle</vt:lpstr>
      <vt:lpstr>        1.2.4 Interdisziplinäre Verortung des FRZK</vt:lpstr>
      <vt:lpstr>    1.7 Forschungsziel</vt:lpstr>
      <vt:lpstr>    1.8 Warum jetzt</vt:lpstr>
      <vt:lpstr>    1.9 Begründung der Eignung zur Dissertation:</vt:lpstr>
      <vt:lpstr>    1.10 Fazit</vt:lpstr>
      <vt:lpstr>        Literaturverzeichnis</vt:lpstr>
    </vt:vector>
  </TitlesOfParts>
  <Company/>
  <LinksUpToDate>false</LinksUpToDate>
  <CharactersWithSpaces>43623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2025-08-21T11:48:00Z</dcterms:created>
  <dcterms:modified xsi:type="dcterms:W3CDTF">2025-10-27T02:48:00Z</dcterms:modified>
</cp:coreProperties>
</file>