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A5E12" w14:textId="77777777" w:rsidR="00A20BC8" w:rsidRPr="002B309A" w:rsidRDefault="00A20BC8" w:rsidP="00A20BC8">
      <w:pPr>
        <w:pStyle w:val="berschrift2"/>
      </w:pPr>
      <w:r w:rsidRPr="002B309A">
        <w:t>3.</w:t>
      </w:r>
      <w:r>
        <w:t>3</w:t>
      </w:r>
      <w:r w:rsidRPr="002B309A">
        <w:t xml:space="preserve"> Erste Entität: Der Initialpunkt – Abstraktion und Unterscheidbarkeit</w:t>
      </w:r>
    </w:p>
    <w:p w14:paraId="62878784" w14:textId="77777777" w:rsidR="00A20BC8" w:rsidRPr="002B309A" w:rsidRDefault="00A20BC8" w:rsidP="00A20BC8">
      <w:r w:rsidRPr="002B309A">
        <w:t>Wenn ich ein System entwickle – sei es im Kontext der Didaktik, theoretischer Modellbildung oder als interdisziplinärer Denkansatz – dann beginne ich nicht mit einer fixen Idee oder einer festgelegten Struktur. Ich beginne mit einer Bühne, die offen und anpassungsfähig genug ist, um alles hervorzubringen, was später darin erscheinen mag. Diese Bühne darf nicht rigide sein. Sie muss wandelbar bleiben – anschlussfähig an das, was verstanden wird, an das, was sich verändert, und an das, was verworfen oder neu gedacht werden muss.</w:t>
      </w:r>
    </w:p>
    <w:p w14:paraId="0466CEE3" w14:textId="77777777" w:rsidR="00A20BC8" w:rsidRPr="002B309A" w:rsidRDefault="00A20BC8" w:rsidP="00A20BC8">
      <w:r w:rsidRPr="002B309A">
        <w:t>Was auf dieser Bühne zuerst erscheint, ist nicht Inhalt, sondern der Akt einer Setzung. Das Nichts (</w:t>
      </w:r>
      <w:r w:rsidRPr="002B309A">
        <w:rPr>
          <w:rFonts w:ascii="Cambria Math" w:hAnsi="Cambria Math" w:cs="Cambria Math"/>
        </w:rPr>
        <w:t>∅</w:t>
      </w:r>
      <w:r w:rsidRPr="002B309A">
        <w:t>), das in Abschnitt 3.1 als M</w:t>
      </w:r>
      <w:r w:rsidRPr="002B309A">
        <w:rPr>
          <w:rFonts w:cs="Calibri"/>
        </w:rPr>
        <w:t>ö</w:t>
      </w:r>
      <w:r w:rsidRPr="002B309A">
        <w:t>glichkeitsraum begr</w:t>
      </w:r>
      <w:r w:rsidRPr="002B309A">
        <w:rPr>
          <w:rFonts w:cs="Calibri"/>
        </w:rPr>
        <w:t>ü</w:t>
      </w:r>
      <w:r w:rsidRPr="002B309A">
        <w:t>ndet wurde, ist kein Mangel, sondern eine produktive Leerstelle. Genau hier setzt das Funktionale Raum-Zeit-Koh</w:t>
      </w:r>
      <w:r w:rsidRPr="002B309A">
        <w:rPr>
          <w:rFonts w:cs="Calibri"/>
        </w:rPr>
        <w:t>ä</w:t>
      </w:r>
      <w:r w:rsidRPr="002B309A">
        <w:t xml:space="preserve">renzsystem (FRZK) an: Der Anfang ist nicht ein Gedanke oder Begriff, sondern der Initialpunkt </w:t>
      </w:r>
      <w:r w:rsidRPr="002B309A">
        <w:rPr>
          <w:rFonts w:cs="Calibri"/>
        </w:rPr>
        <w:t>–</w:t>
      </w:r>
      <w:r w:rsidRPr="002B309A">
        <w:t xml:space="preserve"> die erste Unterscheidung, die noch keinen Inhalt tr</w:t>
      </w:r>
      <w:r w:rsidRPr="002B309A">
        <w:rPr>
          <w:rFonts w:cs="Calibri"/>
        </w:rPr>
        <w:t>ä</w:t>
      </w:r>
      <w:r w:rsidRPr="002B309A">
        <w:t>gt, aber bereits eine Form impliziert. Ein Unterschied, der sich nur gegen</w:t>
      </w:r>
      <w:r w:rsidRPr="002B309A">
        <w:rPr>
          <w:rFonts w:cs="Calibri"/>
        </w:rPr>
        <w:t>ü</w:t>
      </w:r>
      <w:r w:rsidRPr="002B309A">
        <w:t>ber der Leere abhebt. Der Initialpunkt ist damit keine Sache, kein Objekt – er ist eine Funktion. Eine Setzung, ein Ereignis. Und genau in dieser Setzung beginnt die Emergenz: von Raum, von Zeit, von Bedeutung.</w:t>
      </w:r>
    </w:p>
    <w:p w14:paraId="771B9E92" w14:textId="77777777" w:rsidR="00A20BC8" w:rsidRPr="002B309A" w:rsidRDefault="00A20BC8" w:rsidP="00A20BC8">
      <w:r w:rsidRPr="002B309A">
        <w:t>In der Praxis wie in der Theorie bedeutet das: Modellbildung und Lernen benötigen nicht sofort Inhalte, sondern zunächst eine funktionale Struktur, die das Entstehen von Inhalten ermöglicht. Der Initialpunkt ist der erste Ort, an dem Unterscheidung möglich wird. Er ist nicht die Antwort – er ist die Bedingung dafür, dass eine Frage überhaupt Sinn ergibt.</w:t>
      </w:r>
    </w:p>
    <w:p w14:paraId="799F4B82" w14:textId="77777777" w:rsidR="00A20BC8" w:rsidRPr="002B309A" w:rsidRDefault="00A20BC8" w:rsidP="00A20BC8">
      <w:r w:rsidRPr="002B309A">
        <w:t>Das lässt sich in didaktischen Settings erproben, etwa wenn Schülerinnen und Schüler mit dem Leermengenaxiom arbeiten oder beim Übergang von Alltagssprache zu formaler Mathematik ins Stolpern geraten. Beobachtungen, Fehleranalysen und Interviews geben Aufschluss darüber, wie Lernende den Übergang vom „Nichts“ zu ersten Strukturen vollziehen – und machen den Prozess des Hervorbringens sichtbar.</w:t>
      </w:r>
    </w:p>
    <w:p w14:paraId="6F20BFD2" w14:textId="77777777" w:rsidR="00A20BC8" w:rsidRPr="002B309A" w:rsidRDefault="00A20BC8" w:rsidP="00A20BC8">
      <w:r w:rsidRPr="002B309A">
        <w:t>Dass diese abstrakte Setzung nicht im Theoretischen verbleibt, zeigt sich in Kapitel 6.1.3 und 6.1.4: Dort wird der Initialpunkt in praktischen Lernsettings sichtbar, wenn Lernende erstmals im epistemischen Raum verortet werden.</w:t>
      </w:r>
    </w:p>
    <w:p w14:paraId="566BD665" w14:textId="77777777" w:rsidR="00A20BC8" w:rsidRPr="002B309A" w:rsidRDefault="00A20BC8" w:rsidP="00A20BC8">
      <w:r>
        <w:pict w14:anchorId="4F921EE9">
          <v:rect id="_x0000_i1025" style="width:0;height:1.5pt" o:hralign="center" o:hrstd="t" o:hr="t" fillcolor="#a0a0a0" stroked="f"/>
        </w:pict>
      </w:r>
    </w:p>
    <w:p w14:paraId="020CCB52" w14:textId="77777777" w:rsidR="00A20BC8" w:rsidRPr="002B309A" w:rsidRDefault="00A20BC8" w:rsidP="00A20BC8">
      <w:pPr>
        <w:pStyle w:val="berschrift3"/>
      </w:pPr>
      <w:r w:rsidRPr="002B309A">
        <w:t>3.</w:t>
      </w:r>
      <w:r>
        <w:t>3</w:t>
      </w:r>
      <w:r w:rsidRPr="002B309A">
        <w:t>.1 Die Notwendigkeit einer ersten Unterscheidung</w:t>
      </w:r>
    </w:p>
    <w:p w14:paraId="3FE0A81C" w14:textId="77777777" w:rsidR="00A20BC8" w:rsidRPr="002B309A" w:rsidRDefault="00A20BC8" w:rsidP="00A20BC8">
      <w:r w:rsidRPr="002B309A">
        <w:t>Bevor ich irgendetwas erklären, bauen oder modellieren kann, muss ich zuerst unterscheiden. Ohne Unterscheidung ist alles gleich – und damit ununterscheidbar. Der erste strukturbildende Schritt ist deshalb keine Definition, sondern eine Differenz.</w:t>
      </w:r>
    </w:p>
    <w:p w14:paraId="289E112B" w14:textId="77777777" w:rsidR="00A20BC8" w:rsidRPr="002B309A" w:rsidRDefault="00A20BC8" w:rsidP="00A20BC8">
      <w:r w:rsidRPr="002B309A">
        <w:t>Hermann Weyl bringt dies poetisch zum Ausdruck:</w:t>
      </w:r>
      <w:r w:rsidRPr="002B309A">
        <w:br/>
        <w:t>„Die Form kommt aus dem Formlosen“ (</w:t>
      </w:r>
      <w:r w:rsidRPr="002B309A">
        <w:rPr>
          <w:i/>
          <w:iCs/>
        </w:rPr>
        <w:t>Philosophie der Mathematik und Naturwissenschaften</w:t>
      </w:r>
      <w:r w:rsidRPr="002B309A">
        <w:t>, 1927, Kap. 1) [16].</w:t>
      </w:r>
    </w:p>
    <w:p w14:paraId="530564AE" w14:textId="77777777" w:rsidR="00A20BC8" w:rsidRPr="002B309A" w:rsidRDefault="00A20BC8" w:rsidP="00A20BC8">
      <w:r w:rsidRPr="002B309A">
        <w:t>Der Akt der Unterscheidung ist nicht sekundär, sondern konstitutiv – er erzeugt die Bühne, auf der sich alles Weitere zeigen kann. Genau hier liegt die Idee des Initialpunkts: Er ist der Moment, in dem Form aus der Leere hervorgeht.</w:t>
      </w:r>
    </w:p>
    <w:p w14:paraId="10F43AAF" w14:textId="77777777" w:rsidR="00A20BC8" w:rsidRPr="002B309A" w:rsidRDefault="00A20BC8" w:rsidP="00A20BC8">
      <w:r w:rsidRPr="002B309A">
        <w:t>George Spencer-Brown beschreibt diesen Prozess mit der „Markierung“: Eine Linie wird gezogen, die Innen und Außen unterscheidet (</w:t>
      </w:r>
      <w:r w:rsidRPr="002B309A">
        <w:rPr>
          <w:i/>
          <w:iCs/>
        </w:rPr>
        <w:t>Laws of Form</w:t>
      </w:r>
      <w:r w:rsidRPr="002B309A">
        <w:t xml:space="preserve">, 1969, Kap. 1) [2]. Mehr braucht </w:t>
      </w:r>
      <w:r w:rsidRPr="002B309A">
        <w:lastRenderedPageBreak/>
        <w:t>es zunächst nicht. Kein Inhalt, keine Substanz, nur die Setzung einer Differenz. Hier beginnt das FRZK: Die erste Entität ist ein Akt.</w:t>
      </w:r>
    </w:p>
    <w:p w14:paraId="047C0C64" w14:textId="77777777" w:rsidR="00A20BC8" w:rsidRDefault="00A20BC8" w:rsidP="00A20BC8">
      <w:r w:rsidRPr="002B309A">
        <w:t>Während Spencer-Brown Differenz symbolisch fasst, operationalisiert das FRZK diese Unterscheidung als funktionale Zuweisung, die sich mathematisch erweitern lässt (vgl. Kap. 4–5).</w:t>
      </w:r>
    </w:p>
    <w:p w14:paraId="25F41060" w14:textId="44BD3AFE" w:rsidR="00A20BC8" w:rsidRDefault="00A20BC8" w:rsidP="00A20BC8">
      <w:pPr>
        <w:pStyle w:val="Abbildungsname"/>
      </w:pPr>
      <w:r w:rsidRPr="00BB0685">
        <w:rPr>
          <w:noProof/>
        </w:rPr>
        <w:drawing>
          <wp:inline distT="0" distB="0" distL="0" distR="0" wp14:anchorId="64829F85" wp14:editId="61ACFEF0">
            <wp:extent cx="3157220" cy="3253105"/>
            <wp:effectExtent l="0" t="0" r="0" b="0"/>
            <wp:docPr id="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7220" cy="3253105"/>
                    </a:xfrm>
                    <a:prstGeom prst="rect">
                      <a:avLst/>
                    </a:prstGeom>
                    <a:noFill/>
                    <a:ln>
                      <a:noFill/>
                    </a:ln>
                  </pic:spPr>
                </pic:pic>
              </a:graphicData>
            </a:graphic>
          </wp:inline>
        </w:drawing>
      </w:r>
    </w:p>
    <w:p w14:paraId="1F25079F" w14:textId="77777777" w:rsidR="00A20BC8" w:rsidRDefault="00A20BC8" w:rsidP="00A20BC8">
      <w:pPr>
        <w:pStyle w:val="Abbildungsname"/>
      </w:pPr>
      <w:r>
        <w:t xml:space="preserve">Abbildung 1 - </w:t>
      </w:r>
      <w:r w:rsidRPr="00425690">
        <w:t>Erste Unterscheidung (Spencer-Brown)</w:t>
      </w:r>
    </w:p>
    <w:p w14:paraId="6AA222F2" w14:textId="77777777" w:rsidR="00A20BC8" w:rsidRPr="00425690" w:rsidRDefault="00A20BC8" w:rsidP="00A20BC8">
      <w:r w:rsidRPr="00425690">
        <w:t>Die Grafik zeigt ein weißes Feld, das die Leere repräsentiert. Erst durch das Einziehen einer Linie wird eine Differenz sichtbar: Links entsteht ein „Innen“, rechts ein „Außen“. Damit wird die Grundidee Spencer-Browns (1969) anschaulich, dass Form aus einer Markierung hervorgeht. Didaktisch ist diese Darstellung wertvoll, weil sie Lernenden vermittelt: Erkenntnis beginnt nicht mit Inhalten, sondern mit einer Differenz. In der Unterrichtspraxis kann eine solche Grafik genutzt werden, um den Moment sichtbar zu machen, an dem Denken beginnt – durch die bewusste Setzung eines Unterschieds.</w:t>
      </w:r>
    </w:p>
    <w:p w14:paraId="692382FD" w14:textId="77777777" w:rsidR="00A20BC8" w:rsidRPr="002B309A" w:rsidRDefault="00A20BC8" w:rsidP="00A20BC8"/>
    <w:p w14:paraId="12652564" w14:textId="77777777" w:rsidR="00A20BC8" w:rsidRPr="002B309A" w:rsidRDefault="00A20BC8" w:rsidP="00A20BC8">
      <w:r>
        <w:pict w14:anchorId="33B8B0B4">
          <v:rect id="_x0000_i1026" style="width:0;height:1.5pt" o:hralign="center" o:hrstd="t" o:hr="t" fillcolor="#a0a0a0" stroked="f"/>
        </w:pict>
      </w:r>
    </w:p>
    <w:p w14:paraId="4D581C02" w14:textId="77777777" w:rsidR="00A20BC8" w:rsidRPr="002B309A" w:rsidRDefault="00A20BC8" w:rsidP="00A20BC8">
      <w:pPr>
        <w:pStyle w:val="berschrift3"/>
      </w:pPr>
      <w:r w:rsidRPr="002B309A">
        <w:t>3.</w:t>
      </w:r>
      <w:r>
        <w:t>3</w:t>
      </w:r>
      <w:r w:rsidRPr="002B309A">
        <w:t>.2 Der Initialpunkt als Element einer Grundmenge</w:t>
      </w:r>
    </w:p>
    <w:p w14:paraId="483758C9" w14:textId="77777777" w:rsidR="00A20BC8" w:rsidRPr="002B309A" w:rsidRDefault="00A20BC8" w:rsidP="00A20BC8">
      <w:r w:rsidRPr="002B309A">
        <w:t>Im Unterschied zur Allgemeinen Relativitätstheorie, die kontinuierliche Raumzeitmanifolds voraussetzt, beginnt das FRZK mit einem diskreten Initialpunkt – ohne vorausgesetzte Metrik.</w:t>
      </w:r>
    </w:p>
    <w:p w14:paraId="0E55EB9E" w14:textId="77777777" w:rsidR="00A20BC8" w:rsidRPr="002B309A" w:rsidRDefault="00A20BC8" w:rsidP="00A20BC8">
      <w:r w:rsidRPr="002B309A">
        <w:t>Mathematisch genügt schon die Setzung eines Elements:</w:t>
      </w:r>
    </w:p>
    <w:p w14:paraId="113CC2A6" w14:textId="77777777" w:rsidR="00A20BC8" w:rsidRDefault="00A20BC8" w:rsidP="00A20BC8">
      <w:r w:rsidRPr="002B309A">
        <w:t>M={I}</w:t>
      </w:r>
      <w:r w:rsidRPr="002B309A">
        <w:rPr>
          <w:rFonts w:ascii="Cambria Math" w:hAnsi="Cambria Math" w:cs="Cambria Math"/>
        </w:rPr>
        <w:t>⊆</w:t>
      </w:r>
      <w:r w:rsidRPr="002B309A">
        <w:t>N(2)M = \{I\} \subseteq \mathbb{N} \quad (2)M={I}</w:t>
      </w:r>
      <w:r w:rsidRPr="002B309A">
        <w:rPr>
          <w:rFonts w:ascii="Cambria Math" w:hAnsi="Cambria Math" w:cs="Cambria Math"/>
        </w:rPr>
        <w:t>⊆</w:t>
      </w:r>
      <w:r w:rsidRPr="002B309A">
        <w:t xml:space="preserve">N(2) </w:t>
      </w:r>
    </w:p>
    <w:p w14:paraId="63042143" w14:textId="5C5E06C1" w:rsidR="00A20BC8" w:rsidRPr="007A1062" w:rsidRDefault="00A20BC8" w:rsidP="00A20BC8">
      <w:pPr>
        <w:pStyle w:val="Formel"/>
      </w:pPr>
      <m:oMath>
        <m:r>
          <m:t>M={I}⊆N</m:t>
        </m:r>
      </m:oMath>
      <w:r w:rsidRPr="007A1062">
        <w:tab/>
        <w:t>(2)</w:t>
      </w:r>
    </w:p>
    <w:p w14:paraId="307CE1B4" w14:textId="77777777" w:rsidR="00A20BC8" w:rsidRPr="002B309A" w:rsidRDefault="00A20BC8" w:rsidP="00A20BC8">
      <w:r w:rsidRPr="002B309A">
        <w:t>Diese scheinbar triviale Struktur ist die kleinste Form von Ordnung, die bereits über die Leere hinausgeht. Sie trägt keine weiteren Inhalte, aber sie ist – und dieses „Etwas-Sein“ verleiht Bedeutung.</w:t>
      </w:r>
    </w:p>
    <w:p w14:paraId="41EB927A" w14:textId="77777777" w:rsidR="00A20BC8" w:rsidRDefault="00A20BC8" w:rsidP="00A20BC8">
      <w:r w:rsidRPr="002B309A">
        <w:t xml:space="preserve">In der Typentheorie entspricht dies dem </w:t>
      </w:r>
      <w:r w:rsidRPr="002B309A">
        <w:rPr>
          <w:i/>
          <w:iCs/>
        </w:rPr>
        <w:t>Unit Type</w:t>
      </w:r>
      <w:r w:rsidRPr="002B309A">
        <w:t xml:space="preserve">, der genau ein Element umfasst (Martin-Löf, </w:t>
      </w:r>
      <w:r w:rsidRPr="002B309A">
        <w:rPr>
          <w:i/>
          <w:iCs/>
        </w:rPr>
        <w:t>Intuitionistic Type Theory</w:t>
      </w:r>
      <w:r w:rsidRPr="002B309A">
        <w:t>, 1984, S. 5–6) [25]. Dieses bloße Etwas reicht, um darauf alle weiteren Begriffe und Operationen zu gründen.</w:t>
      </w:r>
    </w:p>
    <w:p w14:paraId="055F353B" w14:textId="7DB7593B" w:rsidR="00A20BC8" w:rsidRDefault="00A20BC8" w:rsidP="00A20BC8">
      <w:pPr>
        <w:pStyle w:val="Abbildungsname"/>
      </w:pPr>
      <w:r w:rsidRPr="00BB0685">
        <w:rPr>
          <w:noProof/>
        </w:rPr>
        <w:drawing>
          <wp:inline distT="0" distB="0" distL="0" distR="0" wp14:anchorId="0F80F41D" wp14:editId="3EDB4A1F">
            <wp:extent cx="3215005" cy="3282315"/>
            <wp:effectExtent l="0" t="0" r="0" b="0"/>
            <wp:docPr id="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5005" cy="3282315"/>
                    </a:xfrm>
                    <a:prstGeom prst="rect">
                      <a:avLst/>
                    </a:prstGeom>
                    <a:noFill/>
                    <a:ln>
                      <a:noFill/>
                    </a:ln>
                  </pic:spPr>
                </pic:pic>
              </a:graphicData>
            </a:graphic>
          </wp:inline>
        </w:drawing>
      </w:r>
    </w:p>
    <w:p w14:paraId="3089C2EB" w14:textId="77777777" w:rsidR="00A20BC8" w:rsidRDefault="00A20BC8" w:rsidP="00A20BC8">
      <w:pPr>
        <w:pStyle w:val="Abbildungsname"/>
      </w:pPr>
      <w:r>
        <w:t xml:space="preserve">Abbildung 2 - </w:t>
      </w:r>
      <w:r w:rsidRPr="00425690">
        <w:t>Initialpunkt als Element M={I}</w:t>
      </w:r>
    </w:p>
    <w:p w14:paraId="30078AD6" w14:textId="77777777" w:rsidR="00A20BC8" w:rsidRPr="00425690" w:rsidRDefault="00A20BC8" w:rsidP="00A20BC8">
      <w:r w:rsidRPr="00425690">
        <w:t>Die Grafik stellt einen einzigen roten Punkt im Zentrum einer ansonsten leeren Fläche dar. Dieser Punkt symbolisiert das Element III, das die erste Struktur über die Leere hinaus repräsentiert. Mathematisch entspricht dies der Menge M={I}M=\{I\}M={I}. Methodisch kann die Darstellung genutzt werden, um zu verdeutlichen, dass bereits ein einzelnes Element genügt, um eine Basis für weitere Konstruktionen zu schaffen. Didaktisch regt das Bild dazu an, mit Schüler:innen über den Unterschied zwischen „Nichts“ und „Etwas“ zu sprechen und so den Übergang von der Abstraktion zur ersten Setzung erfahrbar zu machen.</w:t>
      </w:r>
    </w:p>
    <w:p w14:paraId="2C6608F0" w14:textId="77777777" w:rsidR="00A20BC8" w:rsidRPr="002B309A" w:rsidRDefault="00A20BC8" w:rsidP="00A20BC8">
      <w:pPr>
        <w:pStyle w:val="Abbildungsname"/>
      </w:pPr>
    </w:p>
    <w:p w14:paraId="6171A6D1" w14:textId="77777777" w:rsidR="00A20BC8" w:rsidRDefault="00A20BC8" w:rsidP="00A20BC8">
      <w:r>
        <w:pict w14:anchorId="4F5FBDFC">
          <v:rect id="_x0000_i1032" style="width:0;height:1.5pt" o:hralign="center" o:bullet="t" o:hrstd="t" o:hr="t" fillcolor="#a0a0a0" stroked="f"/>
        </w:pict>
      </w:r>
    </w:p>
    <w:p w14:paraId="601992A4" w14:textId="77777777" w:rsidR="00A20BC8" w:rsidRPr="002B309A" w:rsidRDefault="00A20BC8" w:rsidP="00A20BC8">
      <w:pPr>
        <w:pStyle w:val="berschrift3"/>
      </w:pPr>
      <w:r w:rsidRPr="002B309A">
        <w:t>3.</w:t>
      </w:r>
      <w:r>
        <w:t>3.3</w:t>
      </w:r>
      <w:r w:rsidRPr="002B309A">
        <w:t xml:space="preserve"> Eigenschaften des Initialpunkts</w:t>
      </w:r>
    </w:p>
    <w:p w14:paraId="501B7AF0" w14:textId="77777777" w:rsidR="00A20BC8" w:rsidRPr="002B309A" w:rsidRDefault="00A20BC8" w:rsidP="00A20BC8">
      <w:r w:rsidRPr="002B309A">
        <w:t>Der Initialpunkt ist paradox: Er ist da – und doch nichts Bestimmtes. Keine Form, keine Ausdehnung, keine Richtung. Aber er ist eine Markierung, die sich vom Nichts abhebt.</w:t>
      </w:r>
    </w:p>
    <w:p w14:paraId="49482F77" w14:textId="77777777" w:rsidR="00A20BC8" w:rsidRPr="002B309A" w:rsidRDefault="00A20BC8" w:rsidP="00A20BC8">
      <w:r w:rsidRPr="002B309A">
        <w:t>Er ist keine Entität, sondern eine Grenze, eine Differenz. Bedingung, nicht Phänomen. Kant sprach von transzendentalen Bedingungen; hier erscheint eine funktionale Differenz als Ursprung des Denkbaren.</w:t>
      </w:r>
    </w:p>
    <w:p w14:paraId="7151BFBE" w14:textId="77777777" w:rsidR="00A20BC8" w:rsidRDefault="00A20BC8" w:rsidP="00A20BC8">
      <w:r w:rsidRPr="002B309A">
        <w:t xml:space="preserve">Mathematisch entspricht das einer Struktur ohne Metrik, aber mit Unterscheidbarkeit (Krantz et al., </w:t>
      </w:r>
      <w:r w:rsidRPr="002B309A">
        <w:rPr>
          <w:i/>
          <w:iCs/>
        </w:rPr>
        <w:t>Foundations of Measurement</w:t>
      </w:r>
      <w:r w:rsidRPr="002B309A">
        <w:t>, 1971, S. 20) [23].</w:t>
      </w:r>
    </w:p>
    <w:p w14:paraId="6835E238" w14:textId="53CFD05B" w:rsidR="00A20BC8" w:rsidRDefault="00A20BC8" w:rsidP="00A20BC8">
      <w:r w:rsidRPr="00BB0685">
        <w:rPr>
          <w:noProof/>
        </w:rPr>
        <w:drawing>
          <wp:inline distT="0" distB="0" distL="0" distR="0" wp14:anchorId="731377DF" wp14:editId="3E7619FD">
            <wp:extent cx="3253105" cy="3291840"/>
            <wp:effectExtent l="0" t="0" r="0" b="0"/>
            <wp:docPr id="2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3105" cy="3291840"/>
                    </a:xfrm>
                    <a:prstGeom prst="rect">
                      <a:avLst/>
                    </a:prstGeom>
                    <a:noFill/>
                    <a:ln>
                      <a:noFill/>
                    </a:ln>
                  </pic:spPr>
                </pic:pic>
              </a:graphicData>
            </a:graphic>
          </wp:inline>
        </w:drawing>
      </w:r>
    </w:p>
    <w:p w14:paraId="76346478" w14:textId="77777777" w:rsidR="00A20BC8" w:rsidRPr="001C1813" w:rsidRDefault="00A20BC8" w:rsidP="00A20BC8">
      <w:pPr>
        <w:pStyle w:val="Abbildungsname"/>
      </w:pPr>
      <w:r>
        <w:t>Abbildung 5 -</w:t>
      </w:r>
      <w:r w:rsidRPr="001C1813">
        <w:t> Initialpunkt – da, aber ohne Ausdehnung</w:t>
      </w:r>
    </w:p>
    <w:p w14:paraId="52FF3F89" w14:textId="77777777" w:rsidR="00A20BC8" w:rsidRPr="002B309A" w:rsidRDefault="00A20BC8" w:rsidP="00A20BC8">
      <w:r w:rsidRPr="001C1813">
        <w:t>In der Grafik erscheint ein roter Punkt, der von einer grauen, wellenförmigen Linie umgeben ist. Diese Linie steht für die Abgrenzung des Initialpunkts gegenüber der Leere, ohne dass er selbst Ausdehnung oder Richtung besitzt. Methodisch wird so verdeutlicht, dass der Initialpunkt mehr ist als „nichts“ – er ist eine Setzung, die Differenz markiert, ohne weitere Eigenschaften zu tragen. Didaktisch eignet sich die Darstellung, um Lernenden zu zeigen: Auch wenn der Initialpunkt „leer“ erscheint, ist er dennoch der notwendige Ursprung jeder weiteren Struktur. Das unterstützt die Idee, dass Verstehen nicht mit Inhalten beginnt, sondern mit der Fähigkeit zur Differenzierung.</w:t>
      </w:r>
    </w:p>
    <w:p w14:paraId="253552FF" w14:textId="77777777" w:rsidR="00A20BC8" w:rsidRPr="002B309A" w:rsidRDefault="00A20BC8" w:rsidP="00A20BC8">
      <w:r>
        <w:pict w14:anchorId="27084929">
          <v:rect id="_x0000_i1027" style="width:0;height:1.5pt" o:hralign="center" o:hrstd="t" o:hr="t" fillcolor="#a0a0a0" stroked="f"/>
        </w:pict>
      </w:r>
    </w:p>
    <w:p w14:paraId="09BDCD84" w14:textId="77777777" w:rsidR="00A20BC8" w:rsidRPr="002B309A" w:rsidRDefault="00A20BC8" w:rsidP="00A20BC8">
      <w:pPr>
        <w:pStyle w:val="berschrift3"/>
      </w:pPr>
      <w:r w:rsidRPr="002B309A">
        <w:t>3.</w:t>
      </w:r>
      <w:r>
        <w:t>3.4</w:t>
      </w:r>
      <w:r w:rsidRPr="002B309A">
        <w:t xml:space="preserve"> Didaktische Analogie: Der abstrakte Träger</w:t>
      </w:r>
    </w:p>
    <w:p w14:paraId="5182025D" w14:textId="77777777" w:rsidR="00A20BC8" w:rsidRDefault="00A20BC8" w:rsidP="00A20BC8">
      <w:r w:rsidRPr="002B309A">
        <w:t xml:space="preserve">In meiner Didaktik verwende ich oft analogische Bilder, um abstrakte Konzepte verständlich zu machen. Wenn ich den Initialpunkt erkläre, dann vergleiche ich ihn häufig mit einem leeren Speicherplatz oder einem Pointer – Begriffe, die aus der Informatik bekannt sind. </w:t>
      </w:r>
    </w:p>
    <w:p w14:paraId="03A19995" w14:textId="77777777" w:rsidR="00A20BC8" w:rsidRDefault="00A20BC8" w:rsidP="00A20BC8">
      <w:r w:rsidRPr="002B309A">
        <w:t xml:space="preserve">Diese abstrakten Träger sind faszinierend, weil sie anfangs leer sind und dennoch eine zentrale Rolle spielen. Sie sind keine konkreten Inhalte, sondern bieten den Raum für das, was noch kommen kann. Knuth beschreibt solche abstrakten Strukturen in seinem Werk </w:t>
      </w:r>
      <w:r w:rsidRPr="002B309A">
        <w:rPr>
          <w:i/>
          <w:iCs/>
        </w:rPr>
        <w:t>The Art of Computer Programming</w:t>
      </w:r>
      <w:r w:rsidRPr="002B309A">
        <w:t xml:space="preserve">: „Diese Speicherplätze sind nicht einfach ‚nichts‘, sondern sie existieren gerade deshalb, um später mit Bedeutung gefüllt zu werden“ (Knuth, </w:t>
      </w:r>
      <w:r w:rsidRPr="002B309A">
        <w:rPr>
          <w:i/>
          <w:iCs/>
        </w:rPr>
        <w:t>The Art of Computer Programming</w:t>
      </w:r>
      <w:r w:rsidRPr="002B309A">
        <w:t>, 1997, Bd. 1, S. 1.3) [26].</w:t>
      </w:r>
    </w:p>
    <w:p w14:paraId="698D9CE7" w14:textId="77777777" w:rsidR="00A20BC8" w:rsidRPr="002B309A" w:rsidRDefault="00A20BC8" w:rsidP="00A20BC8">
      <w:r w:rsidRPr="006016D4">
        <w:t>Ähnliche didaktische Überlegungen finden sich bei Bruder &amp; Käpnick (Denkwege zur Mathematik, 2005, S. 12–14), die betonen, dass das Leere eine produktive Funktion im Lernprozess erfüllt.</w:t>
      </w:r>
    </w:p>
    <w:p w14:paraId="78C93776" w14:textId="77777777" w:rsidR="00A20BC8" w:rsidRPr="002B309A" w:rsidRDefault="00A20BC8" w:rsidP="00A20BC8">
      <w:r w:rsidRPr="002B309A">
        <w:t xml:space="preserve">In der Mathematikdidaktik finde ich eine ähnliche Idee, wenn wir von freien Stellen oder Operationsträgern sprechen. Diese sind leer, aber eben nicht bedeutungslos. Im Gegenteil: Ihre Leere ist die Voraussetzung dafür, dass in ihnen etwas Bedeutungsvolles entstehen kann (Bruder &amp; Käpnick, </w:t>
      </w:r>
      <w:r w:rsidRPr="002B309A">
        <w:rPr>
          <w:i/>
          <w:iCs/>
        </w:rPr>
        <w:t>Denkwege zur Mathematik</w:t>
      </w:r>
      <w:r w:rsidRPr="002B309A">
        <w:t>, 2005, S. 12–14) [27].</w:t>
      </w:r>
    </w:p>
    <w:p w14:paraId="5A619922" w14:textId="77777777" w:rsidR="00A20BC8" w:rsidRPr="002B309A" w:rsidRDefault="00A20BC8" w:rsidP="00A20BC8">
      <w:r>
        <w:pict w14:anchorId="03EB70DB">
          <v:rect id="_x0000_i1028" style="width:0;height:1.5pt" o:hralign="center" o:hrstd="t" o:hr="t" fillcolor="#a0a0a0" stroked="f"/>
        </w:pict>
      </w:r>
    </w:p>
    <w:p w14:paraId="6D3CA383" w14:textId="77777777" w:rsidR="00A20BC8" w:rsidRPr="002B309A" w:rsidRDefault="00A20BC8" w:rsidP="00A20BC8">
      <w:pPr>
        <w:pStyle w:val="berschrift3"/>
      </w:pPr>
      <w:r w:rsidRPr="002B309A">
        <w:t>3.</w:t>
      </w:r>
      <w:r>
        <w:t>3.5</w:t>
      </w:r>
      <w:r w:rsidRPr="002B309A">
        <w:t xml:space="preserve"> Der Initialpunkt als Unterscheidungsmerkmal</w:t>
      </w:r>
    </w:p>
    <w:p w14:paraId="4A59C396" w14:textId="77777777" w:rsidR="00A20BC8" w:rsidRPr="002B309A" w:rsidRDefault="00A20BC8" w:rsidP="00A20BC8">
      <w:r w:rsidRPr="002B309A">
        <w:t>Der Initialpunkt ist der Moment, in dem der erste Unterschied gesetzt wird. Dieser Unterschied ist nicht bloß eine gedankliche oder theoretische Konstruktion – er ist der erste Akt der Weltbildung. Sobald dieser Unterschied besteht, kann Struktur entstehen. Aber der Initialpunkt ist mehr als nur der erste Schritt in einer Reihe. Er ist der Ort, an dem die erste Differenz gemacht wird – und damit die Grundlage für alles Weitere. Er ist nicht relativ zu einem anderen Punkt, sondern absolut gegenüber dem Nichts.</w:t>
      </w:r>
    </w:p>
    <w:p w14:paraId="70B13A04" w14:textId="77777777" w:rsidR="00A20BC8" w:rsidRPr="002B309A" w:rsidRDefault="00A20BC8" w:rsidP="00A20BC8">
      <w:r w:rsidRPr="002B309A">
        <w:t>Genau das macht ihn so faszinierend: Der Initialpunkt ist kein Objekt, sondern eine Markierung, die sich vom bloßen „Nichtsein“ abhebt. Er ist der Moment, in dem die Möglichkeit zur Unterscheidung überhaupt erst entsteht – der erste funktionale Grenzübergang im Denken.</w:t>
      </w:r>
    </w:p>
    <w:p w14:paraId="5A0B9434" w14:textId="77777777" w:rsidR="00A20BC8" w:rsidRDefault="00A20BC8" w:rsidP="00A20BC8">
      <w:r w:rsidRPr="002B309A">
        <w:t xml:space="preserve">Heinz von Foerster spricht in diesem Zusammenhang von einer „minimalen Differenz“, die eine emergente Struktur hervorruft (von Foerster, </w:t>
      </w:r>
      <w:r w:rsidRPr="002B309A">
        <w:rPr>
          <w:i/>
          <w:iCs/>
        </w:rPr>
        <w:t>Understanding Understanding</w:t>
      </w:r>
      <w:r w:rsidRPr="002B309A">
        <w:t>, 2002, S. 8–11) [13]. Solche Differenzen sind für mich nicht nur theoretische Bausteine eines Systems – sie sind die didaktischen Zellen, aus denen ich Verständnis generiere.</w:t>
      </w:r>
    </w:p>
    <w:p w14:paraId="09416656" w14:textId="77777777" w:rsidR="00A20BC8" w:rsidRPr="002B309A" w:rsidRDefault="00A20BC8" w:rsidP="00A20BC8">
      <w:r w:rsidRPr="006016D4">
        <w:t>Foersters Konzept der minimalen Differenz (Understanding Understanding, 2002, S. 8–11) wird hier methodisch relevant: Lernende sollen Differenzsetzungen selbst vollziehen, statt sie vorgegeben zu bekommen.</w:t>
      </w:r>
    </w:p>
    <w:p w14:paraId="2CFFA3BF" w14:textId="77777777" w:rsidR="00A20BC8" w:rsidRPr="002B309A" w:rsidRDefault="00A20BC8" w:rsidP="00A20BC8">
      <w:r>
        <w:pict w14:anchorId="7A55358E">
          <v:rect id="_x0000_i1029" style="width:0;height:1.5pt" o:hralign="center" o:hrstd="t" o:hr="t" fillcolor="#a0a0a0" stroked="f"/>
        </w:pict>
      </w:r>
    </w:p>
    <w:p w14:paraId="66399A32" w14:textId="77777777" w:rsidR="00A20BC8" w:rsidRPr="002B309A" w:rsidRDefault="00A20BC8" w:rsidP="00A20BC8">
      <w:pPr>
        <w:pStyle w:val="berschrift3"/>
      </w:pPr>
      <w:r w:rsidRPr="002B309A">
        <w:t>3.</w:t>
      </w:r>
      <w:r>
        <w:t>3.6</w:t>
      </w:r>
      <w:r w:rsidRPr="002B309A">
        <w:t xml:space="preserve"> Abgrenzung vom Objektbegriff</w:t>
      </w:r>
    </w:p>
    <w:p w14:paraId="4ADD58C3" w14:textId="77777777" w:rsidR="00A20BC8" w:rsidRPr="002B309A" w:rsidRDefault="00A20BC8" w:rsidP="00A20BC8">
      <w:r w:rsidRPr="002B309A">
        <w:t>Ich tue mich schwer mit der Vorstellung, dass der Initialpunkt ein „Ding“ sein soll. Für mich ist er eher ein Ereignis – ein Prozess der Differenzbildung. Er ist kein Objekt mit Eigenschaften, sondern eine Bewegung, die etwas setzt. Baez und Stay bringen diesen Gedanken präzise auf den Punkt:</w:t>
      </w:r>
      <w:r w:rsidRPr="002B309A">
        <w:br/>
        <w:t xml:space="preserve">„The object is not a thing, but a process of differentiation“ (Baez &amp; Stay, </w:t>
      </w:r>
      <w:r w:rsidRPr="002B309A">
        <w:rPr>
          <w:i/>
          <w:iCs/>
        </w:rPr>
        <w:t>Physics, Topology, Logic and Computation: A Rosetta Stone</w:t>
      </w:r>
      <w:r w:rsidRPr="002B309A">
        <w:t xml:space="preserve">, 2010, in: Coecke, B. (Hg.), </w:t>
      </w:r>
      <w:r w:rsidRPr="002B309A">
        <w:rPr>
          <w:i/>
          <w:iCs/>
        </w:rPr>
        <w:t>New Structures for Physics</w:t>
      </w:r>
      <w:r w:rsidRPr="002B309A">
        <w:t>, Berlin: Springer, S. 95) [29].</w:t>
      </w:r>
    </w:p>
    <w:p w14:paraId="28A3208F" w14:textId="77777777" w:rsidR="00A20BC8" w:rsidRDefault="00A20BC8" w:rsidP="00A20BC8">
      <w:r w:rsidRPr="002B309A">
        <w:t>Genau das ist der Schlüssel: Der Initialpunkt ist kein in sich abgeschlossenes Objekt, sondern ein dynamischer Prozess, der Differenzen setzt und damit die Möglichkeit für Struktur schafft. Der Initialpunkt ist ein Ereignis, das nicht durch ein Ding definiert wird, sondern durch die Setzung einer Differenz, die der Ursprung weiterer Entwicklungen wird.</w:t>
      </w:r>
    </w:p>
    <w:p w14:paraId="1524E11F" w14:textId="124D4C3E" w:rsidR="00A20BC8" w:rsidRDefault="00A20BC8" w:rsidP="00A20BC8">
      <w:pPr>
        <w:pStyle w:val="Abbildungsname"/>
      </w:pPr>
      <w:r w:rsidRPr="00BB0685">
        <w:rPr>
          <w:noProof/>
        </w:rPr>
        <w:drawing>
          <wp:inline distT="0" distB="0" distL="0" distR="0" wp14:anchorId="21189ABC" wp14:editId="71B6F120">
            <wp:extent cx="3763645" cy="2685415"/>
            <wp:effectExtent l="0" t="0" r="0" b="0"/>
            <wp:docPr id="2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3645" cy="2685415"/>
                    </a:xfrm>
                    <a:prstGeom prst="rect">
                      <a:avLst/>
                    </a:prstGeom>
                    <a:noFill/>
                    <a:ln>
                      <a:noFill/>
                    </a:ln>
                  </pic:spPr>
                </pic:pic>
              </a:graphicData>
            </a:graphic>
          </wp:inline>
        </w:drawing>
      </w:r>
    </w:p>
    <w:p w14:paraId="42DD2D91" w14:textId="77777777" w:rsidR="00A20BC8" w:rsidRDefault="00A20BC8" w:rsidP="00A20BC8">
      <w:pPr>
        <w:pStyle w:val="Abbildungsname"/>
      </w:pPr>
      <w:r>
        <w:t>Abbildung 5 -</w:t>
      </w:r>
      <w:r w:rsidRPr="001C1813">
        <w:t> </w:t>
      </w:r>
      <w:r>
        <w:t>Initialpunkt als Ereignis, nicht Objekt</w:t>
      </w:r>
    </w:p>
    <w:p w14:paraId="3A29DC35" w14:textId="77777777" w:rsidR="00A20BC8" w:rsidRPr="001C1813" w:rsidRDefault="00A20BC8" w:rsidP="00A20BC8">
      <w:r w:rsidRPr="001C1813">
        <w:t>Die Grafik zeigt zwei Boxen mit den Begriffen „Ereignis (Prozess)“ und „Unterschied (Differenz)“, die durch einen Pfeil verbunden sind. Damit wird sichtbar gemacht, dass der Initialpunkt kein Objekt im klassischen Sinne ist, sondern ein Prozess: ein Ereignis, das eine Differenz setzt. Methodisch ermöglicht die Darstellung die Abgrenzung vom Objektbegriff, der in Schule und Alltag tief verankert ist. Didaktisch ist sie hilfreich, um Schüler:innen zu vermitteln, dass manche Strukturen nicht als Dinge verstanden werden können, sondern als Prozesse – etwa das Ziehen einer Grenze, das Sprechen eines Wortes oder das Setzen einer Regel.</w:t>
      </w:r>
    </w:p>
    <w:p w14:paraId="72F1B07F" w14:textId="77777777" w:rsidR="00A20BC8" w:rsidRPr="002B309A" w:rsidRDefault="00A20BC8" w:rsidP="00A20BC8">
      <w:r>
        <w:pict w14:anchorId="31F48B0A">
          <v:rect id="_x0000_i1030" style="width:0;height:1.5pt" o:hralign="center" o:hrstd="t" o:hr="t" fillcolor="#a0a0a0" stroked="f"/>
        </w:pict>
      </w:r>
    </w:p>
    <w:p w14:paraId="3D0CF0C6" w14:textId="77777777" w:rsidR="00A20BC8" w:rsidRPr="002B309A" w:rsidRDefault="00A20BC8" w:rsidP="00A20BC8">
      <w:pPr>
        <w:pStyle w:val="berschrift3"/>
      </w:pPr>
      <w:r w:rsidRPr="002B309A">
        <w:t>3.</w:t>
      </w:r>
      <w:r>
        <w:t>3.7</w:t>
      </w:r>
      <w:r w:rsidRPr="002B309A">
        <w:t xml:space="preserve"> Didaktische und methodische Perspektiven</w:t>
      </w:r>
    </w:p>
    <w:p w14:paraId="347DA07D" w14:textId="77777777" w:rsidR="00A20BC8" w:rsidRPr="002B309A" w:rsidRDefault="00A20BC8" w:rsidP="00A20BC8">
      <w:r w:rsidRPr="002B309A">
        <w:t>Die Arbeit mit dem Initialpunkt ist nicht nur eine intellektuelle Übung, sondern auch eine didaktische Herausforderung. Es geht darum, vom Konkreten zum Abstrakten zu führen, vom Inhalt zum Prinzip, vom Wahrnehmen zum Verstehen. Der Initialpunkt ist inhaltlich leer – aber genau diese Leere macht ihn zu einem leistungsfähigen didaktischen Werkzeug. Er fungiert als Projektionsfläche, auf der sich der Lernende mit seinem eigenen Denken konfrontiert sieht.</w:t>
      </w:r>
    </w:p>
    <w:p w14:paraId="5282BCF7" w14:textId="77777777" w:rsidR="00A20BC8" w:rsidRDefault="00A20BC8" w:rsidP="00A20BC8">
      <w:r w:rsidRPr="002B309A">
        <w:t xml:space="preserve">In meiner Praxis als Lehrer habe ich festgestellt, dass Verstehen nicht durch Erklärung allein entsteht, sondern durch dialogischen Austausch und aktives Denken. Anna Sfard spricht hier von metaphorischen und kommunikativen Übergängen, die es Lernenden ermöglichen, abstrakte Strukturen in erfahrbare Bedeutungsräume zu überführen (Sfard, </w:t>
      </w:r>
      <w:r w:rsidRPr="002B309A">
        <w:rPr>
          <w:i/>
          <w:iCs/>
        </w:rPr>
        <w:t>Thinking as Communication: Human Development, the Growth of Discourses, and Mathematizing</w:t>
      </w:r>
      <w:r w:rsidRPr="002B309A">
        <w:t>, 2008, Cambridge: Cambridge University Press, Kap. 5) [24]. Diese Übergänge sind für mich der Schlüssel zur Didaktik: Sie schaffen Räume, in denen das Unklare konkret werden darf – und das Abstrakte zur Erfahrung wird.</w:t>
      </w:r>
    </w:p>
    <w:p w14:paraId="7C983C99" w14:textId="6ABBBDD2" w:rsidR="00A20BC8" w:rsidRDefault="00A20BC8" w:rsidP="00A20BC8">
      <w:r w:rsidRPr="00BB0685">
        <w:rPr>
          <w:noProof/>
        </w:rPr>
        <w:drawing>
          <wp:inline distT="0" distB="0" distL="0" distR="0" wp14:anchorId="22B518E3" wp14:editId="5D10DB59">
            <wp:extent cx="5765800" cy="2733675"/>
            <wp:effectExtent l="0" t="0" r="0" b="0"/>
            <wp:docPr id="1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800" cy="2733675"/>
                    </a:xfrm>
                    <a:prstGeom prst="rect">
                      <a:avLst/>
                    </a:prstGeom>
                    <a:noFill/>
                    <a:ln>
                      <a:noFill/>
                    </a:ln>
                  </pic:spPr>
                </pic:pic>
              </a:graphicData>
            </a:graphic>
          </wp:inline>
        </w:drawing>
      </w:r>
    </w:p>
    <w:p w14:paraId="7759B6DC" w14:textId="77777777" w:rsidR="00A20BC8" w:rsidRDefault="00A20BC8" w:rsidP="00A20BC8">
      <w:pPr>
        <w:pStyle w:val="Abbildungsname"/>
      </w:pPr>
      <w:r>
        <w:t>Abbildung 5 -</w:t>
      </w:r>
      <w:r w:rsidRPr="001C1813">
        <w:t> Didaktische Perspektive: Initialpunkt im Dialog</w:t>
      </w:r>
    </w:p>
    <w:p w14:paraId="47C90ABC" w14:textId="77777777" w:rsidR="00A20BC8" w:rsidRPr="002B309A" w:rsidRDefault="00A20BC8" w:rsidP="00A20BC8">
      <w:r w:rsidRPr="001C1813">
        <w:t>Die Grafik zeigt einen Lehrer und einen Schüler in Form von zwei Sprechblasen, die über einem roten Punkt (dem Initialpunkt) angeordnet sind. Der Dialog macht sichtbar, dass der Initialpunkt nicht allein theoretisch gedacht werden kann, sondern in der Interaktion entsteht. Methodisch verweist die Darstellung auf dialogische Verfahren: Erst im Austausch wird die erste Unterscheidung gesetzt. Didaktisch ist sie ein starkes Bild dafür, dass der Initialpunkt im Unterricht nicht nur eine abstrakte Setzung bleibt, sondern als performativer Akt sichtbar wird – wenn Lernende den ersten Unterschied selbst formulieren.</w:t>
      </w:r>
    </w:p>
    <w:p w14:paraId="06ADAF08" w14:textId="77777777" w:rsidR="00A20BC8" w:rsidRPr="002B309A" w:rsidRDefault="00A20BC8" w:rsidP="00A20BC8">
      <w:r w:rsidRPr="002B309A">
        <w:t>Wenn der Initialpunkt als didaktisches Werkzeug verstanden wird, dann ist er nicht nur der Moment des Beginns, sondern der Moment, in dem die Möglichkeit für die Entwicklung von Verständnis überhaupt erst gegeben wird.</w:t>
      </w:r>
    </w:p>
    <w:p w14:paraId="50208C7D" w14:textId="77777777" w:rsidR="00A20BC8" w:rsidRPr="002B309A" w:rsidRDefault="00A20BC8" w:rsidP="00A20BC8">
      <w:r>
        <w:pict w14:anchorId="0D86BB41">
          <v:rect id="_x0000_i1031" style="width:0;height:1.5pt" o:hralign="center" o:hrstd="t" o:hr="t" fillcolor="#a0a0a0" stroked="f"/>
        </w:pict>
      </w:r>
    </w:p>
    <w:p w14:paraId="0BBA754C" w14:textId="77777777" w:rsidR="00A20BC8" w:rsidRPr="002B309A" w:rsidRDefault="00A20BC8" w:rsidP="00A20BC8">
      <w:pPr>
        <w:pStyle w:val="berschrift3"/>
      </w:pPr>
      <w:r w:rsidRPr="002B309A">
        <w:t>3.</w:t>
      </w:r>
      <w:r>
        <w:t>3.8</w:t>
      </w:r>
      <w:r w:rsidRPr="002B309A">
        <w:t xml:space="preserve"> Zusammenfassung</w:t>
      </w:r>
    </w:p>
    <w:p w14:paraId="0B32AEF1" w14:textId="77777777" w:rsidR="00A20BC8" w:rsidRPr="002B309A" w:rsidRDefault="00A20BC8" w:rsidP="00A20BC8">
      <w:r w:rsidRPr="002B309A">
        <w:t>Der Initialpunkt ist mehr als nur der Ausgangspunkt eines Modells – er ist der erste performative Akt im Funktionalen Raum-Zeit-Kohärenzsystem (FRZK), mit dem das Denken über Welt, Zeit und Erkenntnis überhaupt beginnen kann. Er ist nicht etwas, das ist, sondern etwas, das wirksam wird.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 Diese Setzung des Unterschieds ist kein bloßes Denkmittel – sie ist der konstitutive Akt der Weltbildung.</w:t>
      </w:r>
    </w:p>
    <w:p w14:paraId="326E0E39" w14:textId="77777777" w:rsidR="00A20BC8" w:rsidRPr="002B309A" w:rsidRDefault="00A20BC8" w:rsidP="00A20BC8">
      <w:r w:rsidRPr="002B309A">
        <w:t xml:space="preserve">In der Systemtheorie beschreibt Luhmann genau diesen Moment als „Unterscheidung“, aus der erst Sinnprozesse und Kommunikation hervorgehen (Luhmann, </w:t>
      </w:r>
      <w:r w:rsidRPr="002B309A">
        <w:rPr>
          <w:i/>
          <w:iCs/>
        </w:rPr>
        <w:t>Die Wissenschaft der Gesellschaft</w:t>
      </w:r>
      <w:r w:rsidRPr="002B309A">
        <w:t xml:space="preserve">, 1990, Frankfurt a. M.: Suhrkamp) [3]. Auch Spencer-Brown macht dies deutlich: Die erste „Mark“ ist kein Symbol, sondern die operative Erzeugung einer Grenze, durch die Unterscheidbarkeit möglich wird (Spencer-Brown, </w:t>
      </w:r>
      <w:r w:rsidRPr="002B309A">
        <w:rPr>
          <w:i/>
          <w:iCs/>
        </w:rPr>
        <w:t>Laws of Form</w:t>
      </w:r>
      <w:r w:rsidRPr="002B309A">
        <w:t>, 1969, London: George Allen &amp; Unwin, Kap. 1) [28].</w:t>
      </w:r>
    </w:p>
    <w:p w14:paraId="43245CCD" w14:textId="77777777" w:rsidR="00A20BC8" w:rsidRPr="002B309A" w:rsidRDefault="00A20BC8" w:rsidP="00A20BC8">
      <w:r w:rsidRPr="002B309A">
        <w:t xml:space="preserve">Der Initialpunkt ist in diesem Sinne kein Element innerhalb eines Raumes – er ist das Ereignis, durch das ein Raum überhaupt erst definierbar wird. In Anlehnung an Baez und Stay ließe sich sagen: Es handelt sich nicht um ein Objekt, sondern um einen „process of differentiation“, der Welt erzeugt, indem er strukturelle Bedingungen setzt (Baez &amp; Stay, </w:t>
      </w:r>
      <w:r w:rsidRPr="002B309A">
        <w:rPr>
          <w:i/>
          <w:iCs/>
        </w:rPr>
        <w:t>Physics, Topology, Logic and Computation: A Rosetta Stone</w:t>
      </w:r>
      <w:r w:rsidRPr="002B309A">
        <w:t>, 2010, S. 95) [29]. Die Position des Initialpunkts ist daher nicht innerhalb eines vorgegebenen Systems lokalisierbar – er ist der Akt, der Systembildung erst ermöglicht.</w:t>
      </w:r>
    </w:p>
    <w:p w14:paraId="6508F1DF" w14:textId="77777777" w:rsidR="00A20BC8" w:rsidRPr="002B309A" w:rsidRDefault="00A20BC8" w:rsidP="00A20BC8">
      <w:r w:rsidRPr="002B309A">
        <w:t xml:space="preserve">Didaktisch ist diese Perspektive höchst produktiv. In der pädagogischen Praxis stellt der Initialpunkt den Moment dar, in dem ein Lernender beginnt, eigene Unterschiede zu setzen – sei es im mathematischen, sprachlichen oder sozialen Raum. Dieses aktive Differenzieren erzeugt Bedeutung, Verständnis und Urteilskraft. Solche Prozesse sind es, die Sfard mit dem Übergang von operativen zu kommunikativen Denkformen beschreibt – als mediale Metaphern für den Übergang vom Erfahrungs- zum Reflexionswissen (Sfard, </w:t>
      </w:r>
      <w:r w:rsidRPr="002B309A">
        <w:rPr>
          <w:i/>
          <w:iCs/>
        </w:rPr>
        <w:t>Thinking as Communication: Human Development, the Growth of Discourses, and Mathematizing</w:t>
      </w:r>
      <w:r w:rsidRPr="002B309A">
        <w:t>, 2008, Kap. 5) [24].</w:t>
      </w:r>
    </w:p>
    <w:p w14:paraId="2333EA34" w14:textId="77777777" w:rsidR="00A20BC8" w:rsidRPr="002B309A" w:rsidRDefault="00A20BC8" w:rsidP="00A20BC8">
      <w:r w:rsidRPr="002B309A">
        <w:t xml:space="preserve">Von Foerster spricht in diesem Zusammenhang von einer „minimalen Differenz“, die – trotz oder gerade wegen ihrer scheinbaren Geringfügigkeit – strukturbildend wirkt (von Foerster, </w:t>
      </w:r>
      <w:r w:rsidRPr="002B309A">
        <w:rPr>
          <w:i/>
          <w:iCs/>
        </w:rPr>
        <w:t>Cybernetics of Cybernetics</w:t>
      </w:r>
      <w:r w:rsidRPr="002B309A">
        <w:t>, 1979, BCL Report) [13]. Aus didaktischer Sicht ist das hochrelevant: Der Initialpunkt markiert keinen Lerninhalt, sondern eine Lernbewegung – die Setzung einer Differenz, durch die der Lernende erstmals eine kognitive Relation ausbildet. Damit wird Lernen selbst zum emergenten Prozess.</w:t>
      </w:r>
    </w:p>
    <w:p w14:paraId="19AC9FD7" w14:textId="77777777" w:rsidR="00A20BC8" w:rsidRPr="002B309A" w:rsidRDefault="00A20BC8" w:rsidP="00A20BC8">
      <w:r w:rsidRPr="002B309A">
        <w:t>Die Stärke des FRZK-Modells liegt nicht allein in seiner mathematisch-funktionalen Grundstruktur, sondern in seiner praktischen Erprobung. Bereits in Kapitel 6 wird gezeigt, dass sich aus den hier entwickelten Konzepten konkrete Lösungen für reale didaktische Probleme ergeben, die klassische Modelle nicht bewältigen können:</w:t>
      </w:r>
    </w:p>
    <w:p w14:paraId="0E7CB182" w14:textId="77777777" w:rsidR="00A20BC8" w:rsidRPr="002B309A" w:rsidRDefault="00A20BC8" w:rsidP="00A20BC8">
      <w:r w:rsidRPr="002B309A">
        <w:t>Orientierungsverlust in offenen Lernsettings (Kapitel 6.1.2): Während traditionelle Didaktik auf Zielorientierung setzt und damit Unsicherheit verstärkt, erlaubt das FRZK durch die Verortung im dreidimensionalen Bedeutungsraum (kognitiv, sozial, affektiv) eine dynamische Kartierung von Lernprozessen.</w:t>
      </w:r>
    </w:p>
    <w:p w14:paraId="60B276C1" w14:textId="77777777" w:rsidR="00A20BC8" w:rsidRPr="002B309A" w:rsidRDefault="00A20BC8" w:rsidP="00A20BC8">
      <w:r w:rsidRPr="002B309A">
        <w:t>Strukturverlust durch Planung (Kapitel 6.2.1–6.2.4): Klassische Unterrichtsplanung kollidiert mit der Emergenz offener Lernprozesse. Das FRZK ersetzt Planung durch eine zyklische Operatorenkaskade (A–M–R–E), die Unterricht nicht als Abfolge von Phasen, sondern als Raumzeit-Loop epistemischer Bewegungen darstellt.</w:t>
      </w:r>
    </w:p>
    <w:p w14:paraId="3982C299" w14:textId="77777777" w:rsidR="00A20BC8" w:rsidRPr="002B309A" w:rsidRDefault="00A20BC8" w:rsidP="00A20BC8">
      <w:r w:rsidRPr="002B309A">
        <w:t>Fragmentierung im Fachunterricht (Kapitel 6.3.1–6.3.2): Gerade im Physikunterricht zeigt sich, dass Lernende Schwierigkeiten haben, zwischen Sprache, Formeln und Erfahrung Kohärenz zu bilden. Das FRZK bietet mit der semantischen Dichtefunktion h(x,y,z) ein Werkzeug, um solche Brüche topologisch zu modellieren und didaktisch sichtbar zu machen.</w:t>
      </w:r>
    </w:p>
    <w:p w14:paraId="6870446B" w14:textId="77777777" w:rsidR="00A20BC8" w:rsidRPr="002B309A" w:rsidRDefault="00A20BC8" w:rsidP="00A20BC8">
      <w:r w:rsidRPr="002B309A">
        <w:t>Diese Beispiele belegen: Das FRZK ist kein reines Gedankenspiel. Es löst systematisch Probleme, die in der Praxis von Lehre und Forschung auftreten, und eröffnet eine neue Beobachtungsperspektive, die jenseits klassischer Modelle liegt. Damit wird das in diesem Kapitel entwickelte Fundament unmittelbar anschlussfähig für die in Kapitel 6 dargestellten Anwendungen.</w:t>
      </w:r>
    </w:p>
    <w:p w14:paraId="35FD98BC" w14:textId="77777777" w:rsidR="00A20BC8" w:rsidRPr="002B309A" w:rsidRDefault="00A20BC8" w:rsidP="00A20BC8">
      <w:r w:rsidRPr="002B309A">
        <w:t>Der Initialpunkt kann in Lernumgebungen sichtbar gemacht werden, wenn man Lernende bittet, den „ersten Unterschied“ selbst zu setzen – sei es zwischen möglichen und unmöglichen Lösungen oder zwischen verschiedenen Strategien. Empirisch prüfbar wird hier, ob diese Setzung zu stabilen Strukturen führt, die sich im weiteren Lernprozess rekonstruieren lassen. Der Initialpunkt wird praktisch erfahrbar, wenn Lernende selbst den ersten Unterschied setzen. In Experimenten lässt sich beobachten, ob eine minimale Differenz – z. B. zwischen „möglich“ und „unmöglich“ – stabilisiert wird und weitere Strukturbildung trägt. So kann geprüft werden, ob die theoretische Idee des Initialpunkts auch im Lernprozess wirksam wird.</w:t>
      </w:r>
    </w:p>
    <w:p w14:paraId="5CD9324C" w14:textId="77777777" w:rsidR="00A20BC8" w:rsidRDefault="00A20BC8" w:rsidP="00A20BC8">
      <w:r w:rsidRPr="002B309A">
        <w:t>Zusammenfassend ist der Initialpunkt die Ur-Operation des FRZK – nicht als Ding, sondern als Funktion. Er ist weder abbildbar noch beschreibbar im herkömmlichen Sinne. Seine Wirksamkeit liegt nicht in seinem „Was“, sondern in seinem „Dass“: Er ist der Anfang aller Struktur, der Beginn aller Raum-Zeit-Kohärenz, und der Möglichkeitsraum von Erkenntnis. Er ist Grenze und Ursprung zugleich. Und er ist – sowohl in der Theorie als auch in der Didaktik – der Ort, an dem Weltbildung beginnt.</w:t>
      </w:r>
    </w:p>
    <w:p w14:paraId="5CA56C68"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410300">
    <w:abstractNumId w:val="0"/>
  </w:num>
  <w:num w:numId="2" w16cid:durableId="2079084508">
    <w:abstractNumId w:val="1"/>
  </w:num>
  <w:num w:numId="3" w16cid:durableId="189361663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C8"/>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20BC8"/>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1AC8"/>
  <w15:chartTrackingRefBased/>
  <w15:docId w15:val="{E5C14883-763A-402A-9796-F6D312FA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0BC8"/>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Pages>
  <Words>2600</Words>
  <Characters>16380</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2025-10-04T04:10:00Z</dcterms:created>
  <dcterms:modified xsi:type="dcterms:W3CDTF">2025-10-04T04:11:00Z</dcterms:modified>
</cp:coreProperties>
</file>