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2514A" w14:textId="77777777" w:rsidR="00060378" w:rsidRPr="00951E13" w:rsidRDefault="00060378" w:rsidP="00060378">
      <w:pPr>
        <w:pStyle w:val="berschrift2"/>
      </w:pPr>
      <w:r w:rsidRPr="00951E13">
        <w:t>3.</w:t>
      </w:r>
      <w:r>
        <w:t>4</w:t>
      </w:r>
      <w:r w:rsidRPr="00951E13">
        <w:t xml:space="preserve"> Zuweisung, Relation und funktionale Emergenz</w:t>
      </w:r>
    </w:p>
    <w:p w14:paraId="33A57866" w14:textId="77777777" w:rsidR="00060378" w:rsidRPr="00951E13" w:rsidRDefault="00060378" w:rsidP="00060378">
      <w:pPr>
        <w:pStyle w:val="berschrift3"/>
      </w:pPr>
      <w:r w:rsidRPr="00951E13">
        <w:t>3.</w:t>
      </w:r>
      <w:r>
        <w:t>4</w:t>
      </w:r>
      <w:r w:rsidRPr="00951E13">
        <w:t>.1 Einleitung – Von Operatoren zu Strukturen</w:t>
      </w:r>
    </w:p>
    <w:p w14:paraId="6E08A5D6" w14:textId="77777777" w:rsidR="00060378" w:rsidRPr="00951E13" w:rsidRDefault="00060378" w:rsidP="00060378">
      <w:r w:rsidRPr="00951E13">
        <w:t>Die bisherigen Abschnitte 3.1 und 3.2 haben die Grundlage gelegt: Mit der Leere (</w:t>
      </w:r>
      <w:r w:rsidRPr="00951E13">
        <w:rPr>
          <w:rFonts w:ascii="Cambria Math" w:hAnsi="Cambria Math" w:cs="Cambria Math"/>
        </w:rPr>
        <w:t>∅</w:t>
      </w:r>
      <w:r w:rsidRPr="00951E13">
        <w:t>) und dem ersten Operator wurde der Startpunkt des Funktionalen Raum-Zeit-Koh</w:t>
      </w:r>
      <w:r w:rsidRPr="00951E13">
        <w:rPr>
          <w:rFonts w:cs="Calibri Light"/>
        </w:rPr>
        <w:t>ä</w:t>
      </w:r>
      <w:r w:rsidRPr="00951E13">
        <w:t xml:space="preserve">renzsystems (FRZK) bestimmt. Diese beiden Schritte markieren einen radikalen Anfang </w:t>
      </w:r>
      <w:r w:rsidRPr="00951E13">
        <w:rPr>
          <w:rFonts w:cs="Calibri Light"/>
        </w:rPr>
        <w:t>–</w:t>
      </w:r>
      <w:r w:rsidRPr="00951E13">
        <w:t xml:space="preserve"> die Setzung des Nichts und die Einf</w:t>
      </w:r>
      <w:r w:rsidRPr="00951E13">
        <w:rPr>
          <w:rFonts w:cs="Calibri Light"/>
        </w:rPr>
        <w:t>ü</w:t>
      </w:r>
      <w:r w:rsidRPr="00951E13">
        <w:t xml:space="preserve">hrung der ersten Unterscheidung. Doch an dieser Stelle ist noch nichts von Struktur im eigentlichen Sinn vorhanden. Was fehlt, ist der </w:t>
      </w:r>
      <w:r w:rsidRPr="00951E13">
        <w:rPr>
          <w:rFonts w:cs="Calibri Light"/>
        </w:rPr>
        <w:t>Ü</w:t>
      </w:r>
      <w:r w:rsidRPr="00951E13">
        <w:t>bergang von blo</w:t>
      </w:r>
      <w:r w:rsidRPr="00951E13">
        <w:rPr>
          <w:rFonts w:cs="Calibri Light"/>
        </w:rPr>
        <w:t>ß</w:t>
      </w:r>
      <w:r w:rsidRPr="00951E13">
        <w:t>en Operatoren zu etwas, das wir als Zusammenhang, als Relation, als emergente Form erkennen können.</w:t>
      </w:r>
    </w:p>
    <w:p w14:paraId="5CCEF934" w14:textId="77777777" w:rsidR="00060378" w:rsidRDefault="00060378" w:rsidP="00060378">
      <w:r w:rsidRPr="00951E13">
        <w:t>Genau diesen Übergang soll Abschnitt 3.3 leisten. Er beantwortet die Frage: Wie kann aus abstrakten Operationen etwas Neues entstehen, das nicht bereits in ihnen angelegt war? Wie wird aus der Zuweisung eine Relation, aus der Relation eine Stabilisierung, und aus dieser Stabilisierung ein qualitativ neues Gefüge – ein Raum, eine Struktur, eine Ordnung?</w:t>
      </w:r>
    </w:p>
    <w:p w14:paraId="0B3B207A" w14:textId="77777777" w:rsidR="00060378" w:rsidRPr="00951E13" w:rsidRDefault="00060378" w:rsidP="00060378">
      <w:r w:rsidRPr="00951E13">
        <w:t>Das FRZK setzt hier an einer entscheidenden Stelle an: Es nimmt Emergenz ernst, nicht als poetisches Bild, sondern als formales Prinzip. Damit grenzt es sich sowohl von klassischen Ontologien (Raum als Behälter, Zeit als Strom) als auch von rein reduktionistischen Modellen ab. Ich möchte zeigen, dass Zuweisung die minimale Handlung ist, die dem Nichts Differenz einschreibt – und dass aus dieser Differenz über Relationen hinweg eine neue Qualität entsteht.</w:t>
      </w:r>
    </w:p>
    <w:p w14:paraId="7659A0F7" w14:textId="77777777" w:rsidR="00060378" w:rsidRPr="00951E13" w:rsidRDefault="00060378" w:rsidP="00060378">
      <w:r>
        <w:pict w14:anchorId="4E295607">
          <v:rect id="_x0000_i1025" style="width:0;height:1.5pt" o:hralign="center" o:hrstd="t" o:hr="t" fillcolor="#a0a0a0" stroked="f"/>
        </w:pict>
      </w:r>
    </w:p>
    <w:p w14:paraId="678109DB" w14:textId="77777777" w:rsidR="00060378" w:rsidRPr="00951E13" w:rsidRDefault="00060378" w:rsidP="00060378">
      <w:pPr>
        <w:pStyle w:val="berschrift3"/>
      </w:pPr>
      <w:r w:rsidRPr="00951E13">
        <w:t>3.</w:t>
      </w:r>
      <w:r>
        <w:t>4</w:t>
      </w:r>
      <w:r w:rsidRPr="00951E13">
        <w:t>.2 Der Begriff der Zuweisung</w:t>
      </w:r>
    </w:p>
    <w:p w14:paraId="5C640693" w14:textId="77777777" w:rsidR="00060378" w:rsidRPr="00951E13" w:rsidRDefault="00060378" w:rsidP="00060378">
      <w:r w:rsidRPr="00951E13">
        <w:t>Eine Zuweisung ist zunächst nichts anderes als eine Abbildungsvorschrift:</w:t>
      </w:r>
    </w:p>
    <w:p w14:paraId="045D2473" w14:textId="73F30AB3" w:rsidR="00060378" w:rsidRPr="00951E13" w:rsidRDefault="00060378" w:rsidP="00060378">
      <w:pPr>
        <w:pStyle w:val="Formel"/>
      </w:pPr>
      <m:oMath>
        <m:r>
          <m:t xml:space="preserve">o:S→S' </m:t>
        </m:r>
      </m:oMath>
      <w:r>
        <w:tab/>
        <w:t>(8)</w:t>
      </w:r>
    </w:p>
    <w:p w14:paraId="044C0A9A" w14:textId="77777777" w:rsidR="00060378" w:rsidRPr="00951E13" w:rsidRDefault="00060378" w:rsidP="00060378">
      <w:r w:rsidRPr="00951E13">
        <w:t>mit o</w:t>
      </w:r>
      <w:r w:rsidRPr="00951E13">
        <w:rPr>
          <w:rFonts w:ascii="Cambria Math" w:hAnsi="Cambria Math" w:cs="Cambria Math"/>
        </w:rPr>
        <w:t>∈</w:t>
      </w:r>
      <w:r w:rsidRPr="00951E13">
        <w:t>O.</w:t>
      </w:r>
      <w:r w:rsidRPr="00951E13">
        <w:br/>
        <w:t>Dabei gilt: Der Punkt selbst ist nicht Träger von Eigenschaften. Er „existiert“ nur dadurch, dass er durch eine Operation zugewiesen wird. Ein isolierter Punkt ohne Zuweisung ist im FRZK nicht definierbar.</w:t>
      </w:r>
    </w:p>
    <w:p w14:paraId="743F599C" w14:textId="77777777" w:rsidR="00060378" w:rsidRPr="00951E13" w:rsidRDefault="00060378" w:rsidP="00060378">
      <w:r w:rsidRPr="00951E13">
        <w:t xml:space="preserve">Diese Sichtweise steht im Einklang mit der Kategorientheorie. Saunders Mac Lane hat betont, dass in der Kategorie der Mengen nicht die Mengen selbst, sondern die Abbildungen zwischen ihnen das eigentlich Konstitutive sind (Mac Lane, </w:t>
      </w:r>
      <w:r w:rsidRPr="00951E13">
        <w:rPr>
          <w:i/>
          <w:iCs/>
        </w:rPr>
        <w:t>Categories for the Working Mathematician</w:t>
      </w:r>
      <w:r w:rsidRPr="00951E13">
        <w:t>, 1971, Kap. I). Objekte definieren sich nicht durch ihr Inneres, sondern durch ihre Morphismen. Übertragen auf das FRZK bedeutet das: Zuweisung ist der erste produktive Akt.</w:t>
      </w:r>
    </w:p>
    <w:p w14:paraId="3D5DA132" w14:textId="77777777" w:rsidR="00060378" w:rsidRPr="00951E13" w:rsidRDefault="00060378" w:rsidP="00060378">
      <w:r w:rsidRPr="00951E13">
        <w:t xml:space="preserve">Ich erlebe in der Praxis, dass genau dieser Schritt für viele Lernende ungewohnt ist. Schüler:innen fragen oft: „Was </w:t>
      </w:r>
      <w:r w:rsidRPr="00951E13">
        <w:rPr>
          <w:i/>
          <w:iCs/>
        </w:rPr>
        <w:t>ist</w:t>
      </w:r>
      <w:r w:rsidRPr="00951E13">
        <w:t xml:space="preserve"> der Punkt eigentlich?“ Meine Antwort lautet: „Nichts – außer dass er gesetzt wird.“ Das irritiert zunächst, weil es dem Alltagsverständnis widerspricht. Aber genau diese Irritation ist produktiv: Sie zeigt, dass mathematisches Denken nicht bei der Substanz beginnt, sondern bei der Relation. Krantz hat diesen Übergang in seiner Darstellung der Geschichte des mathematischen Denkens hervorgehoben: Die Einführung von Abbildungen markiert den Sprung von konkreter </w:t>
      </w:r>
      <w:r w:rsidRPr="00951E13">
        <w:lastRenderedPageBreak/>
        <w:t xml:space="preserve">Anschauung zu abstrakter Struktur (Krantz, </w:t>
      </w:r>
      <w:r w:rsidRPr="00951E13">
        <w:rPr>
          <w:i/>
          <w:iCs/>
        </w:rPr>
        <w:t>Mathematical Thought from Ancient to Modern Times</w:t>
      </w:r>
      <w:r w:rsidRPr="00951E13">
        <w:t>, 1971, S. 45–60).</w:t>
      </w:r>
    </w:p>
    <w:p w14:paraId="4BFDC7D1" w14:textId="77777777" w:rsidR="00060378" w:rsidRPr="00951E13" w:rsidRDefault="00060378" w:rsidP="00060378">
      <w:r>
        <w:pict w14:anchorId="22D6267B">
          <v:rect id="_x0000_i1026" style="width:0;height:1.5pt" o:hralign="center" o:hrstd="t" o:hr="t" fillcolor="#a0a0a0" stroked="f"/>
        </w:pict>
      </w:r>
    </w:p>
    <w:p w14:paraId="61E76FCB" w14:textId="77777777" w:rsidR="00060378" w:rsidRPr="00951E13" w:rsidRDefault="00060378" w:rsidP="00060378">
      <w:pPr>
        <w:pStyle w:val="berschrift3"/>
      </w:pPr>
      <w:r w:rsidRPr="00951E13">
        <w:t>3.</w:t>
      </w:r>
      <w:r>
        <w:t>4</w:t>
      </w:r>
      <w:r w:rsidRPr="00951E13">
        <w:t>.3 Von Zuweisungen zu Relationen</w:t>
      </w:r>
    </w:p>
    <w:p w14:paraId="06B8BAE8" w14:textId="77777777" w:rsidR="00060378" w:rsidRPr="00951E13" w:rsidRDefault="00060378" w:rsidP="00060378">
      <w:r w:rsidRPr="00951E13">
        <w:t>Eine einzelne Zuweisung ist noch keine Struktur, sondern nur ein minimaler Schritt. Erst durch Wiederholung entstehen Verkettungen. Formal bedeutet das: Jede Abbildung</w:t>
      </w:r>
      <w:r>
        <w:rPr>
          <w:rFonts w:ascii="Cambria Math" w:hAnsi="Cambria Math" w:cs="Cambria Math"/>
        </w:rPr>
        <w:t>𝒪</w:t>
      </w:r>
      <w:r w:rsidRPr="00951E13">
        <w:t>induziert eine Relation Ro</w:t>
      </w:r>
      <w:r w:rsidRPr="00951E13">
        <w:rPr>
          <w:rFonts w:ascii="Cambria Math" w:hAnsi="Cambria Math" w:cs="Cambria Math"/>
        </w:rPr>
        <w:t>⊆</w:t>
      </w:r>
      <w:r w:rsidRPr="00951E13">
        <w:t>S</w:t>
      </w:r>
      <w:r w:rsidRPr="00951E13">
        <w:rPr>
          <w:rFonts w:cs="Calibri Light"/>
        </w:rPr>
        <w:t>×</w:t>
      </w:r>
      <w:r w:rsidRPr="00951E13">
        <w:t>S. Durch Komposition ergibt sich:</w:t>
      </w:r>
    </w:p>
    <w:p w14:paraId="6126E378" w14:textId="3F1EDA85" w:rsidR="00060378" w:rsidRDefault="00060378" w:rsidP="00060378">
      <w:pPr>
        <w:pStyle w:val="Formel"/>
      </w:pPr>
      <m:oMath>
        <m:sSub>
          <m:sSubPr>
            <m:ctrlPr/>
          </m:sSubPr>
          <m:e>
            <m:r>
              <m:t>o</m:t>
            </m:r>
          </m:e>
          <m:sub>
            <m:r>
              <m:t>2</m:t>
            </m:r>
          </m:sub>
        </m:sSub>
        <m:r>
          <w:rPr>
            <w:rFonts w:cs="Cambria Math"/>
          </w:rPr>
          <m:t>∘</m:t>
        </m:r>
        <m:sSub>
          <m:sSubPr>
            <m:ctrlPr/>
          </m:sSubPr>
          <m:e>
            <m:r>
              <m:t>o</m:t>
            </m:r>
          </m:e>
          <m:sub>
            <m:r>
              <m:t>1</m:t>
            </m:r>
          </m:sub>
        </m:sSub>
        <m:r>
          <m:t>:S</m:t>
        </m:r>
        <m:r>
          <w:rPr>
            <w:rFonts w:cs="Calibri Light"/>
          </w:rPr>
          <m:t>→</m:t>
        </m:r>
        <m:r>
          <m:t>S</m:t>
        </m:r>
        <m:r>
          <w:rPr>
            <w:rFonts w:cs="Calibri Light"/>
          </w:rPr>
          <m:t>'→</m:t>
        </m:r>
        <m:r>
          <m:t>S</m:t>
        </m:r>
        <m:r>
          <w:rPr>
            <w:rFonts w:cs="Calibri Light"/>
          </w:rPr>
          <m:t>''</m:t>
        </m:r>
      </m:oMath>
      <w:r>
        <w:tab/>
        <w:t>(10)</w:t>
      </w:r>
    </w:p>
    <w:p w14:paraId="2BF16A1B" w14:textId="77777777" w:rsidR="00060378" w:rsidRPr="00951E13" w:rsidRDefault="00060378" w:rsidP="00060378"/>
    <w:p w14:paraId="03238211" w14:textId="2DCC3551" w:rsidR="00060378" w:rsidRDefault="00060378" w:rsidP="00060378">
      <w:r w:rsidRPr="00951E13">
        <w:t>und die dazugehörige Relation ist</w:t>
      </w:r>
    </w:p>
    <w:p w14:paraId="04418472" w14:textId="1233E84E" w:rsidR="00060378" w:rsidRDefault="00060378" w:rsidP="00060378">
      <w:pPr>
        <w:pStyle w:val="Formel"/>
      </w:pPr>
      <m:oMath>
        <m:sSub>
          <m:sSubPr>
            <m:ctrlPr/>
          </m:sSubPr>
          <m:e>
            <m:r>
              <m:t>R</m:t>
            </m:r>
          </m:e>
          <m:sub>
            <m:sSub>
              <m:sSubPr>
                <m:ctrlPr/>
              </m:sSubPr>
              <m:e>
                <m:r>
                  <m:t>o</m:t>
                </m:r>
              </m:e>
              <m:sub>
                <m:r>
                  <m:t>2</m:t>
                </m:r>
              </m:sub>
            </m:sSub>
            <m:r>
              <w:rPr>
                <w:rFonts w:cs="Cambria Math"/>
              </w:rPr>
              <m:t>∘</m:t>
            </m:r>
            <m:sSub>
              <m:sSubPr>
                <m:ctrlPr/>
              </m:sSubPr>
              <m:e>
                <m:r>
                  <m:t xml:space="preserve"> o</m:t>
                </m:r>
              </m:e>
              <m:sub>
                <m:r>
                  <m:t>1</m:t>
                </m:r>
              </m:sub>
            </m:sSub>
          </m:sub>
        </m:sSub>
        <m:r>
          <w:rPr>
            <w:rFonts w:cs="Cambria Math"/>
          </w:rPr>
          <m:t>⊆</m:t>
        </m:r>
        <m:r>
          <m:t>S</m:t>
        </m:r>
        <m:r>
          <w:rPr>
            <w:rFonts w:cs="Calibri Light"/>
          </w:rPr>
          <m:t>×</m:t>
        </m:r>
        <m:r>
          <m:t>S</m:t>
        </m:r>
        <m:r>
          <w:rPr>
            <w:rFonts w:cs="Calibri Light"/>
          </w:rPr>
          <m:t>''</m:t>
        </m:r>
      </m:oMath>
      <w:r>
        <w:tab/>
        <w:t>(11)</w:t>
      </w:r>
    </w:p>
    <w:p w14:paraId="6082BAB8" w14:textId="04F098E0" w:rsidR="00060378" w:rsidRPr="00951E13" w:rsidRDefault="00060378" w:rsidP="00060378">
      <w:r w:rsidRPr="00270489">
        <w:t xml:space="preserve">Die Relation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 xml:space="preserve"> o</m:t>
                </m:r>
              </m:e>
              <m:sub>
                <m:r>
                  <w:rPr>
                    <w:rFonts w:ascii="Cambria Math" w:hAnsi="Cambria Math"/>
                  </w:rPr>
                  <m:t>1</m:t>
                </m:r>
              </m:sub>
            </m:sSub>
          </m:sub>
        </m:sSub>
      </m:oMath>
      <w:r w:rsidRPr="00270489">
        <w:t>​​ ist eine Teilmenge von S×S′′ ′.</w:t>
      </w:r>
      <w:r>
        <w:t xml:space="preserve"> </w:t>
      </w:r>
      <w:r w:rsidRPr="00270489">
        <w:t xml:space="preserve">Hierbei handelt es sich um die Aussage, dass die Relation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sub>
        </m:sSub>
      </m:oMath>
      <w:r w:rsidRPr="00270489">
        <w:t xml:space="preserve">​​ auf einem Produkt von zwei Mengen S und S′′ definiert ist. Das Symbol </w:t>
      </w:r>
      <w:r w:rsidRPr="00270489">
        <w:rPr>
          <w:rFonts w:ascii="Cambria Math" w:hAnsi="Cambria Math" w:cs="Cambria Math"/>
        </w:rPr>
        <w:t>∘</w:t>
      </w:r>
      <w:r w:rsidRPr="00270489">
        <w:t xml:space="preserve"> steht für die Komposition von Relationen (also </w:t>
      </w:r>
      <m:oMath>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 xml:space="preserve"> o</m:t>
            </m:r>
          </m:e>
          <m:sub>
            <m:r>
              <w:rPr>
                <w:rFonts w:ascii="Cambria Math" w:hAnsi="Cambria Math"/>
              </w:rPr>
              <m:t>1</m:t>
            </m:r>
          </m:sub>
        </m:sSub>
      </m:oMath>
      <w:r w:rsidRPr="00270489">
        <w:t xml:space="preserve"> ​), und der Ausdruck </w:t>
      </w:r>
      <w:r w:rsidRPr="00270489">
        <w:rPr>
          <w:rFonts w:ascii="Cambria Math" w:hAnsi="Cambria Math" w:cs="Cambria Math"/>
        </w:rPr>
        <w:t>⊆</w:t>
      </w:r>
      <w:r w:rsidRPr="00270489">
        <w:t xml:space="preserve"> bedeutet, dass die Relation eine Teilmenge des Produkts der Mengen S und S′′ ist</w:t>
      </w:r>
      <w:r>
        <w:t xml:space="preserve">. </w:t>
      </w:r>
      <w:r w:rsidRPr="00951E13">
        <w:t>Solche Verkettungen sind im FRZK die Keimzellen emergenter Strukturen.</w:t>
      </w:r>
    </w:p>
    <w:p w14:paraId="1242033F" w14:textId="77777777" w:rsidR="00060378" w:rsidRPr="00951E13" w:rsidRDefault="00060378" w:rsidP="00060378">
      <w:r w:rsidRPr="00951E13">
        <w:t xml:space="preserve">Francisco Varela hat dies im Kontext biologischer Systeme beschrieben: Erst durch rekursive Operationen entsteht operative Geschlossenheit – ein System, das sich selbst erhält (Varela, </w:t>
      </w:r>
      <w:r w:rsidRPr="00951E13">
        <w:rPr>
          <w:i/>
          <w:iCs/>
        </w:rPr>
        <w:t>Principles of Biological Autonomy</w:t>
      </w:r>
      <w:r w:rsidRPr="00951E13">
        <w:t>, 1979, S. 55). Übertragen heißt das: Bedeutung ist kein Attribut des Elements, sondern das Resultat stabilisierter Relationen.</w:t>
      </w:r>
    </w:p>
    <w:p w14:paraId="09834D59" w14:textId="77777777" w:rsidR="00060378" w:rsidRPr="00951E13" w:rsidRDefault="00060378" w:rsidP="00060378">
      <w:r w:rsidRPr="00951E13">
        <w:t>Didaktisch zeigt sich das in einfachen Übungen: Wenn Schüler:innen Punkte mit Buchstaben versehen („A“, „B“, „C“), bleibt das zunächst bedeutungslos. Erst wenn sie systematisch Verbindungen herstellen („A ist mit B verbunden, B mit C“), erkennen sie eine Linie. Damit verschiebt sich der Fokus vom Punkt zur Relation – und genau in diesem Moment entsteht Struktur.</w:t>
      </w:r>
    </w:p>
    <w:p w14:paraId="0D3B116C" w14:textId="77777777" w:rsidR="00060378" w:rsidRPr="00951E13" w:rsidRDefault="00060378" w:rsidP="00060378">
      <w:r>
        <w:pict w14:anchorId="0C8F11A8">
          <v:rect id="_x0000_i1027" style="width:0;height:1.5pt" o:hralign="center" o:hrstd="t" o:hr="t" fillcolor="#a0a0a0" stroked="f"/>
        </w:pict>
      </w:r>
    </w:p>
    <w:p w14:paraId="2E1817A7" w14:textId="77777777" w:rsidR="00060378" w:rsidRPr="00951E13" w:rsidRDefault="00060378" w:rsidP="00060378">
      <w:pPr>
        <w:pStyle w:val="berschrift3"/>
      </w:pPr>
      <w:r w:rsidRPr="00951E13">
        <w:t>3.</w:t>
      </w:r>
      <w:r>
        <w:t>4</w:t>
      </w:r>
      <w:r w:rsidRPr="00951E13">
        <w:t>.4 Relationale Stabilisierung</w:t>
      </w:r>
    </w:p>
    <w:p w14:paraId="6D503D14" w14:textId="77777777" w:rsidR="00060378" w:rsidRPr="00951E13" w:rsidRDefault="00060378" w:rsidP="00060378">
      <w:r w:rsidRPr="00951E13">
        <w:t>Zuweisungen allein sind noch instabil. Sie müssen wiederholt, geprüft und konsistent gemacht werden, um etwas Neues hervorzubringen. Das Prinzip der Stabilisierung ist entscheidend: Relationen dürfen nicht auseinanderfallen, sondern müssen sich zu kohärenten Mustern verdichten.</w:t>
      </w:r>
    </w:p>
    <w:p w14:paraId="3A44192F" w14:textId="77777777" w:rsidR="00060378" w:rsidRPr="00951E13" w:rsidRDefault="00060378" w:rsidP="00060378">
      <w:r w:rsidRPr="00951E13">
        <w:t xml:space="preserve">Maturana und Varela haben dies in der Theorie der Autopoiesis herausgearbeitet: Systeme stabilisieren sich durch ihre eigenen rekursiven Operationen (Maturana &amp; Varela, </w:t>
      </w:r>
      <w:r w:rsidRPr="00951E13">
        <w:rPr>
          <w:i/>
          <w:iCs/>
        </w:rPr>
        <w:t>Autopoiesis and Cognition</w:t>
      </w:r>
      <w:r w:rsidRPr="00951E13">
        <w:t>, 1980, S. 13–22). Für das FRZK bedeutet das: Strukturen sind nicht vorausgesetzt, sondern das Produkt wiederholter Stabilisierung.</w:t>
      </w:r>
    </w:p>
    <w:p w14:paraId="6186EFB9" w14:textId="77777777" w:rsidR="00060378" w:rsidRPr="00951E13" w:rsidRDefault="00060378" w:rsidP="00060378">
      <w:r w:rsidRPr="00951E13">
        <w:t>Ein Beispiel aus meiner Nachhilfe: Ich lasse Schüler:innen Stromkreise ohne vorgegebene Orientierung zeichnen. Zunächst bleibt die Skizze chaotisch – die Relationen zerfallen. Erst wenn ein Bezugspunkt („Hub“) eingeführt wird, stabilisiert sich das Muster: Nun ergibt sich Orientierung, und plötzlich „funktioniert“ der Stromkreis. Das zeigt mir jedes Mal, wie aus Instabilität durch einen stabilisierenden Bezugspunkt Ordnung emergiert.</w:t>
      </w:r>
    </w:p>
    <w:p w14:paraId="10A76945" w14:textId="77777777" w:rsidR="00060378" w:rsidRPr="00951E13" w:rsidRDefault="00060378" w:rsidP="00060378">
      <w:r w:rsidRPr="00951E13">
        <w:t>Didaktisch bedeutet das: Zuweisungen sind kein Selbstzweck, sondern eröffnen Möglichkeitsräume. Sie schaffen Bedingungen dafür, dass Relationen sich stabilisieren können. In dieser Hinsicht sind sie weniger „Antworten“ als vielmehr „Fragen“, die sich erst im Zusammenspiel beantworten.</w:t>
      </w:r>
    </w:p>
    <w:p w14:paraId="017E4679" w14:textId="77777777" w:rsidR="00060378" w:rsidRPr="00951E13" w:rsidRDefault="00060378" w:rsidP="00060378">
      <w:r>
        <w:pict w14:anchorId="67A50CC1">
          <v:rect id="_x0000_i1028" style="width:0;height:1.5pt" o:hralign="center" o:hrstd="t" o:hr="t" fillcolor="#a0a0a0" stroked="f"/>
        </w:pict>
      </w:r>
    </w:p>
    <w:p w14:paraId="64625198" w14:textId="77777777" w:rsidR="00060378" w:rsidRPr="00951E13" w:rsidRDefault="00060378" w:rsidP="00060378">
      <w:pPr>
        <w:pStyle w:val="berschrift3"/>
      </w:pPr>
      <w:r w:rsidRPr="00951E13">
        <w:t>3.</w:t>
      </w:r>
      <w:r>
        <w:t>4</w:t>
      </w:r>
      <w:r w:rsidRPr="00951E13">
        <w:t>.5 Funktionale Emergenz</w:t>
      </w:r>
    </w:p>
    <w:p w14:paraId="2AE1128E" w14:textId="77777777" w:rsidR="00060378" w:rsidRPr="00951E13" w:rsidRDefault="00060378" w:rsidP="00060378">
      <w:r w:rsidRPr="00951E13">
        <w:t>Der Kernpunkt lautet: Emergenz im FRZK ist nicht additiv, sondern qualitativ. Aus einer Menge von Einzelrelationen entsteht eine neue Qualität, sobald sie sich zu einem stabilen Gefüge verdichten.</w:t>
      </w:r>
    </w:p>
    <w:p w14:paraId="1791AAD4" w14:textId="77777777" w:rsidR="00060378" w:rsidRPr="00951E13" w:rsidRDefault="00060378" w:rsidP="00060378">
      <w:r w:rsidRPr="00951E13">
        <w:t xml:space="preserve">Ein anschauliches Beispiel liefert die Topologie: Der Übergang von einer nicht zusammenhängenden zu einer zusammenhängenden Mannigfaltigkeit verändert die gesamte Struktur. Aus isolierten Teilen wird ein Raum mit globalen Eigenschaften (Spivak, </w:t>
      </w:r>
      <w:r w:rsidRPr="00951E13">
        <w:rPr>
          <w:i/>
          <w:iCs/>
        </w:rPr>
        <w:t>A Comprehensive Introduction to Differential Geometry</w:t>
      </w:r>
      <w:r w:rsidRPr="00951E13">
        <w:t>, Vol. 1, 1999, Kap. 1).</w:t>
      </w:r>
    </w:p>
    <w:p w14:paraId="4A53474E" w14:textId="77777777" w:rsidR="00060378" w:rsidRPr="00951E13" w:rsidRDefault="00060378" w:rsidP="00060378">
      <w:r w:rsidRPr="00951E13">
        <w:t xml:space="preserve">Auch die moderne Physik argumentiert relational: Carlo Rovelli betont, dass Raumzeit nicht als ontologische Gegebenheit existiert, sondern nur als Netz von Relationen (Rovelli, </w:t>
      </w:r>
      <w:r w:rsidRPr="00951E13">
        <w:rPr>
          <w:i/>
          <w:iCs/>
        </w:rPr>
        <w:t>Helgoland</w:t>
      </w:r>
      <w:r w:rsidRPr="00951E13">
        <w:t>, 2021, Kap. „Relations“). Raum ist nicht „wo Dinge sind“, sondern „wie Dinge zueinander stehen“. Damit bestätigt die Physik, was das FRZK erkenntnistheoretisch beschreibt: Strukturen emergieren relational.</w:t>
      </w:r>
    </w:p>
    <w:p w14:paraId="77E34F54" w14:textId="77777777" w:rsidR="00060378" w:rsidRPr="00951E13" w:rsidRDefault="00060378" w:rsidP="00060378">
      <w:r w:rsidRPr="00951E13">
        <w:t xml:space="preserve">Ein weiterer Bezugspunkt ist die Thermodynamik. Nicolis und Prigogine haben gezeigt, dass dissipative Systeme neue Ordnungen hervorbringen, die in den einzelnen Elementen nicht angelegt sind (Nicolis &amp; Prigogine, </w:t>
      </w:r>
      <w:r w:rsidRPr="00951E13">
        <w:rPr>
          <w:i/>
          <w:iCs/>
        </w:rPr>
        <w:t>Self-Organization in Nonequilibrium Systems</w:t>
      </w:r>
      <w:r w:rsidRPr="00951E13">
        <w:t>, 1977, S. 26–49). Emergenz heißt: Das Ganze ist mehr – und vor allem anders – als die Summe seiner Teile.</w:t>
      </w:r>
    </w:p>
    <w:p w14:paraId="66673B1B" w14:textId="77777777" w:rsidR="00060378" w:rsidRPr="00951E13" w:rsidRDefault="00060378" w:rsidP="00060378">
      <w:r>
        <w:pict w14:anchorId="41E74731">
          <v:rect id="_x0000_i1029" style="width:0;height:1.5pt" o:hralign="center" o:hrstd="t" o:hr="t" fillcolor="#a0a0a0" stroked="f"/>
        </w:pict>
      </w:r>
    </w:p>
    <w:p w14:paraId="215362BD" w14:textId="77777777" w:rsidR="00060378" w:rsidRDefault="00060378" w:rsidP="00060378">
      <w:pPr>
        <w:pStyle w:val="berschrift3"/>
      </w:pPr>
      <w:r w:rsidRPr="00AC3826">
        <w:t>3.</w:t>
      </w:r>
      <w:r>
        <w:t>4.6</w:t>
      </w:r>
      <w:r w:rsidRPr="00AC3826">
        <w:t xml:space="preserve"> Beobachten heißt zuweisen</w:t>
      </w:r>
    </w:p>
    <w:p w14:paraId="16FF9DAB" w14:textId="77777777" w:rsidR="00060378" w:rsidRDefault="00060378" w:rsidP="00060378">
      <w:r w:rsidRPr="00AC3826">
        <w:t xml:space="preserve">In der Systemtheorie ist längst klar: Struktur entsteht nicht durch die Welt „an sich“, sondern durch die Unterscheidung, die ein Beobachter trifft (Luhmann, Niklas; </w:t>
      </w:r>
      <w:r w:rsidRPr="00AC3826">
        <w:rPr>
          <w:i/>
          <w:iCs/>
        </w:rPr>
        <w:t>Soziale Systeme</w:t>
      </w:r>
      <w:r w:rsidRPr="00AC3826">
        <w:t xml:space="preserve">; Suhrkamp, 1984) [3]. Van Fraassen sagt: Modelle zeigen nicht die Wirklichkeit, sondern einen durch Beobachtung erzeugten Raum (van Fraassen, Bas C.; </w:t>
      </w:r>
      <w:r w:rsidRPr="00AC3826">
        <w:rPr>
          <w:i/>
          <w:iCs/>
        </w:rPr>
        <w:t>The Scientific Image</w:t>
      </w:r>
      <w:r w:rsidRPr="00AC3826">
        <w:t>; 1980, S. 12–15) [</w:t>
      </w:r>
      <w:r>
        <w:t>35</w:t>
      </w:r>
      <w:r w:rsidRPr="00AC3826">
        <w:t>].</w:t>
      </w:r>
    </w:p>
    <w:p w14:paraId="675054A7" w14:textId="77777777" w:rsidR="00060378" w:rsidRDefault="00060378" w:rsidP="00060378">
      <w:r w:rsidRPr="00AC3826">
        <w:t>Im FRZK bezieht sich diese Idee auf die erste funktionale Zuweisung. Wer beobachtet, setzt ein Kriterium. Wer ein Koordinatensystem aufzeichnet, tut das nicht, weil es da ist – sondern weil er eine Relation modellieren möchte.</w:t>
      </w:r>
    </w:p>
    <w:p w14:paraId="0FCC78F7" w14:textId="77777777" w:rsidR="00060378" w:rsidRPr="00AC3826" w:rsidRDefault="00060378" w:rsidP="00060378">
      <w:r w:rsidRPr="00AC3826">
        <w:t>In meiner eigenen Lehrpraxis versuche ich oft, den Schülern zu verdeutlichen, dass Beobachtungen immer mit einer Zuweisung von Bedeutungen verbunden sind. Wenn ein Koordinatensystem gezeichnet wird, ist das nicht nur eine rein technische Handlung – es ist ein aktiver Prozess der Bedeutungszuweisung. Diese Zuweisung strukturiert das Problem und setzt es in Beziehung zu anderen Problemen. Genau in diesem Moment der Zuweisung entsteht der Raum, in dem die Mathematik, die Physik oder die Geometrie erst ihren Platz finden. Die Lehre wird so zu einem aktiven Prozess der Wissensgestaltung.</w:t>
      </w:r>
    </w:p>
    <w:p w14:paraId="32495D98" w14:textId="77777777" w:rsidR="00060378" w:rsidRPr="00AC3826" w:rsidRDefault="00060378" w:rsidP="00060378">
      <w:pPr>
        <w:spacing w:after="0"/>
        <w:rPr>
          <w:rFonts w:ascii="Times New Roman" w:hAnsi="Times New Roman"/>
        </w:rPr>
      </w:pPr>
      <w:r>
        <w:rPr>
          <w:rFonts w:ascii="Times New Roman" w:hAnsi="Times New Roman"/>
        </w:rPr>
        <w:pict w14:anchorId="60A2FF09">
          <v:rect id="_x0000_i1030" style="width:0;height:1.5pt" o:hralign="center" o:hrstd="t" o:hr="t" fillcolor="#a0a0a0" stroked="f"/>
        </w:pict>
      </w:r>
    </w:p>
    <w:p w14:paraId="43985D18" w14:textId="77777777" w:rsidR="00060378" w:rsidRDefault="00060378" w:rsidP="00060378">
      <w:pPr>
        <w:pStyle w:val="berschrift3"/>
      </w:pPr>
      <w:r w:rsidRPr="00AC3826">
        <w:t>3.</w:t>
      </w:r>
      <w:r>
        <w:t>4.7</w:t>
      </w:r>
      <w:r w:rsidRPr="00AC3826">
        <w:t xml:space="preserve"> Skizzen als Freiheitsräume</w:t>
      </w:r>
    </w:p>
    <w:p w14:paraId="4738497F" w14:textId="77777777" w:rsidR="00060378" w:rsidRDefault="00060378" w:rsidP="00060378">
      <w:r w:rsidRPr="00AC3826">
        <w:t>Didaktisch ist es enorm hilfreich, das Zeichnen eines Koordinatensystems nicht als Startpunkt, sondern als Verfügung zu behandeln. Ich sage: Zeichne groß – du weißt noch nicht, was alles hineingehört. Und: Nimm Platzhalter statt Werte – so bleibst du offen.</w:t>
      </w:r>
      <w:r w:rsidRPr="00AC3826">
        <w:br/>
        <w:t>Diese Art des Denkens verändert die Geometrie-Lehre radikal: Man beginnt nicht mit Raum, sondern mit Strukturbildungsprinzipien – wie Prediger und andere didaktisch längst fordern.</w:t>
      </w:r>
      <w:r w:rsidRPr="00AC3826">
        <w:br/>
        <w:t xml:space="preserve">„Durch das Einsetzen von Platzhaltern anstelle konkreter Werte schafft man einen interpretativen Freiraum, der Lernende in die Lage versetzt, eigene Deutungen zu entwickeln.“ (Prediger, Susanne; </w:t>
      </w:r>
      <w:r w:rsidRPr="00AC3826">
        <w:rPr>
          <w:i/>
          <w:iCs/>
        </w:rPr>
        <w:t>Didaktische Rekonstruktion funktionaler Zusammenhänge</w:t>
      </w:r>
      <w:r w:rsidRPr="00AC3826">
        <w:t>; 2006, S. 55–57) [4]</w:t>
      </w:r>
    </w:p>
    <w:p w14:paraId="55685691" w14:textId="77777777" w:rsidR="00060378" w:rsidRDefault="00060378" w:rsidP="00060378">
      <w:pPr>
        <w:pStyle w:val="Zitat"/>
      </w:pPr>
      <w:r w:rsidRPr="00AC3826">
        <w:t>„Beginne mit einer offenen Skizze – ohne Koordinatenraster –, um Lernenden Spielräume für strukturelle Entwicklung zu bieten.“ (Fischer, Hans E., &amp; Ralle, Bernd; Modellierung in der Chemiedidaktik; 2003, S. 73–75) [7]</w:t>
      </w:r>
    </w:p>
    <w:p w14:paraId="1ECDD2D1" w14:textId="77777777" w:rsidR="00060378" w:rsidRPr="00AC3826" w:rsidRDefault="00060378" w:rsidP="00060378">
      <w:r w:rsidRPr="00AC3826">
        <w:t>Ich erlebe, wie eine solche Herangehensweise den Lernprozess befreit. Es ist, als würde man den Lernenden die Freiheit geben, die Struktur selbst zu entdecken, anstatt sie ihnen einfach vorzugeben. In meiner Praxis versuche ich oft, den Raum für kreative Interpretationen zu öffnen, indem ich bewusst Platz für Unbestimmtheit lasse. Wenn ein Schüler noch nicht weiß, wie ein Problem aussieht, ist es viel hilfreicher, ihm die Möglichkeit zu geben, mit Platzhaltern zu arbeiten, anstatt sofort feste Zahlen oder Messwerte zu setzen. Diese Technik fördert die abstrakte Denkweise und hilft den Lernenden, das Wesentliche eines Problems zu erkennen.</w:t>
      </w:r>
    </w:p>
    <w:p w14:paraId="591D631B" w14:textId="77777777" w:rsidR="00060378" w:rsidRPr="00951E13" w:rsidRDefault="00060378" w:rsidP="00060378">
      <w:pPr>
        <w:pStyle w:val="berschrift3"/>
      </w:pPr>
      <w:r w:rsidRPr="00951E13">
        <w:t>3.</w:t>
      </w:r>
      <w:r>
        <w:t>4</w:t>
      </w:r>
      <w:r w:rsidRPr="00951E13">
        <w:t>.</w:t>
      </w:r>
      <w:r>
        <w:t>8</w:t>
      </w:r>
      <w:r w:rsidRPr="00951E13">
        <w:t xml:space="preserve"> Didaktische Praxisbeispiele</w:t>
      </w:r>
    </w:p>
    <w:p w14:paraId="576FF213" w14:textId="77777777" w:rsidR="00060378" w:rsidRPr="00951E13" w:rsidRDefault="00060378" w:rsidP="00060378">
      <w:r w:rsidRPr="00951E13">
        <w:t>Die Stärke des FRZK zeigt sich darin, dass es sich unmittelbar auf Unterrichtssituationen übertragen lässt. Ich nenne drei Beispiele:</w:t>
      </w:r>
    </w:p>
    <w:p w14:paraId="7CA6B8FC" w14:textId="77777777" w:rsidR="00060378" w:rsidRPr="00951E13" w:rsidRDefault="00060378" w:rsidP="00060378">
      <w:r w:rsidRPr="00951E13">
        <w:t>Mathematikunterricht: Lernende setzen Punkte und versehen sie mit Buchstaben. Zunächst wirkt alles willkürlich. Erst durch Relationen („A mit B, B mit C“) ergibt sich eine Linie. Für mich ist dieser Moment der Emergenz entscheidend: Aus Beliebigkeit wird Struktur.</w:t>
      </w:r>
    </w:p>
    <w:p w14:paraId="2313A5F1" w14:textId="77777777" w:rsidR="00060378" w:rsidRPr="00951E13" w:rsidRDefault="00060378" w:rsidP="00060378">
      <w:r w:rsidRPr="00951E13">
        <w:t>Physikunterricht: Ein Stromkreis ohne Orientierung ist chaotisch. Erst ein Bezugspunkt bringt Ordnung. Dieses „Aha-Erlebnis“ zeigt Schüler:innen, dass Strukturen nicht vorgegeben sind, sondern entstehen.</w:t>
      </w:r>
    </w:p>
    <w:p w14:paraId="43D1D4E9" w14:textId="77777777" w:rsidR="00060378" w:rsidRPr="00951E13" w:rsidRDefault="00060378" w:rsidP="00060378">
      <w:r w:rsidRPr="00951E13">
        <w:t>Reflexion: Ich sage meinen Schüler:innen oft: „Die erste Skizze begrenzt dein Denken. Mach erst Zuweisungen, dann Relationen. Der Raum ergibt sich von selbst.“ Diese Erfahrung prägt meinen Unterricht – und zugleich das Verständnis des FRZK.</w:t>
      </w:r>
    </w:p>
    <w:p w14:paraId="63E1B79F" w14:textId="77777777" w:rsidR="00060378" w:rsidRPr="00951E13" w:rsidRDefault="00060378" w:rsidP="00060378">
      <w:r w:rsidRPr="00951E13">
        <w:t xml:space="preserve">Die Didaktikforschung stützt diese Beobachtungen. Prediger hat gezeigt, dass mathematisches Verstehen erst durch Kohärenz von Relationen entsteht (Prediger, </w:t>
      </w:r>
      <w:r w:rsidRPr="00951E13">
        <w:rPr>
          <w:i/>
          <w:iCs/>
        </w:rPr>
        <w:t>Mathematiklernen im Kontext</w:t>
      </w:r>
      <w:r w:rsidRPr="00951E13">
        <w:t xml:space="preserve">, 2013, Kap. 2). Auch Sfard betont, dass Denken kommunikativ und relational konstruiert wird (Sfard, </w:t>
      </w:r>
      <w:r w:rsidRPr="00951E13">
        <w:rPr>
          <w:i/>
          <w:iCs/>
        </w:rPr>
        <w:t>Thinking as Communication</w:t>
      </w:r>
      <w:r w:rsidRPr="00951E13">
        <w:t>, 2008, S. 33–55).</w:t>
      </w:r>
    </w:p>
    <w:p w14:paraId="654E4BD1" w14:textId="77777777" w:rsidR="00060378" w:rsidRPr="00951E13" w:rsidRDefault="00060378" w:rsidP="00060378">
      <w:r>
        <w:pict w14:anchorId="681EED1C">
          <v:rect id="_x0000_i1031" style="width:0;height:1.5pt" o:hralign="center" o:hrstd="t" o:hr="t" fillcolor="#a0a0a0" stroked="f"/>
        </w:pict>
      </w:r>
    </w:p>
    <w:p w14:paraId="07BF70D6" w14:textId="77777777" w:rsidR="00060378" w:rsidRPr="00951E13" w:rsidRDefault="00060378" w:rsidP="00060378">
      <w:pPr>
        <w:pStyle w:val="berschrift3"/>
      </w:pPr>
      <w:r w:rsidRPr="00951E13">
        <w:t>3.</w:t>
      </w:r>
      <w:r>
        <w:t>4</w:t>
      </w:r>
      <w:r w:rsidRPr="00951E13">
        <w:t>.</w:t>
      </w:r>
      <w:r>
        <w:t>9</w:t>
      </w:r>
      <w:r w:rsidRPr="00951E13">
        <w:t xml:space="preserve"> Übergänge zu den </w:t>
      </w:r>
      <w:r>
        <w:t>nächsten Abschnitten und</w:t>
      </w:r>
      <w:r w:rsidRPr="00951E13">
        <w:t xml:space="preserve"> Kapiteln</w:t>
      </w:r>
    </w:p>
    <w:p w14:paraId="56588866" w14:textId="77777777" w:rsidR="00060378" w:rsidRPr="00576E2D" w:rsidRDefault="00060378" w:rsidP="00060378">
      <w:r w:rsidRPr="00576E2D">
        <w:t xml:space="preserve">Mit der Analyse von Zuweisung, Relation und funktionaler Emergenz habe ich gezeigt, wie aus dem bloßen Akt der Operation ein relationales Gefüge hervorgeht. Bis hierhin blieb der Fokus jedoch auf der Entstehung der Relation selbst. Die Frage, </w:t>
      </w:r>
      <w:r w:rsidRPr="00576E2D">
        <w:rPr>
          <w:i/>
          <w:iCs/>
        </w:rPr>
        <w:t>wo</w:t>
      </w:r>
      <w:r w:rsidRPr="00576E2D">
        <w:t xml:space="preserve"> diese Relationen verortet werden können, ist noch offen.</w:t>
      </w:r>
    </w:p>
    <w:p w14:paraId="1D7595E9" w14:textId="77777777" w:rsidR="00060378" w:rsidRPr="00576E2D" w:rsidRDefault="00060378" w:rsidP="00060378">
      <w:r w:rsidRPr="00576E2D">
        <w:t>Genau hier setzt Abschnitt 3.4 an: Mit den Raumfunktionen x(U),y(U),z(U) wird untersucht, wie aus Relationen die Vorstellung eines Ortes emergiert. Während 3.3 gezeigt hat, dass aus der Verkettung von Zuweisungen stabile Muster entstehen, geht es in 3.4 darum, wie diese Muster in einem funktionalen Raum systematisch verortet werden können. Ort ist nicht vorgegeben, sondern Resultat der Relationalität: Er „entsteht“ erst durch die Funktionen, die Relationen in Koordinaten überführen.</w:t>
      </w:r>
    </w:p>
    <w:p w14:paraId="4304D1DA" w14:textId="77777777" w:rsidR="00060378" w:rsidRPr="00576E2D" w:rsidRDefault="00060378" w:rsidP="00060378">
      <w:r w:rsidRPr="00576E2D">
        <w:t>Darauf baut Abschnitt 3.5 auf. Wenn die Raumfunktionen den Ort als emergentes Resultat sichtbar machen, dann wird mit der Brane-Funktion h(x,y,z) ein Schritt weiter gegangen: Sie beschreibt, wie sich aus den drei Dimensionen des Ortes eine kohärente Struktur des funktionalen Raums ergibt. Was in 3.3 als qualitative Emergenz von Relationen begonnen hat, kulminiert hier in der Strukturierung des gesamten Raumes.</w:t>
      </w:r>
    </w:p>
    <w:p w14:paraId="2AF3799B" w14:textId="77777777" w:rsidR="00060378" w:rsidRPr="00576E2D" w:rsidRDefault="00060378" w:rsidP="00060378">
      <w:r w:rsidRPr="00576E2D">
        <w:t>Damit spannt Abschnitt 3.3 den notwendigen Bogen: Von der Zuweisung über die Relation bis hin zur Emergenz von Ort (3.4) und schließlich zur konsistenten Strukturierung des funktionalen Raumes (3.5).</w:t>
      </w:r>
    </w:p>
    <w:p w14:paraId="598CE7E1" w14:textId="77777777" w:rsidR="00060378" w:rsidRPr="00951E13" w:rsidRDefault="00060378" w:rsidP="00060378">
      <w:r w:rsidRPr="00951E13">
        <w:t>Abschnitt 3.3 bildet eine Brücke.</w:t>
      </w:r>
    </w:p>
    <w:p w14:paraId="0DA881E7" w14:textId="77777777" w:rsidR="00060378" w:rsidRPr="00951E13" w:rsidRDefault="00060378" w:rsidP="00060378">
      <w:r w:rsidRPr="00951E13">
        <w:t xml:space="preserve">Zu Kapitel 4: Dort werden Operatorenkaskaden als Vorhersagestrukturen eingeführt (Carrier, </w:t>
      </w:r>
      <w:r w:rsidRPr="00951E13">
        <w:rPr>
          <w:i/>
          <w:iCs/>
        </w:rPr>
        <w:t>Vorhersage und Erklärung</w:t>
      </w:r>
      <w:r w:rsidRPr="00951E13">
        <w:t>, 2004, S. 95). Ohne die hier beschriebene Emergenz relationaler Strukturen wären solche Kaskaden nicht denkbar.</w:t>
      </w:r>
    </w:p>
    <w:p w14:paraId="148C2242" w14:textId="77777777" w:rsidR="00060378" w:rsidRPr="00951E13" w:rsidRDefault="00060378" w:rsidP="00060378">
      <w:r w:rsidRPr="00951E13">
        <w:t xml:space="preserve">Zu Kapitel 5: Die Frage der Stabilität und Kohärenz relationaler Strukturen wird dort als Axiomensystem behandelt (Troelstra &amp; van Dalen, </w:t>
      </w:r>
      <w:r w:rsidRPr="00951E13">
        <w:rPr>
          <w:i/>
          <w:iCs/>
        </w:rPr>
        <w:t>Constructivism in Mathematics</w:t>
      </w:r>
      <w:r w:rsidRPr="00951E13">
        <w:t>, 1988, S. 10–50).</w:t>
      </w:r>
    </w:p>
    <w:p w14:paraId="5F0AFF50" w14:textId="77777777" w:rsidR="00060378" w:rsidRPr="00951E13" w:rsidRDefault="00060378" w:rsidP="00060378">
      <w:r w:rsidRPr="00951E13">
        <w:t>Zu Kapitel 6: Didaktische Anwendungen – etwa Hubs, semantische Dichte oder Nachhilfe-Szenarien – konkretisieren genau die Prozesse, die hier grundgelegt werden.</w:t>
      </w:r>
    </w:p>
    <w:p w14:paraId="43F188E3" w14:textId="77777777" w:rsidR="00060378" w:rsidRPr="00951E13" w:rsidRDefault="00060378" w:rsidP="00060378">
      <w:r>
        <w:pict w14:anchorId="057B3A25">
          <v:rect id="_x0000_i1032" style="width:0;height:1.5pt" o:hralign="center" o:hrstd="t" o:hr="t" fillcolor="#a0a0a0" stroked="f"/>
        </w:pict>
      </w:r>
    </w:p>
    <w:p w14:paraId="241D4ABA" w14:textId="77777777" w:rsidR="00060378" w:rsidRPr="00951E13" w:rsidRDefault="00060378" w:rsidP="00060378">
      <w:pPr>
        <w:pStyle w:val="berschrift3"/>
      </w:pPr>
      <w:r w:rsidRPr="00951E13">
        <w:t>3.</w:t>
      </w:r>
      <w:r>
        <w:t>4</w:t>
      </w:r>
      <w:r w:rsidRPr="00951E13">
        <w:t>.</w:t>
      </w:r>
      <w:r>
        <w:t>10</w:t>
      </w:r>
      <w:r w:rsidRPr="00951E13">
        <w:t xml:space="preserve"> Wissenschaftliche Funktion und Paradigma</w:t>
      </w:r>
    </w:p>
    <w:p w14:paraId="12C88861" w14:textId="77777777" w:rsidR="00060378" w:rsidRPr="00951E13" w:rsidRDefault="00060378" w:rsidP="00060378">
      <w:r w:rsidRPr="00951E13">
        <w:t>Abschnitt 3.3 legt den theoretischen Kern des FRZK fest. Er zeigt, dass Emergenz nicht behauptet, sondern formalisiert werden kann.</w:t>
      </w:r>
    </w:p>
    <w:p w14:paraId="3224BDAB" w14:textId="77777777" w:rsidR="00060378" w:rsidRPr="00951E13" w:rsidRDefault="00060378" w:rsidP="00060378">
      <w:r w:rsidRPr="00951E13">
        <w:t xml:space="preserve">Heinz von Foerster hat in der Kybernetik zweiter Ordnung betont, dass Systeme ihre eigenen Beobachtungsbedingungen erzeugen (von Foerster, </w:t>
      </w:r>
      <w:r w:rsidRPr="00951E13">
        <w:rPr>
          <w:i/>
          <w:iCs/>
        </w:rPr>
        <w:t>Cybernetics of Cybernetics</w:t>
      </w:r>
      <w:r w:rsidRPr="00951E13">
        <w:t>, 1979). Genau das passiert im FRZK: Zuweisungen schaffen Relationen, Relationen stabilisieren sich, und daraus emergiert Struktur.</w:t>
      </w:r>
    </w:p>
    <w:p w14:paraId="468D0716" w14:textId="77777777" w:rsidR="00060378" w:rsidRPr="00951E13" w:rsidRDefault="00060378" w:rsidP="00060378">
      <w:r w:rsidRPr="00951E13">
        <w:t xml:space="preserve">Philosophisch ist das ein radikaler Schritt. Ladyman und Ross argumentieren, dass moderne Wissenschaft nicht mehr mit Substanzen, sondern mit Relationen operieren sollte (Ladyman &amp; Ross, </w:t>
      </w:r>
      <w:r w:rsidRPr="00951E13">
        <w:rPr>
          <w:i/>
          <w:iCs/>
        </w:rPr>
        <w:t>Every Thing Must Go</w:t>
      </w:r>
      <w:r w:rsidRPr="00951E13">
        <w:t xml:space="preserve">, 2007, Kap. 5). George Spencer-Brown hat mit seiner „Markierung“ gezeigt, dass jede Form in einer Unterscheidung gründet (Spencer-Brown, </w:t>
      </w:r>
      <w:r w:rsidRPr="00951E13">
        <w:rPr>
          <w:i/>
          <w:iCs/>
        </w:rPr>
        <w:t>Laws of Form</w:t>
      </w:r>
      <w:r w:rsidRPr="00951E13">
        <w:t>, 1969, Kap. 1).</w:t>
      </w:r>
    </w:p>
    <w:p w14:paraId="2B55B926" w14:textId="77777777" w:rsidR="00060378" w:rsidRPr="00951E13" w:rsidRDefault="00060378" w:rsidP="00060378">
      <w:r w:rsidRPr="00951E13">
        <w:t>Damit markiert Abschnitt 3.3 den Paradigmenwechsel: Raum und Zeit sind nicht Gegebenheiten, sondern emergente Resultate von Zuweisung und Relation.</w:t>
      </w:r>
    </w:p>
    <w:p w14:paraId="12ACBEB3" w14:textId="77777777" w:rsidR="00060378" w:rsidRPr="00951E13" w:rsidRDefault="00060378" w:rsidP="00060378">
      <w:pPr>
        <w:pStyle w:val="berschrift3"/>
      </w:pPr>
      <w:r w:rsidRPr="00951E13">
        <w:t>3.</w:t>
      </w:r>
      <w:r>
        <w:t>4</w:t>
      </w:r>
      <w:r w:rsidRPr="00951E13">
        <w:t>.</w:t>
      </w:r>
      <w:r>
        <w:t>11</w:t>
      </w:r>
      <w:r w:rsidRPr="00951E13">
        <w:t xml:space="preserve"> Zusammenfassung</w:t>
      </w:r>
    </w:p>
    <w:p w14:paraId="081C8EFB" w14:textId="77777777" w:rsidR="00060378" w:rsidRPr="00951E13" w:rsidRDefault="00060378" w:rsidP="00060378">
      <w:r w:rsidRPr="00951E13">
        <w:t>Zuweisung ist die erste Handlung, die Differenz ins Nichts bringt. Relationen entstehen durch Verkettung, stabilisieren sich durch Wiederholung und Kohärenz, und emergieren schließlich als neue Qualität: als Struktur, Raum, Zeit.</w:t>
      </w:r>
    </w:p>
    <w:p w14:paraId="4AA5DE44" w14:textId="77777777" w:rsidR="00060378" w:rsidRDefault="00060378" w:rsidP="00060378">
      <w:r w:rsidRPr="00951E13">
        <w:t>Didaktisch wie wissenschaftlich ist dieser Schritt entscheidend. Er zeigt: Emergenz ist kein Bild, sondern ein formalisierbares Prinzip. Damit legt Abschnitt 3.3 das Fundament, auf dem die weiteren Kapitel aufbauen – als Anwendungen, Vertiefungen und Prüfungen des hier entworfenen Paradigmas.</w:t>
      </w:r>
    </w:p>
    <w:p w14:paraId="584CC18D" w14:textId="77777777" w:rsidR="00060378" w:rsidRPr="00951E13" w:rsidRDefault="00060378" w:rsidP="00060378"/>
    <w:p w14:paraId="13AA18D0" w14:textId="77777777" w:rsidR="00060378" w:rsidRPr="00951E13" w:rsidRDefault="00060378" w:rsidP="00060378">
      <w:pPr>
        <w:pStyle w:val="berschrift3"/>
      </w:pPr>
      <w:r w:rsidRPr="00951E13">
        <w:t>Verwendete Quellen (neu und bereits integriert)</w:t>
      </w:r>
    </w:p>
    <w:p w14:paraId="7F86AE30" w14:textId="77777777" w:rsidR="00060378" w:rsidRPr="00951E13" w:rsidRDefault="00060378" w:rsidP="00060378">
      <w:pPr>
        <w:numPr>
          <w:ilvl w:val="0"/>
          <w:numId w:val="4"/>
        </w:numPr>
        <w:spacing w:before="100" w:beforeAutospacing="1" w:after="100" w:afterAutospacing="1"/>
        <w:rPr>
          <w:rFonts w:ascii="Times New Roman" w:hAnsi="Times New Roman"/>
        </w:rPr>
      </w:pPr>
      <w:r w:rsidRPr="00951E13">
        <w:rPr>
          <w:rFonts w:ascii="Times New Roman" w:hAnsi="Times New Roman"/>
        </w:rPr>
        <w:t xml:space="preserve">Mac Lane, Saunders, </w:t>
      </w:r>
      <w:r w:rsidRPr="00951E13">
        <w:rPr>
          <w:rFonts w:ascii="Times New Roman" w:hAnsi="Times New Roman"/>
          <w:i/>
          <w:iCs/>
        </w:rPr>
        <w:t>Categories for the Working Mathematician</w:t>
      </w:r>
      <w:r w:rsidRPr="00951E13">
        <w:rPr>
          <w:rFonts w:ascii="Times New Roman" w:hAnsi="Times New Roman"/>
        </w:rPr>
        <w:t>, New York: Springer, 1971, Kap. I.</w:t>
      </w:r>
    </w:p>
    <w:p w14:paraId="6CD56457" w14:textId="77777777" w:rsidR="00060378" w:rsidRPr="00951E13" w:rsidRDefault="00060378" w:rsidP="00060378">
      <w:pPr>
        <w:numPr>
          <w:ilvl w:val="0"/>
          <w:numId w:val="4"/>
        </w:numPr>
        <w:spacing w:before="100" w:beforeAutospacing="1" w:after="100" w:afterAutospacing="1"/>
        <w:rPr>
          <w:rFonts w:ascii="Times New Roman" w:hAnsi="Times New Roman"/>
        </w:rPr>
      </w:pPr>
      <w:r w:rsidRPr="00951E13">
        <w:rPr>
          <w:rFonts w:ascii="Times New Roman" w:hAnsi="Times New Roman"/>
        </w:rPr>
        <w:t xml:space="preserve">Krantz, David H., </w:t>
      </w:r>
      <w:r w:rsidRPr="00951E13">
        <w:rPr>
          <w:rFonts w:ascii="Times New Roman" w:hAnsi="Times New Roman"/>
          <w:i/>
          <w:iCs/>
        </w:rPr>
        <w:t>Mathematical Thought from Ancient to Modern Times</w:t>
      </w:r>
      <w:r w:rsidRPr="00951E13">
        <w:rPr>
          <w:rFonts w:ascii="Times New Roman" w:hAnsi="Times New Roman"/>
        </w:rPr>
        <w:t>, Princeton: Princeton University Press, 1971, S. 45–60.</w:t>
      </w:r>
    </w:p>
    <w:p w14:paraId="51775604" w14:textId="77777777" w:rsidR="00060378" w:rsidRPr="00951E13" w:rsidRDefault="00060378" w:rsidP="00060378">
      <w:pPr>
        <w:numPr>
          <w:ilvl w:val="0"/>
          <w:numId w:val="4"/>
        </w:numPr>
        <w:spacing w:before="100" w:beforeAutospacing="1" w:after="100" w:afterAutospacing="1"/>
        <w:rPr>
          <w:rFonts w:ascii="Times New Roman" w:hAnsi="Times New Roman"/>
        </w:rPr>
      </w:pPr>
      <w:r w:rsidRPr="00951E13">
        <w:rPr>
          <w:rFonts w:ascii="Times New Roman" w:hAnsi="Times New Roman"/>
        </w:rPr>
        <w:t xml:space="preserve">Varela, Francisco, </w:t>
      </w:r>
      <w:r w:rsidRPr="00951E13">
        <w:rPr>
          <w:rFonts w:ascii="Times New Roman" w:hAnsi="Times New Roman"/>
          <w:i/>
          <w:iCs/>
        </w:rPr>
        <w:t>Principles of Biological Autonomy</w:t>
      </w:r>
      <w:r w:rsidRPr="00951E13">
        <w:rPr>
          <w:rFonts w:ascii="Times New Roman" w:hAnsi="Times New Roman"/>
        </w:rPr>
        <w:t>, Amsterdam: North Holland, 1979, S. 55.</w:t>
      </w:r>
    </w:p>
    <w:p w14:paraId="6A2BAD65" w14:textId="77777777" w:rsidR="00060378" w:rsidRPr="00951E13" w:rsidRDefault="00060378" w:rsidP="00060378">
      <w:pPr>
        <w:numPr>
          <w:ilvl w:val="0"/>
          <w:numId w:val="4"/>
        </w:numPr>
        <w:spacing w:before="100" w:beforeAutospacing="1" w:after="100" w:afterAutospacing="1"/>
        <w:rPr>
          <w:rFonts w:ascii="Times New Roman" w:hAnsi="Times New Roman"/>
        </w:rPr>
      </w:pPr>
      <w:r w:rsidRPr="00951E13">
        <w:rPr>
          <w:rFonts w:ascii="Times New Roman" w:hAnsi="Times New Roman"/>
        </w:rPr>
        <w:t xml:space="preserve">Maturana, Humberto R. &amp; Varela, Francisco J., </w:t>
      </w:r>
      <w:r w:rsidRPr="00951E13">
        <w:rPr>
          <w:rFonts w:ascii="Times New Roman" w:hAnsi="Times New Roman"/>
          <w:i/>
          <w:iCs/>
        </w:rPr>
        <w:t>Autopoiesis and Cognition</w:t>
      </w:r>
      <w:r w:rsidRPr="00951E13">
        <w:rPr>
          <w:rFonts w:ascii="Times New Roman" w:hAnsi="Times New Roman"/>
        </w:rPr>
        <w:t>, Dordrecht: Reidel, 1980, S. 13–22.</w:t>
      </w:r>
    </w:p>
    <w:p w14:paraId="28A7E2A5" w14:textId="77777777" w:rsidR="00060378" w:rsidRPr="00951E13" w:rsidRDefault="00060378" w:rsidP="00060378">
      <w:pPr>
        <w:numPr>
          <w:ilvl w:val="0"/>
          <w:numId w:val="4"/>
        </w:numPr>
        <w:spacing w:before="100" w:beforeAutospacing="1" w:after="100" w:afterAutospacing="1"/>
        <w:rPr>
          <w:rFonts w:ascii="Times New Roman" w:hAnsi="Times New Roman"/>
        </w:rPr>
      </w:pPr>
      <w:r w:rsidRPr="00951E13">
        <w:rPr>
          <w:rFonts w:ascii="Times New Roman" w:hAnsi="Times New Roman"/>
        </w:rPr>
        <w:t xml:space="preserve">Spivak, Michael, </w:t>
      </w:r>
      <w:r w:rsidRPr="00951E13">
        <w:rPr>
          <w:rFonts w:ascii="Times New Roman" w:hAnsi="Times New Roman"/>
          <w:i/>
          <w:iCs/>
        </w:rPr>
        <w:t>A Comprehensive Introduction to Differential Geometry</w:t>
      </w:r>
      <w:r w:rsidRPr="00951E13">
        <w:rPr>
          <w:rFonts w:ascii="Times New Roman" w:hAnsi="Times New Roman"/>
        </w:rPr>
        <w:t>, Vol. 1, Houston: Publish or Perish, 1999, Kap. 1.</w:t>
      </w:r>
    </w:p>
    <w:p w14:paraId="4BAE9D72" w14:textId="77777777" w:rsidR="00060378" w:rsidRPr="00951E13" w:rsidRDefault="00060378" w:rsidP="00060378">
      <w:pPr>
        <w:numPr>
          <w:ilvl w:val="0"/>
          <w:numId w:val="4"/>
        </w:numPr>
        <w:spacing w:before="100" w:beforeAutospacing="1" w:after="100" w:afterAutospacing="1"/>
        <w:rPr>
          <w:rFonts w:ascii="Times New Roman" w:hAnsi="Times New Roman"/>
        </w:rPr>
      </w:pPr>
      <w:r w:rsidRPr="00951E13">
        <w:rPr>
          <w:rFonts w:ascii="Times New Roman" w:hAnsi="Times New Roman"/>
        </w:rPr>
        <w:t xml:space="preserve">Rovelli, Carlo, </w:t>
      </w:r>
      <w:r w:rsidRPr="00951E13">
        <w:rPr>
          <w:rFonts w:ascii="Times New Roman" w:hAnsi="Times New Roman"/>
          <w:i/>
          <w:iCs/>
        </w:rPr>
        <w:t>Helgoland: Making Sense of the Quantum Revolution</w:t>
      </w:r>
      <w:r w:rsidRPr="00951E13">
        <w:rPr>
          <w:rFonts w:ascii="Times New Roman" w:hAnsi="Times New Roman"/>
        </w:rPr>
        <w:t>, London: Penguin Books, 2021, Kap. „Relations“.</w:t>
      </w:r>
    </w:p>
    <w:p w14:paraId="04DAFF86" w14:textId="77777777" w:rsidR="00060378" w:rsidRPr="00951E13" w:rsidRDefault="00060378" w:rsidP="00060378">
      <w:pPr>
        <w:numPr>
          <w:ilvl w:val="0"/>
          <w:numId w:val="4"/>
        </w:numPr>
        <w:spacing w:before="100" w:beforeAutospacing="1" w:after="100" w:afterAutospacing="1"/>
        <w:rPr>
          <w:rFonts w:ascii="Times New Roman" w:hAnsi="Times New Roman"/>
        </w:rPr>
      </w:pPr>
      <w:r w:rsidRPr="00951E13">
        <w:rPr>
          <w:rFonts w:ascii="Times New Roman" w:hAnsi="Times New Roman"/>
        </w:rPr>
        <w:t xml:space="preserve">Nicolis, Gregoire &amp; Prigogine, Ilya, </w:t>
      </w:r>
      <w:r w:rsidRPr="00951E13">
        <w:rPr>
          <w:rFonts w:ascii="Times New Roman" w:hAnsi="Times New Roman"/>
          <w:i/>
          <w:iCs/>
        </w:rPr>
        <w:t>Self-Organization in Nonequilibrium Systems</w:t>
      </w:r>
      <w:r w:rsidRPr="00951E13">
        <w:rPr>
          <w:rFonts w:ascii="Times New Roman" w:hAnsi="Times New Roman"/>
        </w:rPr>
        <w:t>, New York: Wiley, 1977, S. 26–49.</w:t>
      </w:r>
    </w:p>
    <w:p w14:paraId="60897ABD" w14:textId="77777777" w:rsidR="00060378" w:rsidRPr="00951E13" w:rsidRDefault="00060378" w:rsidP="00060378">
      <w:pPr>
        <w:numPr>
          <w:ilvl w:val="0"/>
          <w:numId w:val="4"/>
        </w:numPr>
        <w:spacing w:before="100" w:beforeAutospacing="1" w:after="100" w:afterAutospacing="1"/>
        <w:rPr>
          <w:rFonts w:ascii="Times New Roman" w:hAnsi="Times New Roman"/>
        </w:rPr>
      </w:pPr>
      <w:r w:rsidRPr="00951E13">
        <w:rPr>
          <w:rFonts w:ascii="Times New Roman" w:hAnsi="Times New Roman"/>
        </w:rPr>
        <w:t xml:space="preserve">Prediger, Susanne, </w:t>
      </w:r>
      <w:r w:rsidRPr="00951E13">
        <w:rPr>
          <w:rFonts w:ascii="Times New Roman" w:hAnsi="Times New Roman"/>
          <w:i/>
          <w:iCs/>
        </w:rPr>
        <w:t>Mathematiklernen im Kontext: Theoretische und empirische Untersuchungen</w:t>
      </w:r>
      <w:r w:rsidRPr="00951E13">
        <w:rPr>
          <w:rFonts w:ascii="Times New Roman" w:hAnsi="Times New Roman"/>
        </w:rPr>
        <w:t>, Wiesbaden: Springer VS, 2013, Kap. 2.</w:t>
      </w:r>
    </w:p>
    <w:p w14:paraId="1536944E" w14:textId="77777777" w:rsidR="00060378" w:rsidRPr="00951E13" w:rsidRDefault="00060378" w:rsidP="00060378">
      <w:pPr>
        <w:numPr>
          <w:ilvl w:val="0"/>
          <w:numId w:val="4"/>
        </w:numPr>
        <w:spacing w:before="100" w:beforeAutospacing="1" w:after="100" w:afterAutospacing="1"/>
        <w:rPr>
          <w:rFonts w:ascii="Times New Roman" w:hAnsi="Times New Roman"/>
        </w:rPr>
      </w:pPr>
      <w:r w:rsidRPr="00951E13">
        <w:rPr>
          <w:rFonts w:ascii="Times New Roman" w:hAnsi="Times New Roman"/>
        </w:rPr>
        <w:t xml:space="preserve">Sfard, Anna, </w:t>
      </w:r>
      <w:r w:rsidRPr="00951E13">
        <w:rPr>
          <w:rFonts w:ascii="Times New Roman" w:hAnsi="Times New Roman"/>
          <w:i/>
          <w:iCs/>
        </w:rPr>
        <w:t>Thinking as Communication: Human Development, the Growth of Discourses, and Mathematizing</w:t>
      </w:r>
      <w:r w:rsidRPr="00951E13">
        <w:rPr>
          <w:rFonts w:ascii="Times New Roman" w:hAnsi="Times New Roman"/>
        </w:rPr>
        <w:t>, Cambridge: Cambridge University Press, 2008, S. 33–55.</w:t>
      </w:r>
    </w:p>
    <w:p w14:paraId="69E44089" w14:textId="77777777" w:rsidR="00060378" w:rsidRPr="00951E13" w:rsidRDefault="00060378" w:rsidP="00060378">
      <w:pPr>
        <w:numPr>
          <w:ilvl w:val="0"/>
          <w:numId w:val="4"/>
        </w:numPr>
        <w:spacing w:before="100" w:beforeAutospacing="1" w:after="100" w:afterAutospacing="1"/>
        <w:rPr>
          <w:rFonts w:ascii="Times New Roman" w:hAnsi="Times New Roman"/>
        </w:rPr>
      </w:pPr>
      <w:r w:rsidRPr="00951E13">
        <w:rPr>
          <w:rFonts w:ascii="Times New Roman" w:hAnsi="Times New Roman"/>
        </w:rPr>
        <w:t xml:space="preserve">Carrier, Martin, </w:t>
      </w:r>
      <w:r w:rsidRPr="00951E13">
        <w:rPr>
          <w:rFonts w:ascii="Times New Roman" w:hAnsi="Times New Roman"/>
          <w:i/>
          <w:iCs/>
        </w:rPr>
        <w:t>Vorhersage und Erklärung</w:t>
      </w:r>
      <w:r w:rsidRPr="00951E13">
        <w:rPr>
          <w:rFonts w:ascii="Times New Roman" w:hAnsi="Times New Roman"/>
        </w:rPr>
        <w:t xml:space="preserve">, in: Hübner, Carrier &amp; Reutlinger (Hg.), </w:t>
      </w:r>
      <w:r w:rsidRPr="00951E13">
        <w:rPr>
          <w:rFonts w:ascii="Times New Roman" w:hAnsi="Times New Roman"/>
          <w:i/>
          <w:iCs/>
        </w:rPr>
        <w:t>Philosophie der Physik</w:t>
      </w:r>
      <w:r w:rsidRPr="00951E13">
        <w:rPr>
          <w:rFonts w:ascii="Times New Roman" w:hAnsi="Times New Roman"/>
        </w:rPr>
        <w:t>, Frankfurt a. M.: Suhrkamp, 2004, S. 95.</w:t>
      </w:r>
    </w:p>
    <w:p w14:paraId="748CBD8E" w14:textId="77777777" w:rsidR="00060378" w:rsidRPr="00951E13" w:rsidRDefault="00060378" w:rsidP="00060378">
      <w:pPr>
        <w:numPr>
          <w:ilvl w:val="0"/>
          <w:numId w:val="4"/>
        </w:numPr>
        <w:spacing w:before="100" w:beforeAutospacing="1" w:after="100" w:afterAutospacing="1"/>
        <w:rPr>
          <w:rFonts w:ascii="Times New Roman" w:hAnsi="Times New Roman"/>
        </w:rPr>
      </w:pPr>
      <w:r w:rsidRPr="00951E13">
        <w:rPr>
          <w:rFonts w:ascii="Times New Roman" w:hAnsi="Times New Roman"/>
        </w:rPr>
        <w:t xml:space="preserve">Troelstra, A. S. &amp; van Dalen, Dirk, </w:t>
      </w:r>
      <w:r w:rsidRPr="00951E13">
        <w:rPr>
          <w:rFonts w:ascii="Times New Roman" w:hAnsi="Times New Roman"/>
          <w:i/>
          <w:iCs/>
        </w:rPr>
        <w:t>Constructivism in Mathematics: An Introduction</w:t>
      </w:r>
      <w:r w:rsidRPr="00951E13">
        <w:rPr>
          <w:rFonts w:ascii="Times New Roman" w:hAnsi="Times New Roman"/>
        </w:rPr>
        <w:t>, Amsterdam: North-Holland, 1988, S. 10–50.</w:t>
      </w:r>
    </w:p>
    <w:p w14:paraId="5650DF1B" w14:textId="77777777" w:rsidR="00060378" w:rsidRPr="00951E13" w:rsidRDefault="00060378" w:rsidP="00060378">
      <w:pPr>
        <w:numPr>
          <w:ilvl w:val="0"/>
          <w:numId w:val="4"/>
        </w:numPr>
        <w:spacing w:before="100" w:beforeAutospacing="1" w:after="100" w:afterAutospacing="1"/>
        <w:rPr>
          <w:rFonts w:ascii="Times New Roman" w:hAnsi="Times New Roman"/>
        </w:rPr>
      </w:pPr>
      <w:r w:rsidRPr="00951E13">
        <w:rPr>
          <w:rFonts w:ascii="Times New Roman" w:hAnsi="Times New Roman"/>
        </w:rPr>
        <w:t xml:space="preserve">von Foerster, Heinz, </w:t>
      </w:r>
      <w:r w:rsidRPr="00951E13">
        <w:rPr>
          <w:rFonts w:ascii="Times New Roman" w:hAnsi="Times New Roman"/>
          <w:i/>
          <w:iCs/>
        </w:rPr>
        <w:t>Cybernetics of Cybernetics</w:t>
      </w:r>
      <w:r w:rsidRPr="00951E13">
        <w:rPr>
          <w:rFonts w:ascii="Times New Roman" w:hAnsi="Times New Roman"/>
        </w:rPr>
        <w:t>, BCL Report, 1979.</w:t>
      </w:r>
    </w:p>
    <w:p w14:paraId="778BE5A6" w14:textId="77777777" w:rsidR="00060378" w:rsidRPr="00951E13" w:rsidRDefault="00060378" w:rsidP="00060378">
      <w:pPr>
        <w:numPr>
          <w:ilvl w:val="0"/>
          <w:numId w:val="4"/>
        </w:numPr>
        <w:spacing w:before="100" w:beforeAutospacing="1" w:after="100" w:afterAutospacing="1"/>
        <w:rPr>
          <w:rFonts w:ascii="Times New Roman" w:hAnsi="Times New Roman"/>
        </w:rPr>
      </w:pPr>
      <w:r w:rsidRPr="00951E13">
        <w:rPr>
          <w:rFonts w:ascii="Times New Roman" w:hAnsi="Times New Roman"/>
        </w:rPr>
        <w:t xml:space="preserve">Ladyman, James &amp; Ross, Don, </w:t>
      </w:r>
      <w:r w:rsidRPr="00951E13">
        <w:rPr>
          <w:rFonts w:ascii="Times New Roman" w:hAnsi="Times New Roman"/>
          <w:i/>
          <w:iCs/>
        </w:rPr>
        <w:t>Every Thing Must Go: Metaphysics Naturalized</w:t>
      </w:r>
      <w:r w:rsidRPr="00951E13">
        <w:rPr>
          <w:rFonts w:ascii="Times New Roman" w:hAnsi="Times New Roman"/>
        </w:rPr>
        <w:t>, Oxford: Oxford University Press, 2007, Kap. 5.</w:t>
      </w:r>
    </w:p>
    <w:p w14:paraId="4CF5FF26" w14:textId="77777777" w:rsidR="00060378" w:rsidRPr="00951E13" w:rsidRDefault="00060378" w:rsidP="00060378">
      <w:pPr>
        <w:numPr>
          <w:ilvl w:val="0"/>
          <w:numId w:val="4"/>
        </w:numPr>
        <w:spacing w:before="100" w:beforeAutospacing="1" w:after="100" w:afterAutospacing="1"/>
        <w:rPr>
          <w:rFonts w:ascii="Times New Roman" w:hAnsi="Times New Roman"/>
        </w:rPr>
      </w:pPr>
      <w:r w:rsidRPr="00951E13">
        <w:rPr>
          <w:rFonts w:ascii="Times New Roman" w:hAnsi="Times New Roman"/>
        </w:rPr>
        <w:t xml:space="preserve">Spencer-Brown, George, </w:t>
      </w:r>
      <w:r w:rsidRPr="00951E13">
        <w:rPr>
          <w:rFonts w:ascii="Times New Roman" w:hAnsi="Times New Roman"/>
          <w:i/>
          <w:iCs/>
        </w:rPr>
        <w:t>Laws of Form</w:t>
      </w:r>
      <w:r w:rsidRPr="00951E13">
        <w:rPr>
          <w:rFonts w:ascii="Times New Roman" w:hAnsi="Times New Roman"/>
        </w:rPr>
        <w:t>, London: Allen &amp; Unwin, 1969 (2. Aufl. 1972), Kap. 1.</w:t>
      </w:r>
    </w:p>
    <w:p w14:paraId="0E7DCE79"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B677FF"/>
    <w:multiLevelType w:val="multilevel"/>
    <w:tmpl w:val="A33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410300">
    <w:abstractNumId w:val="0"/>
  </w:num>
  <w:num w:numId="2" w16cid:durableId="2079084508">
    <w:abstractNumId w:val="1"/>
  </w:num>
  <w:num w:numId="3" w16cid:durableId="1893616639">
    <w:abstractNumId w:val="2"/>
  </w:num>
  <w:num w:numId="4" w16cid:durableId="33234522">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378"/>
    <w:rsid w:val="000467F2"/>
    <w:rsid w:val="00060378"/>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65E0B"/>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DC5A"/>
  <w15:chartTrackingRefBased/>
  <w15:docId w15:val="{4A2363F2-A0D5-412F-8376-3CD0EF11C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60378"/>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6</Pages>
  <Words>2254</Words>
  <Characters>14203</Characters>
  <Application>Microsoft Office Word</Application>
  <DocSecurity>0</DocSecurity>
  <Lines>118</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2025-10-04T14:37:00Z</dcterms:created>
  <dcterms:modified xsi:type="dcterms:W3CDTF">2025-10-04T14:39:00Z</dcterms:modified>
</cp:coreProperties>
</file>