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079CD" w14:textId="77777777" w:rsidR="00B265BA" w:rsidRDefault="00B265BA" w:rsidP="00B265BA">
      <w:pPr>
        <w:pStyle w:val="berschrift1"/>
        <w:rPr>
          <w:sz w:val="48"/>
          <w:szCs w:val="48"/>
        </w:rPr>
      </w:pPr>
      <w:r>
        <w:rPr>
          <w:rStyle w:val="Fett"/>
          <w:b/>
          <w:bCs w:val="0"/>
        </w:rPr>
        <w:t xml:space="preserve">Anlage B: Systematik der </w:t>
      </w:r>
      <w:proofErr w:type="spellStart"/>
      <w:r>
        <w:rPr>
          <w:rStyle w:val="Fett"/>
          <w:b/>
          <w:bCs w:val="0"/>
        </w:rPr>
        <w:t>Operatorenstruktur</w:t>
      </w:r>
      <w:proofErr w:type="spellEnd"/>
      <w:r>
        <w:rPr>
          <w:rStyle w:val="Fett"/>
          <w:b/>
          <w:bCs w:val="0"/>
        </w:rPr>
        <w:t xml:space="preserve"> im FRZK</w:t>
      </w:r>
    </w:p>
    <w:p w14:paraId="32BD8750" w14:textId="77777777" w:rsidR="00B265BA" w:rsidRDefault="00B265BA" w:rsidP="00B265BA">
      <w:pPr>
        <w:pStyle w:val="StandardWeb"/>
      </w:pPr>
      <w:r>
        <w:t>Die in Kapitel 3 eingeführten Axiome (</w:t>
      </w:r>
      <w:r>
        <w:rPr>
          <w:rFonts w:ascii="Cambria Math" w:hAnsi="Cambria Math" w:cs="Cambria Math"/>
        </w:rPr>
        <w:t>∅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 xml:space="preserve">I, </w:t>
      </w:r>
      <w:r>
        <w:rPr>
          <w:rFonts w:ascii="Cambria Math" w:hAnsi="Cambria Math" w:cs="Cambria Math"/>
        </w:rPr>
        <w:t>∃</w:t>
      </w:r>
      <w:r>
        <w:t>R(</w:t>
      </w:r>
      <w:proofErr w:type="gramStart"/>
      <w:r>
        <w:t>I,</w:t>
      </w:r>
      <w:r>
        <w:rPr>
          <w:rFonts w:ascii="Cambria Math" w:hAnsi="Cambria Math" w:cs="Cambria Math"/>
        </w:rPr>
        <w:t>∅</w:t>
      </w:r>
      <w:proofErr w:type="gramEnd"/>
      <w:r>
        <w:t xml:space="preserve">)) bilden die Basis für die weitere Entwicklung des FRZK. Ausgehend von diesen Setzungen wird in Anlage B eine </w:t>
      </w:r>
      <w:r>
        <w:rPr>
          <w:rStyle w:val="Fett"/>
        </w:rPr>
        <w:t xml:space="preserve">systematische Übersicht der </w:t>
      </w:r>
      <w:proofErr w:type="spellStart"/>
      <w:r>
        <w:rPr>
          <w:rStyle w:val="Fett"/>
        </w:rPr>
        <w:t>Operatorenstruktur</w:t>
      </w:r>
      <w:proofErr w:type="spellEnd"/>
      <w:r>
        <w:t xml:space="preserve"> gegeben, die in Kapitel 4 als Grundlage für die modelllogischen Vorhersagen dient.</w:t>
      </w:r>
    </w:p>
    <w:p w14:paraId="2BFCD9BC" w14:textId="77777777" w:rsidR="00B265BA" w:rsidRDefault="00B265BA" w:rsidP="00B265BA">
      <w:r>
        <w:pict w14:anchorId="2803492E">
          <v:rect id="_x0000_i1025" style="width:0;height:1.5pt" o:hralign="center" o:hrstd="t" o:hr="t" fillcolor="#a0a0a0" stroked="f"/>
        </w:pict>
      </w:r>
    </w:p>
    <w:p w14:paraId="1E39DAB0" w14:textId="77777777" w:rsidR="00B265BA" w:rsidRDefault="00B265BA" w:rsidP="00B265BA">
      <w:pPr>
        <w:pStyle w:val="berschrift3"/>
      </w:pPr>
      <w:r>
        <w:t>B.1 Axiomatische Basis</w:t>
      </w:r>
    </w:p>
    <w:p w14:paraId="2C87602A" w14:textId="77777777" w:rsidR="00B265BA" w:rsidRDefault="00B265BA" w:rsidP="00B265BA">
      <w:pPr>
        <w:pStyle w:val="StandardWeb"/>
        <w:numPr>
          <w:ilvl w:val="0"/>
          <w:numId w:val="4"/>
        </w:numPr>
      </w:pPr>
      <w:r>
        <w:rPr>
          <w:rStyle w:val="Fett"/>
          <w:rFonts w:ascii="Cambria Math" w:hAnsi="Cambria Math" w:cs="Cambria Math"/>
        </w:rPr>
        <w:t>∅</w:t>
      </w:r>
      <w:r>
        <w:rPr>
          <w:rStyle w:val="Fett"/>
        </w:rPr>
        <w:t xml:space="preserve"> (Leere Menge):</w:t>
      </w:r>
      <w:r>
        <w:t xml:space="preserve"> strukturloser Anfangszustand</w:t>
      </w:r>
    </w:p>
    <w:p w14:paraId="6080F702" w14:textId="77777777" w:rsidR="00B265BA" w:rsidRDefault="00B265BA" w:rsidP="00B265BA">
      <w:pPr>
        <w:pStyle w:val="StandardWeb"/>
        <w:numPr>
          <w:ilvl w:val="0"/>
          <w:numId w:val="4"/>
        </w:numPr>
      </w:pPr>
      <w:r>
        <w:rPr>
          <w:rStyle w:val="Fett"/>
          <w:rFonts w:ascii="Cambria Math" w:hAnsi="Cambria Math" w:cs="Cambria Math"/>
        </w:rPr>
        <w:t>∃</w:t>
      </w:r>
      <w:r>
        <w:rPr>
          <w:rStyle w:val="Fett"/>
        </w:rPr>
        <w:t>I (Initialpunkt):</w:t>
      </w:r>
      <w:r>
        <w:t xml:space="preserve"> erste Differenz gegenüber der Leere</w:t>
      </w:r>
    </w:p>
    <w:p w14:paraId="4E90FA11" w14:textId="77777777" w:rsidR="00B265BA" w:rsidRDefault="00B265BA" w:rsidP="00B265BA">
      <w:pPr>
        <w:pStyle w:val="StandardWeb"/>
        <w:numPr>
          <w:ilvl w:val="0"/>
          <w:numId w:val="4"/>
        </w:numPr>
      </w:pPr>
      <w:r>
        <w:rPr>
          <w:rStyle w:val="Fett"/>
          <w:rFonts w:ascii="Cambria Math" w:hAnsi="Cambria Math" w:cs="Cambria Math"/>
        </w:rPr>
        <w:t>∃</w:t>
      </w:r>
      <w:r>
        <w:rPr>
          <w:rStyle w:val="Fett"/>
        </w:rPr>
        <w:t>R(</w:t>
      </w:r>
      <w:proofErr w:type="gramStart"/>
      <w:r>
        <w:rPr>
          <w:rStyle w:val="Fett"/>
        </w:rPr>
        <w:t>I,</w:t>
      </w:r>
      <w:r>
        <w:rPr>
          <w:rStyle w:val="Fett"/>
          <w:rFonts w:ascii="Cambria Math" w:hAnsi="Cambria Math" w:cs="Cambria Math"/>
        </w:rPr>
        <w:t>∅</w:t>
      </w:r>
      <w:proofErr w:type="gramEnd"/>
      <w:r>
        <w:rPr>
          <w:rStyle w:val="Fett"/>
        </w:rPr>
        <w:t>):</w:t>
      </w:r>
      <w:r>
        <w:t xml:space="preserve"> minimale Relation zwischen Initialpunkt und Leere</w:t>
      </w:r>
    </w:p>
    <w:p w14:paraId="2AD63F0F" w14:textId="77777777" w:rsidR="00B265BA" w:rsidRDefault="00B265BA" w:rsidP="00B265BA">
      <w:pPr>
        <w:pStyle w:val="StandardWeb"/>
      </w:pPr>
      <w:r>
        <w:t>Diese drei Axiome bilden die notwendige Voraussetzung, um funktionale Operatoren einzuführen.</w:t>
      </w:r>
    </w:p>
    <w:p w14:paraId="783DF6F7" w14:textId="77777777" w:rsidR="00B265BA" w:rsidRDefault="00B265BA" w:rsidP="00B265BA">
      <w:r>
        <w:pict w14:anchorId="211B2F52">
          <v:rect id="_x0000_i1026" style="width:0;height:1.5pt" o:hralign="center" o:hrstd="t" o:hr="t" fillcolor="#a0a0a0" stroked="f"/>
        </w:pict>
      </w:r>
    </w:p>
    <w:p w14:paraId="7C385DBC" w14:textId="77777777" w:rsidR="00B265BA" w:rsidRDefault="00B265BA" w:rsidP="00B265BA">
      <w:pPr>
        <w:pStyle w:val="berschrift3"/>
      </w:pPr>
      <w:r>
        <w:t>B.2 Erste funktionale Zuweisungen</w:t>
      </w:r>
    </w:p>
    <w:p w14:paraId="1970E6D1" w14:textId="77777777" w:rsidR="00B265BA" w:rsidRDefault="00B265BA" w:rsidP="00B265BA">
      <w:pPr>
        <w:pStyle w:val="StandardWeb"/>
        <w:numPr>
          <w:ilvl w:val="0"/>
          <w:numId w:val="5"/>
        </w:numPr>
      </w:pPr>
      <w:r>
        <w:rPr>
          <w:rStyle w:val="Fett"/>
        </w:rPr>
        <w:t>Raumfunktionen:</w:t>
      </w:r>
      <w:r>
        <w:t xml:space="preserve"> x(U), y(U), z(U)</w:t>
      </w:r>
    </w:p>
    <w:p w14:paraId="1B539A99" w14:textId="77777777" w:rsidR="00B265BA" w:rsidRDefault="00B265BA" w:rsidP="00B265BA">
      <w:pPr>
        <w:pStyle w:val="StandardWeb"/>
        <w:numPr>
          <w:ilvl w:val="0"/>
          <w:numId w:val="5"/>
        </w:numPr>
      </w:pPr>
      <w:r>
        <w:rPr>
          <w:rStyle w:val="Fett"/>
        </w:rPr>
        <w:t>Zeitfunktion:</w:t>
      </w:r>
      <w:r>
        <w:t xml:space="preserve"> t(U)</w:t>
      </w:r>
    </w:p>
    <w:p w14:paraId="715E9BAC" w14:textId="77777777" w:rsidR="00B265BA" w:rsidRDefault="00B265BA" w:rsidP="00B265BA">
      <w:pPr>
        <w:pStyle w:val="StandardWeb"/>
      </w:pPr>
      <w:r>
        <w:t xml:space="preserve">→ Diese Funktionen entstehen als erste emergente Effekte aus der Relation </w:t>
      </w:r>
      <w:r>
        <w:rPr>
          <w:rFonts w:ascii="Cambria Math" w:hAnsi="Cambria Math" w:cs="Cambria Math"/>
        </w:rPr>
        <w:t>∃</w:t>
      </w:r>
      <w:r>
        <w:t>R(</w:t>
      </w:r>
      <w:proofErr w:type="gramStart"/>
      <w:r>
        <w:t>I,</w:t>
      </w:r>
      <w:r>
        <w:rPr>
          <w:rFonts w:ascii="Cambria Math" w:hAnsi="Cambria Math" w:cs="Cambria Math"/>
        </w:rPr>
        <w:t>∅</w:t>
      </w:r>
      <w:proofErr w:type="gramEnd"/>
      <w:r>
        <w:t xml:space="preserve">). Sie sind nicht vorgegeben, sondern konstituieren sich aus der </w:t>
      </w:r>
      <w:proofErr w:type="spellStart"/>
      <w:r>
        <w:t>Operatorik</w:t>
      </w:r>
      <w:proofErr w:type="spellEnd"/>
      <w:r>
        <w:t xml:space="preserve"> des FRZK.</w:t>
      </w:r>
    </w:p>
    <w:p w14:paraId="5587093F" w14:textId="77777777" w:rsidR="00B265BA" w:rsidRDefault="00B265BA" w:rsidP="00B265BA">
      <w:r>
        <w:pict w14:anchorId="2AF32CD0">
          <v:rect id="_x0000_i1027" style="width:0;height:1.5pt" o:hralign="center" o:hrstd="t" o:hr="t" fillcolor="#a0a0a0" stroked="f"/>
        </w:pict>
      </w:r>
    </w:p>
    <w:p w14:paraId="387AA827" w14:textId="77777777" w:rsidR="00B265BA" w:rsidRDefault="00B265BA" w:rsidP="00B265BA">
      <w:pPr>
        <w:pStyle w:val="berschrift3"/>
      </w:pPr>
      <w:r>
        <w:t xml:space="preserve">B.3 </w:t>
      </w:r>
      <w:proofErr w:type="spellStart"/>
      <w:r>
        <w:t>Operatorenkaskade</w:t>
      </w:r>
      <w:proofErr w:type="spellEnd"/>
    </w:p>
    <w:p w14:paraId="5491BA15" w14:textId="77777777" w:rsidR="00B265BA" w:rsidRDefault="00B265BA" w:rsidP="00B265BA">
      <w:pPr>
        <w:pStyle w:val="StandardWeb"/>
      </w:pPr>
      <w:r>
        <w:t xml:space="preserve">Die Operatoren wirken nicht isoliert, sondern in </w:t>
      </w:r>
      <w:r>
        <w:rPr>
          <w:rStyle w:val="Fett"/>
        </w:rPr>
        <w:t>gestufter Abfolge</w:t>
      </w:r>
      <w:r>
        <w:t>. Die folgende Kaskade stellt die Entwicklung in aufsteigender Komplexität dar:</w:t>
      </w:r>
    </w:p>
    <w:p w14:paraId="759C9044" w14:textId="77777777" w:rsidR="00B265BA" w:rsidRDefault="00B265BA" w:rsidP="00B265BA">
      <w:pPr>
        <w:pStyle w:val="StandardWeb"/>
        <w:numPr>
          <w:ilvl w:val="0"/>
          <w:numId w:val="6"/>
        </w:numPr>
      </w:pPr>
      <w:r>
        <w:rPr>
          <w:rStyle w:val="Fett"/>
        </w:rPr>
        <w:t>Initialoperator:</w:t>
      </w:r>
      <w:r>
        <w:t xml:space="preserve"> Setzung des Anfangspunkts I</w:t>
      </w:r>
    </w:p>
    <w:p w14:paraId="12577C57" w14:textId="77777777" w:rsidR="00B265BA" w:rsidRDefault="00B265BA" w:rsidP="00B265BA">
      <w:pPr>
        <w:pStyle w:val="StandardWeb"/>
        <w:numPr>
          <w:ilvl w:val="0"/>
          <w:numId w:val="6"/>
        </w:numPr>
      </w:pPr>
      <w:r>
        <w:rPr>
          <w:rStyle w:val="Fett"/>
        </w:rPr>
        <w:t>Raumoperatoren:</w:t>
      </w:r>
      <w:r>
        <w:t xml:space="preserve"> Konstitution der Raumfunktionen 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</w:t>
      </w:r>
    </w:p>
    <w:p w14:paraId="4149BDFE" w14:textId="77777777" w:rsidR="00B265BA" w:rsidRDefault="00B265BA" w:rsidP="00B265BA">
      <w:pPr>
        <w:pStyle w:val="StandardWeb"/>
        <w:numPr>
          <w:ilvl w:val="0"/>
          <w:numId w:val="6"/>
        </w:numPr>
      </w:pPr>
      <w:r>
        <w:rPr>
          <w:rStyle w:val="Fett"/>
        </w:rPr>
        <w:t>Zeitoperator:</w:t>
      </w:r>
      <w:r>
        <w:t xml:space="preserve"> Einführung einer Funktionsvariable für Sequenz und Ordnung</w:t>
      </w:r>
    </w:p>
    <w:p w14:paraId="450A8F71" w14:textId="77777777" w:rsidR="00B265BA" w:rsidRDefault="00B265BA" w:rsidP="00B265BA">
      <w:pPr>
        <w:pStyle w:val="StandardWeb"/>
        <w:numPr>
          <w:ilvl w:val="0"/>
          <w:numId w:val="6"/>
        </w:numPr>
      </w:pPr>
      <w:proofErr w:type="spellStart"/>
      <w:r>
        <w:rPr>
          <w:rStyle w:val="Fett"/>
        </w:rPr>
        <w:t>Brane</w:t>
      </w:r>
      <w:proofErr w:type="spellEnd"/>
      <w:r>
        <w:rPr>
          <w:rStyle w:val="Fett"/>
        </w:rPr>
        <w:t>-Operatoren:</w:t>
      </w:r>
      <w:r>
        <w:t xml:space="preserve"> Erweiterung der Raum-Zeit-Struktur zu kohärenten Flächen/Schichten</w:t>
      </w:r>
    </w:p>
    <w:p w14:paraId="412DB78B" w14:textId="77777777" w:rsidR="00B265BA" w:rsidRDefault="00B265BA" w:rsidP="00B265BA">
      <w:pPr>
        <w:pStyle w:val="StandardWeb"/>
        <w:numPr>
          <w:ilvl w:val="0"/>
          <w:numId w:val="6"/>
        </w:numPr>
      </w:pPr>
      <w:proofErr w:type="spellStart"/>
      <w:r>
        <w:rPr>
          <w:rStyle w:val="Fett"/>
        </w:rPr>
        <w:t>Metrikoperatoren</w:t>
      </w:r>
      <w:proofErr w:type="spellEnd"/>
      <w:r>
        <w:rPr>
          <w:rStyle w:val="Fett"/>
        </w:rPr>
        <w:t>:</w:t>
      </w:r>
      <w:r>
        <w:t xml:space="preserve"> Bestimmung von Abständen, Relationen und Maßverhältnissen</w:t>
      </w:r>
    </w:p>
    <w:p w14:paraId="11E73301" w14:textId="77777777" w:rsidR="00B265BA" w:rsidRDefault="00B265BA" w:rsidP="00B265BA">
      <w:pPr>
        <w:pStyle w:val="StandardWeb"/>
        <w:numPr>
          <w:ilvl w:val="0"/>
          <w:numId w:val="6"/>
        </w:numPr>
      </w:pPr>
      <w:r>
        <w:rPr>
          <w:rStyle w:val="Fett"/>
        </w:rPr>
        <w:t>Dynamikoperatoren:</w:t>
      </w:r>
      <w:r>
        <w:t xml:space="preserve"> Einführung von Veränderung, Bewegung und Prozesshaftigkeit</w:t>
      </w:r>
    </w:p>
    <w:p w14:paraId="6D9C693B" w14:textId="77777777" w:rsidR="00B265BA" w:rsidRDefault="00B265BA" w:rsidP="00B265BA">
      <w:pPr>
        <w:pStyle w:val="StandardWeb"/>
        <w:numPr>
          <w:ilvl w:val="0"/>
          <w:numId w:val="6"/>
        </w:numPr>
      </w:pPr>
      <w:proofErr w:type="spellStart"/>
      <w:r>
        <w:rPr>
          <w:rStyle w:val="Fett"/>
        </w:rPr>
        <w:t>Akteursorientierte</w:t>
      </w:r>
      <w:proofErr w:type="spellEnd"/>
      <w:r>
        <w:rPr>
          <w:rStyle w:val="Fett"/>
        </w:rPr>
        <w:t xml:space="preserve"> Operatoren:</w:t>
      </w:r>
      <w:r>
        <w:t xml:space="preserve"> Einbettung handelnder Instanzen ins Modell</w:t>
      </w:r>
    </w:p>
    <w:p w14:paraId="247DDB4B" w14:textId="77777777" w:rsidR="00B265BA" w:rsidRDefault="00B265BA" w:rsidP="00B265BA">
      <w:pPr>
        <w:pStyle w:val="StandardWeb"/>
        <w:numPr>
          <w:ilvl w:val="0"/>
          <w:numId w:val="6"/>
        </w:numPr>
      </w:pPr>
      <w:r>
        <w:rPr>
          <w:rStyle w:val="Fett"/>
        </w:rPr>
        <w:t>Metaoperatoren:</w:t>
      </w:r>
      <w:r>
        <w:t xml:space="preserve"> Selbstreflexion, Beobachtung zweiter Ordnung und Modellbildung</w:t>
      </w:r>
    </w:p>
    <w:p w14:paraId="0B52A497" w14:textId="77777777" w:rsidR="00B265BA" w:rsidRDefault="00B265BA" w:rsidP="00B265BA">
      <w:r>
        <w:pict w14:anchorId="4E0B011A">
          <v:rect id="_x0000_i1028" style="width:0;height:1.5pt" o:hralign="center" o:hrstd="t" o:hr="t" fillcolor="#a0a0a0" stroked="f"/>
        </w:pict>
      </w:r>
    </w:p>
    <w:p w14:paraId="7C80EE3F" w14:textId="77777777" w:rsidR="00B265BA" w:rsidRDefault="00B265BA" w:rsidP="00B265BA">
      <w:pPr>
        <w:pStyle w:val="berschrift3"/>
      </w:pPr>
      <w:r>
        <w:t>B.4 Beobachtungsoperatoren</w:t>
      </w:r>
    </w:p>
    <w:p w14:paraId="7940EC55" w14:textId="77777777" w:rsidR="00B265BA" w:rsidRDefault="00B265BA" w:rsidP="00B265BA">
      <w:pPr>
        <w:pStyle w:val="StandardWeb"/>
      </w:pPr>
      <w:r>
        <w:t xml:space="preserve">Beobachtung wird als konstitutiver Bestandteil der </w:t>
      </w:r>
      <w:proofErr w:type="spellStart"/>
      <w:r>
        <w:t>Operatorik</w:t>
      </w:r>
      <w:proofErr w:type="spellEnd"/>
      <w:r>
        <w:t xml:space="preserve"> verstanden:</w:t>
      </w:r>
    </w:p>
    <w:p w14:paraId="4AB7660D" w14:textId="77777777" w:rsidR="00B265BA" w:rsidRDefault="00B265BA" w:rsidP="00B265BA">
      <w:pPr>
        <w:pStyle w:val="StandardWeb"/>
        <w:numPr>
          <w:ilvl w:val="0"/>
          <w:numId w:val="7"/>
        </w:numPr>
      </w:pPr>
      <w:r>
        <w:rPr>
          <w:rStyle w:val="Fett"/>
        </w:rPr>
        <w:t>1. Ordnung:</w:t>
      </w:r>
      <w:r>
        <w:t xml:space="preserve"> einfache Beobachtung von Zuständen</w:t>
      </w:r>
    </w:p>
    <w:p w14:paraId="78D2CD39" w14:textId="77777777" w:rsidR="00B265BA" w:rsidRDefault="00B265BA" w:rsidP="00B265BA">
      <w:pPr>
        <w:pStyle w:val="StandardWeb"/>
        <w:numPr>
          <w:ilvl w:val="0"/>
          <w:numId w:val="7"/>
        </w:numPr>
      </w:pPr>
      <w:r>
        <w:rPr>
          <w:rStyle w:val="Fett"/>
        </w:rPr>
        <w:t>2. Ordnung:</w:t>
      </w:r>
      <w:r>
        <w:t xml:space="preserve"> Beobachtung von Beobachtung (Reflexivität)</w:t>
      </w:r>
    </w:p>
    <w:p w14:paraId="4A17EF01" w14:textId="77777777" w:rsidR="00B265BA" w:rsidRDefault="00B265BA" w:rsidP="00B265BA">
      <w:pPr>
        <w:pStyle w:val="StandardWeb"/>
        <w:numPr>
          <w:ilvl w:val="0"/>
          <w:numId w:val="7"/>
        </w:numPr>
      </w:pPr>
      <w:r>
        <w:rPr>
          <w:rStyle w:val="Fett"/>
        </w:rPr>
        <w:lastRenderedPageBreak/>
        <w:t>Meta-Ebene:</w:t>
      </w:r>
      <w:r>
        <w:t xml:space="preserve"> Selbstreferenz und Beobachtung der Modelllogik selbst</w:t>
      </w:r>
    </w:p>
    <w:p w14:paraId="1338D767" w14:textId="77777777" w:rsidR="00B265BA" w:rsidRDefault="00B265BA" w:rsidP="00B265BA">
      <w:pPr>
        <w:pStyle w:val="StandardWeb"/>
      </w:pPr>
      <w:r>
        <w:t xml:space="preserve">Diese Stufen sichern die interne Konsistenz des Modells und erlauben die Rekonstruktion der </w:t>
      </w:r>
      <w:proofErr w:type="spellStart"/>
      <w:r>
        <w:t>Operatorenkaskade</w:t>
      </w:r>
      <w:proofErr w:type="spellEnd"/>
      <w:r>
        <w:t>.</w:t>
      </w:r>
    </w:p>
    <w:p w14:paraId="06AC3C53" w14:textId="77777777" w:rsidR="00B265BA" w:rsidRDefault="00B265BA" w:rsidP="00B265BA">
      <w:r>
        <w:pict w14:anchorId="17361E9C">
          <v:rect id="_x0000_i1029" style="width:0;height:1.5pt" o:hralign="center" o:hrstd="t" o:hr="t" fillcolor="#a0a0a0" stroked="f"/>
        </w:pict>
      </w:r>
    </w:p>
    <w:p w14:paraId="1892EE95" w14:textId="77777777" w:rsidR="00B265BA" w:rsidRDefault="00B265BA" w:rsidP="00B265BA">
      <w:pPr>
        <w:pStyle w:val="berschrift3"/>
      </w:pPr>
      <w:r>
        <w:t>B.5 Systematische Darstellung</w:t>
      </w:r>
    </w:p>
    <w:p w14:paraId="57D786F8" w14:textId="77777777" w:rsidR="00B265BA" w:rsidRDefault="00B265BA" w:rsidP="00B265BA">
      <w:pPr>
        <w:pStyle w:val="StandardWeb"/>
      </w:pPr>
      <w:r>
        <w:t xml:space="preserve">Die folgende Tabelle gibt eine kompakte Übersicht über die </w:t>
      </w:r>
      <w:proofErr w:type="spellStart"/>
      <w:r>
        <w:t>Operatorenstruktur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887"/>
        <w:gridCol w:w="2900"/>
        <w:gridCol w:w="2329"/>
      </w:tblGrid>
      <w:tr w:rsidR="00B265BA" w14:paraId="07D4351B" w14:textId="77777777" w:rsidTr="00B265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1C4D2" w14:textId="77777777" w:rsidR="00B265BA" w:rsidRDefault="00B26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7BC84EE7" w14:textId="77777777" w:rsidR="00B265BA" w:rsidRDefault="00B26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E87F0FA" w14:textId="77777777" w:rsidR="00B265BA" w:rsidRDefault="00B26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5034775E" w14:textId="77777777" w:rsidR="00B265BA" w:rsidRDefault="00B26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Emergenz</w:t>
            </w:r>
          </w:p>
        </w:tc>
      </w:tr>
      <w:tr w:rsidR="00B265BA" w14:paraId="0F3CD59A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0C1F" w14:textId="77777777" w:rsidR="00B265BA" w:rsidRDefault="00B265BA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A0BEDC2" w14:textId="77777777" w:rsidR="00B265BA" w:rsidRDefault="00B265BA">
            <w:r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0" w:type="auto"/>
            <w:vAlign w:val="center"/>
            <w:hideMark/>
          </w:tcPr>
          <w:p w14:paraId="46AD05EA" w14:textId="77777777" w:rsidR="00B265BA" w:rsidRDefault="00B265BA">
            <w:r>
              <w:t>strukturloser Anfang</w:t>
            </w:r>
          </w:p>
        </w:tc>
        <w:tc>
          <w:tcPr>
            <w:tcW w:w="0" w:type="auto"/>
            <w:vAlign w:val="center"/>
            <w:hideMark/>
          </w:tcPr>
          <w:p w14:paraId="76C8C50F" w14:textId="77777777" w:rsidR="00B265BA" w:rsidRDefault="00B265BA">
            <w:r>
              <w:t>–</w:t>
            </w:r>
          </w:p>
        </w:tc>
      </w:tr>
      <w:tr w:rsidR="00B265BA" w14:paraId="0B63DACF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1FE1" w14:textId="77777777" w:rsidR="00B265BA" w:rsidRDefault="00B265B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062D7A7" w14:textId="77777777" w:rsidR="00B265BA" w:rsidRDefault="00B265BA">
            <w:r>
              <w:rPr>
                <w:rFonts w:ascii="Cambria Math" w:hAnsi="Cambria Math" w:cs="Cambria Math"/>
              </w:rPr>
              <w:t>∃</w:t>
            </w:r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3AF7DE23" w14:textId="77777777" w:rsidR="00B265BA" w:rsidRDefault="00B265BA">
            <w:r>
              <w:t>Initialpunkt</w:t>
            </w:r>
          </w:p>
        </w:tc>
        <w:tc>
          <w:tcPr>
            <w:tcW w:w="0" w:type="auto"/>
            <w:vAlign w:val="center"/>
            <w:hideMark/>
          </w:tcPr>
          <w:p w14:paraId="5211AE98" w14:textId="77777777" w:rsidR="00B265BA" w:rsidRDefault="00B265BA">
            <w:r>
              <w:t>Differenz zur Leere</w:t>
            </w:r>
          </w:p>
        </w:tc>
      </w:tr>
      <w:tr w:rsidR="00B265BA" w14:paraId="59E42336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E5A8" w14:textId="77777777" w:rsidR="00B265BA" w:rsidRDefault="00B265B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5F0292F" w14:textId="77777777" w:rsidR="00B265BA" w:rsidRDefault="00B265BA">
            <w:r>
              <w:rPr>
                <w:rFonts w:ascii="Cambria Math" w:hAnsi="Cambria Math" w:cs="Cambria Math"/>
              </w:rPr>
              <w:t>∃</w:t>
            </w:r>
            <w:r>
              <w:t>R(</w:t>
            </w:r>
            <w:proofErr w:type="gramStart"/>
            <w:r>
              <w:t>I,</w:t>
            </w:r>
            <w:r>
              <w:rPr>
                <w:rFonts w:ascii="Cambria Math" w:hAnsi="Cambria Math" w:cs="Cambria Math"/>
              </w:rPr>
              <w:t>∅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968D108" w14:textId="77777777" w:rsidR="00B265BA" w:rsidRDefault="00B265BA">
            <w:r>
              <w:t>Relation</w:t>
            </w:r>
          </w:p>
        </w:tc>
        <w:tc>
          <w:tcPr>
            <w:tcW w:w="0" w:type="auto"/>
            <w:vAlign w:val="center"/>
            <w:hideMark/>
          </w:tcPr>
          <w:p w14:paraId="3527FB65" w14:textId="77777777" w:rsidR="00B265BA" w:rsidRDefault="00B265BA">
            <w:r>
              <w:t>erste Verknüpfung</w:t>
            </w:r>
          </w:p>
        </w:tc>
      </w:tr>
      <w:tr w:rsidR="00B265BA" w14:paraId="5FA91F4B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C06F" w14:textId="77777777" w:rsidR="00B265BA" w:rsidRDefault="00B265B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00E38CB" w14:textId="77777777" w:rsidR="00B265BA" w:rsidRDefault="00B265BA">
            <w:r>
              <w:t>x(U), y(U), z(U)</w:t>
            </w:r>
          </w:p>
        </w:tc>
        <w:tc>
          <w:tcPr>
            <w:tcW w:w="0" w:type="auto"/>
            <w:vAlign w:val="center"/>
            <w:hideMark/>
          </w:tcPr>
          <w:p w14:paraId="2CA58EC0" w14:textId="77777777" w:rsidR="00B265BA" w:rsidRDefault="00B265BA">
            <w:r>
              <w:t>Raumfunktionen</w:t>
            </w:r>
          </w:p>
        </w:tc>
        <w:tc>
          <w:tcPr>
            <w:tcW w:w="0" w:type="auto"/>
            <w:vAlign w:val="center"/>
            <w:hideMark/>
          </w:tcPr>
          <w:p w14:paraId="66622EC5" w14:textId="77777777" w:rsidR="00B265BA" w:rsidRDefault="00B265BA">
            <w:r>
              <w:t>Konstitution von Raum</w:t>
            </w:r>
          </w:p>
        </w:tc>
      </w:tr>
      <w:tr w:rsidR="00B265BA" w14:paraId="504E0FD3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7761" w14:textId="77777777" w:rsidR="00B265BA" w:rsidRDefault="00B265B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34ABD1A" w14:textId="77777777" w:rsidR="00B265BA" w:rsidRDefault="00B265BA">
            <w:r>
              <w:t>t(U)</w:t>
            </w:r>
          </w:p>
        </w:tc>
        <w:tc>
          <w:tcPr>
            <w:tcW w:w="0" w:type="auto"/>
            <w:vAlign w:val="center"/>
            <w:hideMark/>
          </w:tcPr>
          <w:p w14:paraId="0545417A" w14:textId="77777777" w:rsidR="00B265BA" w:rsidRDefault="00B265BA">
            <w:r>
              <w:t>Zeitfunktion</w:t>
            </w:r>
          </w:p>
        </w:tc>
        <w:tc>
          <w:tcPr>
            <w:tcW w:w="0" w:type="auto"/>
            <w:vAlign w:val="center"/>
            <w:hideMark/>
          </w:tcPr>
          <w:p w14:paraId="4CED8D2F" w14:textId="77777777" w:rsidR="00B265BA" w:rsidRDefault="00B265BA">
            <w:r>
              <w:t>Sequenz, Ordnung</w:t>
            </w:r>
          </w:p>
        </w:tc>
      </w:tr>
      <w:tr w:rsidR="00B265BA" w14:paraId="27985C3A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03FE" w14:textId="77777777" w:rsidR="00B265BA" w:rsidRDefault="00B265BA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7200827" w14:textId="77777777" w:rsidR="00B265BA" w:rsidRDefault="00B265BA">
            <w:proofErr w:type="spellStart"/>
            <w:r>
              <w:t>Brane</w:t>
            </w:r>
            <w:proofErr w:type="spellEnd"/>
            <w:r>
              <w:t>-Operator</w:t>
            </w:r>
          </w:p>
        </w:tc>
        <w:tc>
          <w:tcPr>
            <w:tcW w:w="0" w:type="auto"/>
            <w:vAlign w:val="center"/>
            <w:hideMark/>
          </w:tcPr>
          <w:p w14:paraId="22E5BB0D" w14:textId="77777777" w:rsidR="00B265BA" w:rsidRDefault="00B265BA">
            <w:r>
              <w:t>Flächen-/Schichtbildung</w:t>
            </w:r>
          </w:p>
        </w:tc>
        <w:tc>
          <w:tcPr>
            <w:tcW w:w="0" w:type="auto"/>
            <w:vAlign w:val="center"/>
            <w:hideMark/>
          </w:tcPr>
          <w:p w14:paraId="6245B75D" w14:textId="77777777" w:rsidR="00B265BA" w:rsidRDefault="00B265BA">
            <w:r>
              <w:t>erweiterte Raum-Zeit</w:t>
            </w:r>
          </w:p>
        </w:tc>
      </w:tr>
      <w:tr w:rsidR="00B265BA" w14:paraId="324D50A9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F710" w14:textId="77777777" w:rsidR="00B265BA" w:rsidRDefault="00B265BA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B10DA0E" w14:textId="77777777" w:rsidR="00B265BA" w:rsidRDefault="00B265BA">
            <w:r>
              <w:t>Metrik-Operator</w:t>
            </w:r>
          </w:p>
        </w:tc>
        <w:tc>
          <w:tcPr>
            <w:tcW w:w="0" w:type="auto"/>
            <w:vAlign w:val="center"/>
            <w:hideMark/>
          </w:tcPr>
          <w:p w14:paraId="308A4299" w14:textId="77777777" w:rsidR="00B265BA" w:rsidRDefault="00B265BA">
            <w:r>
              <w:t>Maß, Distanz, Relation</w:t>
            </w:r>
          </w:p>
        </w:tc>
        <w:tc>
          <w:tcPr>
            <w:tcW w:w="0" w:type="auto"/>
            <w:vAlign w:val="center"/>
            <w:hideMark/>
          </w:tcPr>
          <w:p w14:paraId="4329B68E" w14:textId="77777777" w:rsidR="00B265BA" w:rsidRDefault="00B265BA">
            <w:r>
              <w:t>Strukturierung</w:t>
            </w:r>
          </w:p>
        </w:tc>
      </w:tr>
      <w:tr w:rsidR="00B265BA" w14:paraId="7E69D565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2C86" w14:textId="77777777" w:rsidR="00B265BA" w:rsidRDefault="00B265BA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2E4F54E" w14:textId="77777777" w:rsidR="00B265BA" w:rsidRDefault="00B265BA">
            <w:r>
              <w:t>Dynamik-Operator</w:t>
            </w:r>
          </w:p>
        </w:tc>
        <w:tc>
          <w:tcPr>
            <w:tcW w:w="0" w:type="auto"/>
            <w:vAlign w:val="center"/>
            <w:hideMark/>
          </w:tcPr>
          <w:p w14:paraId="04A3AF5F" w14:textId="77777777" w:rsidR="00B265BA" w:rsidRDefault="00B265BA">
            <w:r>
              <w:t>Veränderung, Bewegung</w:t>
            </w:r>
          </w:p>
        </w:tc>
        <w:tc>
          <w:tcPr>
            <w:tcW w:w="0" w:type="auto"/>
            <w:vAlign w:val="center"/>
            <w:hideMark/>
          </w:tcPr>
          <w:p w14:paraId="168B708F" w14:textId="77777777" w:rsidR="00B265BA" w:rsidRDefault="00B265BA">
            <w:r>
              <w:t>Prozesslogik</w:t>
            </w:r>
          </w:p>
        </w:tc>
      </w:tr>
      <w:tr w:rsidR="00B265BA" w14:paraId="20B2CCE7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6D6A" w14:textId="77777777" w:rsidR="00B265BA" w:rsidRDefault="00B265B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C6E60BC" w14:textId="77777777" w:rsidR="00B265BA" w:rsidRDefault="00B265BA">
            <w:r>
              <w:t>Akteurs-Operator</w:t>
            </w:r>
          </w:p>
        </w:tc>
        <w:tc>
          <w:tcPr>
            <w:tcW w:w="0" w:type="auto"/>
            <w:vAlign w:val="center"/>
            <w:hideMark/>
          </w:tcPr>
          <w:p w14:paraId="6181F558" w14:textId="77777777" w:rsidR="00B265BA" w:rsidRDefault="00B265BA">
            <w:r>
              <w:t>Handlungsinstanz</w:t>
            </w:r>
          </w:p>
        </w:tc>
        <w:tc>
          <w:tcPr>
            <w:tcW w:w="0" w:type="auto"/>
            <w:vAlign w:val="center"/>
            <w:hideMark/>
          </w:tcPr>
          <w:p w14:paraId="51AE2448" w14:textId="77777777" w:rsidR="00B265BA" w:rsidRDefault="00B265BA">
            <w:r>
              <w:t>Systeminteraktion</w:t>
            </w:r>
          </w:p>
        </w:tc>
      </w:tr>
      <w:tr w:rsidR="00B265BA" w14:paraId="17B47AFB" w14:textId="77777777" w:rsidTr="00B26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7F3B" w14:textId="77777777" w:rsidR="00B265BA" w:rsidRDefault="00B265BA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4FCAE95" w14:textId="77777777" w:rsidR="00B265BA" w:rsidRDefault="00B265BA">
            <w:r>
              <w:t>Meta-Operator</w:t>
            </w:r>
          </w:p>
        </w:tc>
        <w:tc>
          <w:tcPr>
            <w:tcW w:w="0" w:type="auto"/>
            <w:vAlign w:val="center"/>
            <w:hideMark/>
          </w:tcPr>
          <w:p w14:paraId="4CC27427" w14:textId="77777777" w:rsidR="00B265BA" w:rsidRDefault="00B265BA">
            <w:r>
              <w:t>Selbstreflexion, Beobachtung</w:t>
            </w:r>
          </w:p>
        </w:tc>
        <w:tc>
          <w:tcPr>
            <w:tcW w:w="0" w:type="auto"/>
            <w:vAlign w:val="center"/>
            <w:hideMark/>
          </w:tcPr>
          <w:p w14:paraId="5AEED6D4" w14:textId="77777777" w:rsidR="00B265BA" w:rsidRDefault="00B265BA">
            <w:r>
              <w:t>Modelllogik</w:t>
            </w:r>
          </w:p>
        </w:tc>
      </w:tr>
    </w:tbl>
    <w:p w14:paraId="01DE9B3F" w14:textId="77777777" w:rsidR="00B265BA" w:rsidRDefault="00B265BA" w:rsidP="00B265BA">
      <w:r>
        <w:pict w14:anchorId="12410A2F">
          <v:rect id="_x0000_i1030" style="width:0;height:1.5pt" o:hralign="center" o:hrstd="t" o:hr="t" fillcolor="#a0a0a0" stroked="f"/>
        </w:pict>
      </w:r>
    </w:p>
    <w:p w14:paraId="53F66BDE" w14:textId="77777777" w:rsidR="00B265BA" w:rsidRDefault="00B265BA" w:rsidP="00B265BA">
      <w:pPr>
        <w:pStyle w:val="berschrift3"/>
      </w:pPr>
      <w:r>
        <w:t>B.6 Bedeutung für Kapitel 4</w:t>
      </w:r>
    </w:p>
    <w:p w14:paraId="2F951565" w14:textId="77777777" w:rsidR="00B265BA" w:rsidRDefault="00B265BA" w:rsidP="00B265BA">
      <w:pPr>
        <w:pStyle w:val="StandardWeb"/>
      </w:pPr>
      <w:r>
        <w:t xml:space="preserve">Anlage B dient als </w:t>
      </w:r>
      <w:r>
        <w:rPr>
          <w:rStyle w:val="Fett"/>
        </w:rPr>
        <w:t>Grundgerüst</w:t>
      </w:r>
      <w:r>
        <w:t xml:space="preserve"> für die in Kapitel 4 entwickelten Vorhersagen. Während Kapitel 3 die Axiome und ihre ersten Konsequenzen darlegt, zeigt Anlage B die logische Schichtung der Operatoren auf, die in Anlage C formalisiert und in Kapitel 4 auf konkrete modelllogische Konsequenzen angewandt wird.</w:t>
      </w:r>
    </w:p>
    <w:p w14:paraId="48F0E1C4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26D42"/>
    <w:multiLevelType w:val="multilevel"/>
    <w:tmpl w:val="B4D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05D82"/>
    <w:multiLevelType w:val="multilevel"/>
    <w:tmpl w:val="2E6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53001"/>
    <w:multiLevelType w:val="multilevel"/>
    <w:tmpl w:val="A7B4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C62890"/>
    <w:multiLevelType w:val="multilevel"/>
    <w:tmpl w:val="C744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BA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265BA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0C2FD"/>
  <w15:chartTrackingRefBased/>
  <w15:docId w15:val="{4DFD7025-3181-4FFB-B680-1FFB8B3F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265BA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406</Words>
  <Characters>2560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2025-09-20T11:30:00Z</dcterms:created>
  <dcterms:modified xsi:type="dcterms:W3CDTF">2025-09-20T11:30:00Z</dcterms:modified>
</cp:coreProperties>
</file>