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B6A44" w14:textId="77777777" w:rsidR="0005621D" w:rsidRPr="0046514E" w:rsidRDefault="0005621D" w:rsidP="0005621D">
      <w:pPr>
        <w:pStyle w:val="Titel"/>
        <w:rPr>
          <w:rStyle w:val="TitelZchn"/>
          <w:b/>
        </w:rPr>
      </w:pPr>
      <w:r w:rsidRPr="0046514E">
        <w:rPr>
          <w:rStyle w:val="TitelZchn"/>
          <w:b/>
        </w:rPr>
        <w:t>Kapitel 3 - Mathematische Beschreibung des "Funktionalen Raum-Zeit-Kohärenzsystems"</w:t>
      </w:r>
    </w:p>
    <w:p w14:paraId="00889EFB" w14:textId="77777777" w:rsidR="0005621D" w:rsidRPr="00082834" w:rsidRDefault="0005621D" w:rsidP="0005621D">
      <w:pPr>
        <w:pStyle w:val="berschrift2"/>
        <w:rPr>
          <w:rStyle w:val="berschrift2Zchn"/>
          <w:b/>
        </w:rPr>
      </w:pPr>
      <w:r w:rsidRPr="00082834">
        <w:rPr>
          <w:rStyle w:val="berschrift2Zchn"/>
          <w:b/>
        </w:rPr>
        <w:t>Einleitung – Vom Nichts zur Struktur: Warum ich dieses System entwickle</w:t>
      </w:r>
    </w:p>
    <w:p w14:paraId="1447A25B" w14:textId="77777777" w:rsidR="0005621D" w:rsidRDefault="0005621D" w:rsidP="0005621D">
      <w:r>
        <w:t xml:space="preserve">Ich wähle den absoluten Nullpunkt, weil er die radikalste Ausgangsbasis für Ordnung und Modellbildung liefert. Nicht, weil es bequem wäre – sondern weil ich überzeugt bin, dass genau dort die tiefste Klarheit über Ordnung, Modellbildung und Bezug entsteht. Mich interessiert nicht, wie Ordnung aussieht, wenn sie schon da ist. Mich interessiert, wie sie entsteht, wenn noch gar nichts gegeben ist. Deshalb entscheide ich mich bewusst dafür, mein funktionales Modell an einem völlig unbestimmten Ausgangspunkt zu starten – bei der leeren Menge </w:t>
      </w:r>
      <w:r>
        <w:rPr>
          <w:rFonts w:ascii="Cambria Math" w:hAnsi="Cambria Math" w:cs="Cambria Math"/>
        </w:rPr>
        <w:t>∅</w:t>
      </w:r>
      <w:r>
        <w:t xml:space="preserve"> (Cantor, Georg, </w:t>
      </w:r>
      <w:r>
        <w:rPr>
          <w:rStyle w:val="Hervorhebung"/>
        </w:rPr>
        <w:t>Beiträge zur Begründung der transfiniten Mengenlehre</w:t>
      </w:r>
      <w:r>
        <w:t>, 1895, Mathematische Annalen, 46, S. 481–512) [1].</w:t>
      </w:r>
    </w:p>
    <w:p w14:paraId="1B2C461E" w14:textId="77777777" w:rsidR="0005621D" w:rsidRDefault="0005621D" w:rsidP="0005621D">
      <w:r>
        <w:t xml:space="preserve">Dieses Kapitel entwickelt – Schritt für Schritt – das Funktionale Raum-Zeit-Kohärenzsystem (FRZK): ein transdisziplinäres Bezugsmodell, das auf funktionaler Generierung statt auf statischer Ontologie beruht. Es ist mein Versuch, ein universelles Gerüst zu konstruieren, mit dem sich Raum, Zeit, Objektivität und Handlung nicht nur beschreiben, sondern konstruieren lassen. </w:t>
      </w:r>
    </w:p>
    <w:p w14:paraId="0C8AAFB3" w14:textId="77777777" w:rsidR="0005621D" w:rsidRDefault="0005621D" w:rsidP="0005621D">
      <w:r>
        <w:t>Für die Einordnung des FRZK gegenüber aktuellen physikalischen Forschungsprogrammen ist weiter zu bemerken, dass in der jüngeren Forschung die Idee, Raum(-zeit) selbst könne emergent aus tieferliegenden, nicht-räumlichen Entitäten entstehen, prominent diskutiert wird. Insbesondere verbinden Arbeiten aus den letzten Jahren Konzepte aus Quanteninformation (</w:t>
      </w:r>
      <w:proofErr w:type="spellStart"/>
      <w:r>
        <w:t>Entanglement</w:t>
      </w:r>
      <w:proofErr w:type="spellEnd"/>
      <w:r>
        <w:t xml:space="preserve">), </w:t>
      </w:r>
      <w:proofErr w:type="spellStart"/>
      <w:r>
        <w:t>tensor</w:t>
      </w:r>
      <w:proofErr w:type="spellEnd"/>
      <w:r>
        <w:t xml:space="preserve">-Netzwerk-Ansätzen und holographischer Dualität mit konkreten Mechanismen zur ‚Raumentstehung‘. Diese Perspektiven liefern sowohl konzeptuelle Parallelen als auch mathematische Werkzeuge, die für die Konkretisierung des FRZK relevant sind (siehe z. B. </w:t>
      </w:r>
      <w:proofErr w:type="spellStart"/>
      <w:r>
        <w:rPr>
          <w:rStyle w:val="Fett"/>
        </w:rPr>
        <w:t>Takayanagi</w:t>
      </w:r>
      <w:proofErr w:type="spellEnd"/>
      <w:r>
        <w:rPr>
          <w:rStyle w:val="Fett"/>
        </w:rPr>
        <w:t xml:space="preserve"> (2025)</w:t>
      </w:r>
      <w:r>
        <w:t xml:space="preserve"> </w:t>
      </w:r>
      <w:r>
        <w:rPr>
          <w:rStyle w:val="Hervorhebung"/>
        </w:rPr>
        <w:t xml:space="preserve">Emergent </w:t>
      </w:r>
      <w:proofErr w:type="spellStart"/>
      <w:r>
        <w:rPr>
          <w:rStyle w:val="Hervorhebung"/>
        </w:rPr>
        <w:t>Holographic</w:t>
      </w:r>
      <w:proofErr w:type="spellEnd"/>
      <w:r>
        <w:rPr>
          <w:rStyle w:val="Hervorhebung"/>
        </w:rPr>
        <w:t xml:space="preserve"> </w:t>
      </w:r>
      <w:proofErr w:type="spellStart"/>
      <w:r>
        <w:rPr>
          <w:rStyle w:val="Hervorhebung"/>
        </w:rPr>
        <w:t>Spacetime</w:t>
      </w:r>
      <w:proofErr w:type="spellEnd"/>
      <w:r>
        <w:rPr>
          <w:rStyle w:val="Hervorhebung"/>
        </w:rPr>
        <w:t xml:space="preserve"> </w:t>
      </w:r>
      <w:proofErr w:type="spellStart"/>
      <w:r>
        <w:rPr>
          <w:rStyle w:val="Hervorhebung"/>
        </w:rPr>
        <w:t>from</w:t>
      </w:r>
      <w:proofErr w:type="spellEnd"/>
      <w:r>
        <w:rPr>
          <w:rStyle w:val="Hervorhebung"/>
        </w:rPr>
        <w:t xml:space="preserve"> Quantum Information</w:t>
      </w:r>
      <w:r>
        <w:t xml:space="preserve">, </w:t>
      </w:r>
      <w:r>
        <w:rPr>
          <w:rStyle w:val="Fett"/>
        </w:rPr>
        <w:t xml:space="preserve">Gautam, </w:t>
      </w:r>
      <w:proofErr w:type="spellStart"/>
      <w:r>
        <w:rPr>
          <w:rStyle w:val="Fett"/>
        </w:rPr>
        <w:t>Hanada</w:t>
      </w:r>
      <w:proofErr w:type="spellEnd"/>
      <w:r>
        <w:rPr>
          <w:rStyle w:val="Fett"/>
        </w:rPr>
        <w:t xml:space="preserve">, </w:t>
      </w:r>
      <w:proofErr w:type="spellStart"/>
      <w:r>
        <w:rPr>
          <w:rStyle w:val="Fett"/>
        </w:rPr>
        <w:t>Jevicki</w:t>
      </w:r>
      <w:proofErr w:type="spellEnd"/>
      <w:r>
        <w:rPr>
          <w:rStyle w:val="Fett"/>
        </w:rPr>
        <w:t>, Peng (2022)</w:t>
      </w:r>
      <w:r>
        <w:t xml:space="preserve"> </w:t>
      </w:r>
      <w:r>
        <w:rPr>
          <w:rStyle w:val="Hervorhebung"/>
        </w:rPr>
        <w:t xml:space="preserve">Matrix </w:t>
      </w:r>
      <w:proofErr w:type="spellStart"/>
      <w:r>
        <w:rPr>
          <w:rStyle w:val="Hervorhebung"/>
        </w:rPr>
        <w:t>Entanglement</w:t>
      </w:r>
      <w:proofErr w:type="spellEnd"/>
      <w:r>
        <w:t xml:space="preserve">, </w:t>
      </w:r>
      <w:r>
        <w:rPr>
          <w:rStyle w:val="Fett"/>
        </w:rPr>
        <w:t xml:space="preserve">Frenkel &amp; </w:t>
      </w:r>
      <w:proofErr w:type="spellStart"/>
      <w:r>
        <w:rPr>
          <w:rStyle w:val="Fett"/>
        </w:rPr>
        <w:t>Hartnoll</w:t>
      </w:r>
      <w:proofErr w:type="spellEnd"/>
      <w:r>
        <w:rPr>
          <w:rStyle w:val="Fett"/>
        </w:rPr>
        <w:t xml:space="preserve"> (2023)</w:t>
      </w:r>
      <w:r>
        <w:t xml:space="preserve"> </w:t>
      </w:r>
      <w:r>
        <w:rPr>
          <w:rStyle w:val="Hervorhebung"/>
        </w:rPr>
        <w:t xml:space="preserve">Emergent Area Laws </w:t>
      </w:r>
      <w:proofErr w:type="spellStart"/>
      <w:r>
        <w:rPr>
          <w:rStyle w:val="Hervorhebung"/>
        </w:rPr>
        <w:t>from</w:t>
      </w:r>
      <w:proofErr w:type="spellEnd"/>
      <w:r>
        <w:rPr>
          <w:rStyle w:val="Hervorhebung"/>
        </w:rPr>
        <w:t xml:space="preserve"> </w:t>
      </w:r>
      <w:proofErr w:type="spellStart"/>
      <w:r>
        <w:rPr>
          <w:rStyle w:val="Hervorhebung"/>
        </w:rPr>
        <w:t>Entangled</w:t>
      </w:r>
      <w:proofErr w:type="spellEnd"/>
      <w:r>
        <w:rPr>
          <w:rStyle w:val="Hervorhebung"/>
        </w:rPr>
        <w:t xml:space="preserve"> Matrices</w:t>
      </w:r>
      <w:r>
        <w:t xml:space="preserve">, sowie die Übersichtsarbeit </w:t>
      </w:r>
      <w:r>
        <w:rPr>
          <w:rStyle w:val="Fett"/>
        </w:rPr>
        <w:t>„</w:t>
      </w:r>
      <w:proofErr w:type="spellStart"/>
      <w:r>
        <w:rPr>
          <w:rStyle w:val="Fett"/>
        </w:rPr>
        <w:t>Holographic</w:t>
      </w:r>
      <w:proofErr w:type="spellEnd"/>
      <w:r>
        <w:rPr>
          <w:rStyle w:val="Fett"/>
        </w:rPr>
        <w:t xml:space="preserve"> </w:t>
      </w:r>
      <w:proofErr w:type="spellStart"/>
      <w:r>
        <w:rPr>
          <w:rStyle w:val="Fett"/>
        </w:rPr>
        <w:t>spacetime</w:t>
      </w:r>
      <w:proofErr w:type="spellEnd"/>
      <w:r>
        <w:rPr>
          <w:rStyle w:val="Fett"/>
        </w:rPr>
        <w:t xml:space="preserve">, </w:t>
      </w:r>
      <w:proofErr w:type="spellStart"/>
      <w:r>
        <w:rPr>
          <w:rStyle w:val="Fett"/>
        </w:rPr>
        <w:t>black</w:t>
      </w:r>
      <w:proofErr w:type="spellEnd"/>
      <w:r>
        <w:rPr>
          <w:rStyle w:val="Fett"/>
        </w:rPr>
        <w:t xml:space="preserve"> </w:t>
      </w:r>
      <w:proofErr w:type="spellStart"/>
      <w:r>
        <w:rPr>
          <w:rStyle w:val="Fett"/>
        </w:rPr>
        <w:t>holes</w:t>
      </w:r>
      <w:proofErr w:type="spellEnd"/>
      <w:r>
        <w:rPr>
          <w:rStyle w:val="Fett"/>
        </w:rPr>
        <w:t xml:space="preserve"> and </w:t>
      </w:r>
      <w:proofErr w:type="spellStart"/>
      <w:r>
        <w:rPr>
          <w:rStyle w:val="Fett"/>
        </w:rPr>
        <w:t>quantum</w:t>
      </w:r>
      <w:proofErr w:type="spellEnd"/>
      <w:r>
        <w:rPr>
          <w:rStyle w:val="Fett"/>
        </w:rPr>
        <w:t xml:space="preserve"> </w:t>
      </w:r>
      <w:proofErr w:type="spellStart"/>
      <w:r>
        <w:rPr>
          <w:rStyle w:val="Fett"/>
        </w:rPr>
        <w:t>error</w:t>
      </w:r>
      <w:proofErr w:type="spellEnd"/>
      <w:r>
        <w:rPr>
          <w:rStyle w:val="Fett"/>
        </w:rPr>
        <w:t xml:space="preserve"> </w:t>
      </w:r>
      <w:proofErr w:type="spellStart"/>
      <w:r>
        <w:rPr>
          <w:rStyle w:val="Fett"/>
        </w:rPr>
        <w:t>correcting</w:t>
      </w:r>
      <w:proofErr w:type="spellEnd"/>
      <w:r>
        <w:rPr>
          <w:rStyle w:val="Fett"/>
        </w:rPr>
        <w:t xml:space="preserve"> </w:t>
      </w:r>
      <w:proofErr w:type="spellStart"/>
      <w:r>
        <w:rPr>
          <w:rStyle w:val="Fett"/>
        </w:rPr>
        <w:t>codes</w:t>
      </w:r>
      <w:proofErr w:type="spellEnd"/>
      <w:r>
        <w:rPr>
          <w:rStyle w:val="Fett"/>
        </w:rPr>
        <w:t>: a review“ (2022)</w:t>
      </w:r>
      <w:r>
        <w:t>).</w:t>
      </w:r>
    </w:p>
    <w:p w14:paraId="3F832A1A" w14:textId="77777777" w:rsidR="0005621D" w:rsidRDefault="0005621D" w:rsidP="0005621D">
      <w:r>
        <w:t xml:space="preserve">Das FRZK-Modell versteht sich als Werkzeug, das nicht auf eine Disziplin festgelegt ist. Es ist anschlussfähig für die Naturwissenschaften (Dehaene, Stanislas, </w:t>
      </w:r>
      <w:r>
        <w:rPr>
          <w:rStyle w:val="Hervorhebung"/>
        </w:rPr>
        <w:t xml:space="preserve">The </w:t>
      </w:r>
      <w:proofErr w:type="spellStart"/>
      <w:r>
        <w:rPr>
          <w:rStyle w:val="Hervorhebung"/>
        </w:rPr>
        <w:t>Number</w:t>
      </w:r>
      <w:proofErr w:type="spellEnd"/>
      <w:r>
        <w:rPr>
          <w:rStyle w:val="Hervorhebung"/>
        </w:rPr>
        <w:t xml:space="preserve"> Sense: </w:t>
      </w:r>
      <w:proofErr w:type="spellStart"/>
      <w:r>
        <w:rPr>
          <w:rStyle w:val="Hervorhebung"/>
        </w:rPr>
        <w:t>How</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Creates</w:t>
      </w:r>
      <w:proofErr w:type="spellEnd"/>
      <w:r>
        <w:rPr>
          <w:rStyle w:val="Hervorhebung"/>
        </w:rPr>
        <w:t xml:space="preserve"> </w:t>
      </w:r>
      <w:proofErr w:type="spellStart"/>
      <w:r>
        <w:rPr>
          <w:rStyle w:val="Hervorhebung"/>
        </w:rPr>
        <w:t>Mathematics</w:t>
      </w:r>
      <w:proofErr w:type="spellEnd"/>
      <w:r>
        <w:t xml:space="preserve">, 2011, Oxford: Oxford University Press, Kap. 1) [2], die Systemtheorie (Luhmann, Niklas, </w:t>
      </w:r>
      <w:r>
        <w:rPr>
          <w:rStyle w:val="Hervorhebung"/>
        </w:rPr>
        <w:t>Die Wissenschaft der Gesellschaft</w:t>
      </w:r>
      <w:r>
        <w:t xml:space="preserve">, 1990, Frankfurt a. M.: Suhrkamp) [14], die Kulturwissenschaften (Assmann, Aleida, </w:t>
      </w:r>
      <w:r>
        <w:rPr>
          <w:rStyle w:val="Hervorhebung"/>
        </w:rPr>
        <w:t>Das kulturelle Gedächtnis</w:t>
      </w:r>
      <w:r>
        <w:t>, 1992, München: Beck, Kap. 2) [4] und die Philosophie – sofern sie bereit ist, Begriffe wie „Raum“ oder „Zeit“ nicht mehr als ontologisch gegeben, sondern als funktional erzeugt zu betrachten.</w:t>
      </w:r>
    </w:p>
    <w:p w14:paraId="25F2EEE4" w14:textId="77777777" w:rsidR="0005621D" w:rsidRDefault="0005621D" w:rsidP="0005621D">
      <w:r>
        <w:t xml:space="preserve">Während Theorien wie die Allgemeine Relativität Raumzeit als gegebene Struktur voraussetzen und Quantenphysik deren Dynamik empirisch modelliert, setzt das FRZK radikaler an: Es generiert Raumzeit selbst aus funktionalen Operationen – nicht aus ontologischen Postulaten. Um diese Aussage formell abzusichern, führe ich im Folgenden die Operatoren des FRZK als </w:t>
      </w:r>
      <w:r>
        <w:rPr>
          <w:rStyle w:val="Fett"/>
        </w:rPr>
        <w:t>axiomatische Primitive</w:t>
      </w:r>
      <w:r>
        <w:t xml:space="preserve"> ein. Kurzform: Es existiert eine Menge </w:t>
      </w:r>
      <w:r>
        <w:rPr>
          <w:rStyle w:val="katex-mathml"/>
        </w:rPr>
        <w:t>O</w:t>
      </w:r>
      <w:r>
        <w:t xml:space="preserve"> von Operatoren (Transformationsregeln), deren wiederholte Anwendung auf den Ausgangszustand </w:t>
      </w:r>
      <w:r>
        <w:rPr>
          <w:rStyle w:val="katex-mathml"/>
          <w:rFonts w:ascii="Cambria Math" w:hAnsi="Cambria Math" w:cs="Cambria Math"/>
        </w:rPr>
        <w:t>∅</w:t>
      </w:r>
      <w:r>
        <w:t xml:space="preserve"> die Strukturen produziert, die wir als ‚Raum‘, ‚Zeit‘ oder ‚Objekt‘ </w:t>
      </w:r>
      <w:r>
        <w:lastRenderedPageBreak/>
        <w:t xml:space="preserve">beobachten. Diese Axiomatik ist in Kap. 3.1.-3.3 kurz motiviert und in Kap. 4–5 formalisiert (-&gt; Verweis auf </w:t>
      </w:r>
      <w:proofErr w:type="spellStart"/>
      <w:r>
        <w:t>Axiomensatz</w:t>
      </w:r>
      <w:proofErr w:type="spellEnd"/>
      <w:r>
        <w:t xml:space="preserve"> in Kap. 5).</w:t>
      </w:r>
    </w:p>
    <w:p w14:paraId="73C36EE7" w14:textId="77777777" w:rsidR="0005621D" w:rsidRDefault="0005621D" w:rsidP="0005621D">
      <w:r>
        <w:t xml:space="preserve">Bezug entsteht hier durch Zuweisung. Beobachtung bedeutet Teilnahme. Mit ‚Zuweisung‘ ist hier nicht eine unbestimmte semantische Handlung gemeint, sondern die Anwendung eines Operators </w:t>
      </w:r>
      <w:proofErr w:type="spellStart"/>
      <w:r>
        <w:rPr>
          <w:rStyle w:val="katex-mathml"/>
        </w:rPr>
        <w:t>o</w:t>
      </w:r>
      <w:r>
        <w:rPr>
          <w:rStyle w:val="katex-mathml"/>
          <w:rFonts w:ascii="Cambria Math" w:hAnsi="Cambria Math" w:cs="Cambria Math"/>
        </w:rPr>
        <w:t>∈</w:t>
      </w:r>
      <w:r>
        <w:rPr>
          <w:rStyle w:val="katex-mathml"/>
        </w:rPr>
        <w:t>O</w:t>
      </w:r>
      <w:proofErr w:type="spellEnd"/>
      <w:r>
        <w:t xml:space="preserve"> auf einen (vorher leeren) Strukturplatz. Konkret: eine Zuweisung ist eine Abbildungsvorschrift </w:t>
      </w:r>
      <w:r>
        <w:rPr>
          <w:rStyle w:val="katex-mathml"/>
        </w:rPr>
        <w:t xml:space="preserve">o:S→S′ </w:t>
      </w:r>
      <w:r>
        <w:t xml:space="preserve">(mit </w:t>
      </w:r>
      <w:r>
        <w:rPr>
          <w:rStyle w:val="katex-mathml"/>
        </w:rPr>
        <w:t>S=</w:t>
      </w:r>
      <w:r>
        <w:rPr>
          <w:rStyle w:val="katex-mathml"/>
          <w:rFonts w:ascii="Cambria Math" w:hAnsi="Cambria Math" w:cs="Cambria Math"/>
        </w:rPr>
        <w:t>∅</w:t>
      </w:r>
      <w:r>
        <w:t xml:space="preserve"> als Start). Diese formale Sicht macht ‚Bezug‘ operationalisierbar und beobachtbar (siehe Axiom A1–A4 weiter unten).  </w:t>
      </w:r>
    </w:p>
    <w:p w14:paraId="2B827819" w14:textId="77777777" w:rsidR="0005621D" w:rsidRDefault="0005621D" w:rsidP="0005621D">
      <w:r>
        <w:t xml:space="preserve">Und Kausalität ergibt sich erst aus relationaler Struktur. Damit folge ich dem konstruktivistischen Paradigma operativer Geschlossenheit – wie es Maturana, Humberto R. und Varela, Francisco J. (1980, </w:t>
      </w:r>
      <w:r>
        <w:rPr>
          <w:rStyle w:val="Hervorhebung"/>
        </w:rPr>
        <w:t xml:space="preserve">Autopoiesis and </w:t>
      </w:r>
      <w:proofErr w:type="spellStart"/>
      <w:r>
        <w:rPr>
          <w:rStyle w:val="Hervorhebung"/>
        </w:rPr>
        <w:t>Cognition</w:t>
      </w:r>
      <w:proofErr w:type="spellEnd"/>
      <w:r>
        <w:t>, Dordrecht: Reidel, S. 13–22) [5] formuliert haben – und bringe es in ein funktional-mathematisches Modell. Das Ziel ist nicht, die Welt abzubilden, sondern ein funktionales Koordinatensystem zu schaffen, in dem Emergenz, Differenz und Dynamik systematisch erzeugbar sind. Dabei hilft mir ein erkenntnistheoretischer Rahmen, wie er in der „</w:t>
      </w:r>
      <w:proofErr w:type="spellStart"/>
      <w:r>
        <w:t>Embodied</w:t>
      </w:r>
      <w:proofErr w:type="spellEnd"/>
      <w:r>
        <w:t xml:space="preserve"> </w:t>
      </w:r>
      <w:proofErr w:type="spellStart"/>
      <w:r>
        <w:t>Mind</w:t>
      </w:r>
      <w:proofErr w:type="spellEnd"/>
      <w:r>
        <w:t xml:space="preserve">“-Theorie angelegt ist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t>, Cambridge, MA: MIT Press, Kap. 3) [6].</w:t>
      </w:r>
    </w:p>
    <w:p w14:paraId="47462B60" w14:textId="77777777" w:rsidR="0005621D" w:rsidRDefault="0005621D" w:rsidP="0005621D">
      <w:r>
        <w:t xml:space="preserve">Die hier skizzierten Konzepte werden in späteren Kapiteln formalisiert – etwa als </w:t>
      </w:r>
      <w:proofErr w:type="spellStart"/>
      <w:r>
        <w:t>Operatorenkaskade</w:t>
      </w:r>
      <w:proofErr w:type="spellEnd"/>
      <w:r>
        <w:t xml:space="preserve"> (Kap. 4) oder als </w:t>
      </w:r>
      <w:proofErr w:type="spellStart"/>
      <w:r>
        <w:t>Axiomenstruktur</w:t>
      </w:r>
      <w:proofErr w:type="spellEnd"/>
      <w:r>
        <w:t xml:space="preserve"> (Kap. 5). Kapitel 3 dient der Einführung der Grundidee, die mathematisch in Anhang 3.A und den Kapiteln 4–5 präzise ausgearbeitet wird.</w:t>
      </w:r>
    </w:p>
    <w:p w14:paraId="69FAE8F9" w14:textId="77777777" w:rsidR="0005621D" w:rsidRDefault="0005621D" w:rsidP="0005621D">
      <w:r>
        <w:t>Für mich ist dieses Modell nicht nur ein theoretisches Konstrukt. Es ist zugleich ein didaktischer Prüfstein. Denn wenn ein System tatsächlich in der Lage ist, Begriffe wie Raum, Zeit oder Handlung aus einer leeren Ausgangslage heraus zu generieren, dann muss sich genau dieser Prozess auch lehr- und lernbar machen. Didaktik ist hier nicht Beiwerk, sondern Bewährungsprobe: Sie zeigt, ob sich die Logik des FRZK so durchspielen lässt, dass Lernende die Entstehung von Ordnung selbst nachvollziehen können.</w:t>
      </w:r>
      <w:r>
        <w:br/>
        <w:t>In diesem Sinne dient die Didaktik nicht bloß als Beispielanwendung, sondern als Test auf Kohärenz. Was sich nicht didaktisch rekonstruieren lässt, bleibt leere Behauptung. Was aber im Lernprozess sichtbar, erlebbar und nachvollziehbar wird, bestätigt die innere Logik des Modells. Diese doppelte Funktion – Modell und Prüfstein – bestimmt die Architektur des gesamten Kapitels und eröffnet zugleich die Brücke zu den praktischen Anwendungen in Kapitel 6.</w:t>
      </w:r>
    </w:p>
    <w:p w14:paraId="59C89643" w14:textId="77777777" w:rsidR="0005621D" w:rsidRDefault="0005621D" w:rsidP="0005621D">
      <w:r>
        <w:t xml:space="preserve">Als Didaktiker und Entwickler sehe ich hier ein enormes Potenzial: Komplexe Begriffe können nicht mehr nur vermittelt, sondern hergeleitet werden – durch transparente Konstruktion. Die Prozesse, durch die Ordnung entsteht, werden selbst zum Gegenstand des Lernens (Fischer, Andreas, Wiesner, Hartmut, &amp; Ralle, Bernd, 2012, </w:t>
      </w:r>
      <w:r>
        <w:rPr>
          <w:rStyle w:val="Hervorhebung"/>
        </w:rPr>
        <w:t>Lernen durch Modellieren</w:t>
      </w:r>
      <w:r>
        <w:t>, Berlin: Springer, S. 18–21) [7]. Was folgt, ist kein Kapitel über ein Thema. Es ist ein Kapitel über ein System. Es ist mein System. Und es ist umfangreich – weil es Schichten von Emergenz, Zuweisung und Reflexion sichtbar machen will.</w:t>
      </w:r>
    </w:p>
    <w:p w14:paraId="7F396134" w14:textId="77777777" w:rsidR="0005621D" w:rsidRDefault="0005621D" w:rsidP="0005621D">
      <w:r>
        <w:t>Kurz gesagt: Kapitel 3 ist lang, weil es vollständig, anschlussfähig und reflexiv ist. Es will keine Struktur behaupten, sondern sie konstruieren – sichtbar, nachvollziehbar, lernbar. Eine vollständige Beschreibung der verwendeten Gleichungen und Funktionen würde den Rahmen des Kapitels sprengen. Deshalb werden in Kapitel 3 nur die entsprechenden Formeln und Funktionen genannt. Jede Gleichung wird in „Anhang 3.A – Übersicht -Symbolgebrauch und Funktionsnotation“ mit Bedeutung der Notation, Interpretation, Beispiel zur Bedeutung und Zusammenfassung genau erläutert.</w:t>
      </w:r>
    </w:p>
    <w:p w14:paraId="5752F210" w14:textId="77777777" w:rsidR="0005621D" w:rsidRDefault="0005621D" w:rsidP="0005621D">
      <w:r>
        <w:t>Warum ich diesen Weg gehe: Drei Gründe.</w:t>
      </w:r>
    </w:p>
    <w:p w14:paraId="241D387D" w14:textId="77777777" w:rsidR="0005621D" w:rsidRDefault="0005621D" w:rsidP="0005621D">
      <w:pPr>
        <w:pStyle w:val="Listenabsatz"/>
        <w:numPr>
          <w:ilvl w:val="0"/>
          <w:numId w:val="5"/>
        </w:numPr>
        <w:spacing w:after="120"/>
      </w:pPr>
      <w:r>
        <w:rPr>
          <w:rStyle w:val="Fett"/>
        </w:rPr>
        <w:t>Iterative Tiefenstruktur</w:t>
      </w:r>
      <w:r>
        <w:t>: Ich entwickle keine Definitionen – ich entwickle Ableitungen. Jeder Begriff – ob Raum, Dynamik, Handlung oder Kausalität – entsteht aus vorangegangenen Funktionszuweisungen. Und diese brauchen Kontext, Zwischenschritte und ein Gespür für Übergänge.</w:t>
      </w:r>
    </w:p>
    <w:p w14:paraId="100CE3BD" w14:textId="77777777" w:rsidR="0005621D" w:rsidRDefault="0005621D" w:rsidP="0005621D">
      <w:pPr>
        <w:pStyle w:val="Listenabsatz"/>
        <w:numPr>
          <w:ilvl w:val="0"/>
          <w:numId w:val="5"/>
        </w:numPr>
        <w:spacing w:after="120"/>
      </w:pPr>
      <w:r>
        <w:rPr>
          <w:rStyle w:val="Fett"/>
        </w:rPr>
        <w:t>Transdisziplinäre Anschlussfähigkeit</w:t>
      </w:r>
      <w:r>
        <w:t>: Das FRZK ist anschlussfähig in Physik, Philosophie, Systemtheorie und Didaktik. Wer eine Formel will, bekommt sie – aber mit dem Wissen, woher sie kommt und wozu sie dient. Deshalb muss der Text mehrstimmig bleiben, ohne beliebig zu werden.</w:t>
      </w:r>
    </w:p>
    <w:p w14:paraId="59897258" w14:textId="77777777" w:rsidR="0005621D" w:rsidRDefault="0005621D" w:rsidP="0005621D">
      <w:pPr>
        <w:pStyle w:val="Listenabsatz"/>
        <w:numPr>
          <w:ilvl w:val="0"/>
          <w:numId w:val="5"/>
        </w:numPr>
        <w:spacing w:after="120"/>
      </w:pPr>
      <w:r>
        <w:rPr>
          <w:rStyle w:val="Fett"/>
        </w:rPr>
        <w:t>Reflexive Methodik</w:t>
      </w:r>
      <w:r>
        <w:t>: Dieses Kapitel zeigt nicht nur, was modelliert wird, sondern auch wie und warum. Es enthält metakognitive Rückbezüge, methodische Schleifen und erkenntnistheoretische Spiegelungen. Es ist ein Modell – aber eben auch ein Modell des Modellierens.</w:t>
      </w:r>
    </w:p>
    <w:p w14:paraId="08F48C03" w14:textId="77777777" w:rsidR="0005621D" w:rsidRDefault="0005621D" w:rsidP="0005621D">
      <w:r>
        <w:t>Ich schreibe für all jene, die Komplexität nicht scheuen, sondern verstehen wollen, wie man sie aufbaut – und wieder zurückführen kann. Das Kapitel ist bewusst didaktisch anschlussfähig: konzeptionell, indem es zeigt, wie Differenz, Koordination oder Feldstrukturen schrittweise erzeugt werden (</w:t>
      </w:r>
      <w:proofErr w:type="spellStart"/>
      <w:r>
        <w:t>Flavell</w:t>
      </w:r>
      <w:proofErr w:type="spellEnd"/>
      <w:r>
        <w:t xml:space="preserve">, John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In: American </w:t>
      </w:r>
      <w:proofErr w:type="spellStart"/>
      <w:r>
        <w:t>Psychologist</w:t>
      </w:r>
      <w:proofErr w:type="spellEnd"/>
      <w:r>
        <w:t>, 34(10), S. 906–911) [8], methodisch, indem es ein funktionales Rahmenmodell bereitstellt – anwendbar etwa in der Physik (</w:t>
      </w:r>
      <w:proofErr w:type="spellStart"/>
      <w:r>
        <w:t>Misner</w:t>
      </w:r>
      <w:proofErr w:type="spellEnd"/>
      <w:r>
        <w:t xml:space="preserve">, Charles W., Thorne, </w:t>
      </w:r>
      <w:proofErr w:type="spellStart"/>
      <w:r>
        <w:t>Kip</w:t>
      </w:r>
      <w:proofErr w:type="spellEnd"/>
      <w:r>
        <w:t xml:space="preserve"> S., &amp; Wheeler, John Archibald, 1973, </w:t>
      </w:r>
      <w:r>
        <w:rPr>
          <w:rStyle w:val="Hervorhebung"/>
        </w:rPr>
        <w:t>Gravitation</w:t>
      </w:r>
      <w:r>
        <w:t>, San Francisco: Freeman, S. 31–36) [9], der Mathematik (</w:t>
      </w:r>
      <w:proofErr w:type="spellStart"/>
      <w:r>
        <w:t>Spivak</w:t>
      </w:r>
      <w:proofErr w:type="spellEnd"/>
      <w:r>
        <w:t xml:space="preserve">, Michael,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1, Houston: Publish </w:t>
      </w:r>
      <w:proofErr w:type="spellStart"/>
      <w:r>
        <w:t>or</w:t>
      </w:r>
      <w:proofErr w:type="spellEnd"/>
      <w:r>
        <w:t xml:space="preserve"> </w:t>
      </w:r>
      <w:proofErr w:type="spellStart"/>
      <w:r>
        <w:t>Perish</w:t>
      </w:r>
      <w:proofErr w:type="spellEnd"/>
      <w:r>
        <w:t>, Kap. 1) [10], der Intentionalitätsforschung (</w:t>
      </w:r>
      <w:proofErr w:type="spellStart"/>
      <w:r>
        <w:t>Dennett</w:t>
      </w:r>
      <w:proofErr w:type="spellEnd"/>
      <w:r>
        <w:t xml:space="preserve">, Daniel C., 1978, </w:t>
      </w:r>
      <w:proofErr w:type="spellStart"/>
      <w:r>
        <w:rPr>
          <w:rStyle w:val="Hervorhebung"/>
        </w:rPr>
        <w:t>Brainstorms</w:t>
      </w:r>
      <w:proofErr w:type="spellEnd"/>
      <w:r>
        <w:rPr>
          <w:rStyle w:val="Hervorhebung"/>
        </w:rPr>
        <w:t xml:space="preserve">: </w:t>
      </w:r>
      <w:proofErr w:type="spellStart"/>
      <w:r>
        <w:rPr>
          <w:rStyle w:val="Hervorhebung"/>
        </w:rPr>
        <w:t>Philosophical</w:t>
      </w:r>
      <w:proofErr w:type="spellEnd"/>
      <w:r>
        <w:rPr>
          <w:rStyle w:val="Hervorhebung"/>
        </w:rPr>
        <w:t xml:space="preserve"> Essays on </w:t>
      </w:r>
      <w:proofErr w:type="spellStart"/>
      <w:r>
        <w:rPr>
          <w:rStyle w:val="Hervorhebung"/>
        </w:rPr>
        <w:t>Mind</w:t>
      </w:r>
      <w:proofErr w:type="spellEnd"/>
      <w:r>
        <w:rPr>
          <w:rStyle w:val="Hervorhebung"/>
        </w:rPr>
        <w:t xml:space="preserve"> and </w:t>
      </w:r>
      <w:proofErr w:type="spellStart"/>
      <w:r>
        <w:rPr>
          <w:rStyle w:val="Hervorhebung"/>
        </w:rPr>
        <w:t>Psychology</w:t>
      </w:r>
      <w:proofErr w:type="spellEnd"/>
      <w:r>
        <w:t xml:space="preserve">, Cambridge, MA: MIT Press, S. 76–80) [11] oder der formalen Philosophie (Montague, Richard, 1974, </w:t>
      </w:r>
      <w:r>
        <w:rPr>
          <w:rStyle w:val="Hervorhebung"/>
        </w:rPr>
        <w:t>Formal Philosophy: Selected Papers</w:t>
      </w:r>
      <w:r>
        <w:t>, New Haven: Yale University Press, S. 115–117) [12].</w:t>
      </w:r>
    </w:p>
    <w:p w14:paraId="28AC141A" w14:textId="77777777" w:rsidR="0005621D" w:rsidRDefault="0005621D" w:rsidP="0005621D">
      <w:r>
        <w:t xml:space="preserve">Wer also </w:t>
      </w:r>
      <w:proofErr w:type="gramStart"/>
      <w:r>
        <w:t>lehren</w:t>
      </w:r>
      <w:proofErr w:type="gramEnd"/>
      <w:r>
        <w:t xml:space="preserve">, modellieren oder verstehen will, wie Ordnung aus dem Nichts entsteht, wird in diesem Kapitel keine Antworten finden – sondern Wege, um sie selbst zu entwickeln. Die hier vorgeschlagene Perspektive erlaubt es, Bezug nicht mehr als statischen Rahmen, sondern als dynamischen, durch Funktionszuweisung und Beobachtung emergierenden Prozess zu verstehen – und daraus Konsequenzen für Lehre, Modellbildung und Forschung zu ziehen (von Foerster, Heinz, 1979,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BCL Report) [13].</w:t>
      </w:r>
    </w:p>
    <w:p w14:paraId="6C8BE815" w14:textId="77777777" w:rsidR="0005621D" w:rsidRPr="005722E8" w:rsidRDefault="0005621D" w:rsidP="0005621D">
      <w:r w:rsidRPr="005722E8">
        <w:t>Das FRZK ist kein reines Gedankenspiel. Seine Anwendbarkeit lässt sich empirisch überprüfen, indem Lernende oder Forschende mit offenen Modellierungsaufgaben konfrontiert werden, bei denen Raum und Zeit nicht vorgegeben, sondern erzeugt werden müssen. Die Frage lautet dann: Welche Strukturen entstehen tatsächlich, wenn man den Nullpunkt ernst nimmt – und wie unterscheiden sich diese von klassischen Vorgehensweisen?</w:t>
      </w:r>
      <w:r>
        <w:t xml:space="preserve"> Ein klassisches Beispiel ist die Erarbeitung eines Settings für die Frage, „Wie würdest du deinem besten Freund/deiner besten Freundin eine lineare Gleichung erklären.“. (Siehe Kapitel 1).</w:t>
      </w:r>
    </w:p>
    <w:p w14:paraId="4E536823" w14:textId="77777777" w:rsidR="0005621D" w:rsidRDefault="0005621D" w:rsidP="0005621D"/>
    <w:p w14:paraId="70CEDFF4" w14:textId="3B07A4C8" w:rsidR="0005621D" w:rsidRDefault="0005621D" w:rsidP="0005621D">
      <w:pPr>
        <w:pStyle w:val="Abbildungsname"/>
        <w:rPr>
          <w:noProof/>
        </w:rPr>
      </w:pPr>
      <w:r w:rsidRPr="006B3A05">
        <w:rPr>
          <w:noProof/>
        </w:rPr>
        <w:drawing>
          <wp:inline distT="0" distB="0" distL="0" distR="0" wp14:anchorId="19B8D22E" wp14:editId="2B501A24">
            <wp:extent cx="2876550" cy="3171825"/>
            <wp:effectExtent l="0" t="0" r="0" b="0"/>
            <wp:docPr id="1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5">
                      <a:extLst>
                        <a:ext uri="{28A0092B-C50C-407E-A947-70E740481C1C}">
                          <a14:useLocalDpi xmlns:a14="http://schemas.microsoft.com/office/drawing/2010/main" val="0"/>
                        </a:ext>
                      </a:extLst>
                    </a:blip>
                    <a:srcRect t="20995" b="5403"/>
                    <a:stretch>
                      <a:fillRect/>
                    </a:stretch>
                  </pic:blipFill>
                  <pic:spPr bwMode="auto">
                    <a:xfrm>
                      <a:off x="0" y="0"/>
                      <a:ext cx="2876550" cy="3171825"/>
                    </a:xfrm>
                    <a:prstGeom prst="rect">
                      <a:avLst/>
                    </a:prstGeom>
                    <a:noFill/>
                    <a:ln>
                      <a:noFill/>
                    </a:ln>
                  </pic:spPr>
                </pic:pic>
              </a:graphicData>
            </a:graphic>
          </wp:inline>
        </w:drawing>
      </w:r>
    </w:p>
    <w:p w14:paraId="4B727A4B" w14:textId="77777777" w:rsidR="0005621D" w:rsidRDefault="0005621D" w:rsidP="0005621D">
      <w:pPr>
        <w:pStyle w:val="Abbildungsname"/>
      </w:pPr>
      <w:r>
        <w:rPr>
          <w:noProof/>
        </w:rPr>
        <w:t>Abb. 1 -Iterative Konstruktion eines funktionalen Bezugssystems</w:t>
      </w:r>
    </w:p>
    <w:p w14:paraId="350058F8" w14:textId="77777777" w:rsidR="0005621D" w:rsidRDefault="0005621D" w:rsidP="0005621D">
      <w:pPr>
        <w:pStyle w:val="berschrift2"/>
        <w:rPr>
          <w:sz w:val="36"/>
          <w:szCs w:val="36"/>
        </w:rPr>
      </w:pPr>
      <w:r>
        <w:t>3.1 Ausgangspunkt: Das Nichts (</w:t>
      </w:r>
      <w:r>
        <w:rPr>
          <w:rFonts w:ascii="Cambria Math" w:hAnsi="Cambria Math" w:cs="Cambria Math"/>
        </w:rPr>
        <w:t>∅</w:t>
      </w:r>
      <w:r>
        <w:t xml:space="preserve">) </w:t>
      </w:r>
      <w:r>
        <w:rPr>
          <w:rFonts w:cs="Calibri Light"/>
        </w:rPr>
        <w:t>–</w:t>
      </w:r>
      <w:r>
        <w:t xml:space="preserve"> Philosophische und mathematische Fundierung</w:t>
      </w:r>
    </w:p>
    <w:p w14:paraId="6961E72D" w14:textId="77777777" w:rsidR="0005621D" w:rsidRDefault="0005621D" w:rsidP="0005621D">
      <w:pPr>
        <w:pStyle w:val="StandardWeb"/>
      </w:pPr>
      <w:r>
        <w:t xml:space="preserve">Wenn ich den Ausgangspunkt meines Funktionalen Raum-Zeit-Kohärenzsystems (FRZK) bestimmen soll, drängt sich mir das Nichts auf. Alles andere – jede Setzung, jede gegebene Entität – wäre bereits eine Einschränkung. Nur das </w:t>
      </w:r>
      <w:r>
        <w:rPr>
          <w:rStyle w:val="Fett"/>
        </w:rPr>
        <w:t>Nichts</w:t>
      </w:r>
      <w:r>
        <w:t xml:space="preserve">, genauer: die </w:t>
      </w:r>
      <w:r>
        <w:rPr>
          <w:rStyle w:val="Fett"/>
        </w:rPr>
        <w:t xml:space="preserve">leere Menge </w:t>
      </w:r>
      <w:r>
        <w:rPr>
          <w:rStyle w:val="Fett"/>
          <w:rFonts w:ascii="Cambria Math" w:hAnsi="Cambria Math" w:cs="Cambria Math"/>
        </w:rPr>
        <w:t>∅</w:t>
      </w:r>
      <w:r>
        <w:t xml:space="preserve">, eröffnet mir den radikalsten, aber zugleich produktivsten Startpunkt. Denn </w:t>
      </w:r>
      <w:r>
        <w:rPr>
          <w:rFonts w:ascii="Cambria Math" w:hAnsi="Cambria Math" w:cs="Cambria Math"/>
        </w:rPr>
        <w:t>∅</w:t>
      </w:r>
      <w:r>
        <w:t xml:space="preserve"> ist nicht einfach Abwesenheit, sondern die </w:t>
      </w:r>
      <w:r>
        <w:rPr>
          <w:rStyle w:val="Fett"/>
        </w:rPr>
        <w:t>reinste Form von Offenheit</w:t>
      </w:r>
      <w:r>
        <w:t>: Sie enthält nichts, schließt nichts ein, lässt aber jede mögliche Entfaltung zu.</w:t>
      </w:r>
    </w:p>
    <w:p w14:paraId="6BEE9551" w14:textId="77777777" w:rsidR="0005621D" w:rsidRDefault="0005621D" w:rsidP="0005621D">
      <w:r>
        <w:pict w14:anchorId="3A5EF73C">
          <v:rect id="_x0000_i1025" style="width:0;height:1.5pt" o:hralign="center" o:hrstd="t" o:hr="t" fillcolor="#a0a0a0" stroked="f"/>
        </w:pict>
      </w:r>
    </w:p>
    <w:p w14:paraId="3AE33AD0" w14:textId="77777777" w:rsidR="0005621D" w:rsidRDefault="0005621D" w:rsidP="0005621D">
      <w:pPr>
        <w:pStyle w:val="berschrift3"/>
      </w:pPr>
      <w:r>
        <w:t>3.1.1 Mathematische Fundierung: Die leere Menge</w:t>
      </w:r>
    </w:p>
    <w:p w14:paraId="3A54171A" w14:textId="77777777" w:rsidR="0005621D" w:rsidRDefault="0005621D" w:rsidP="0005621D">
      <w:pPr>
        <w:pStyle w:val="StandardWeb"/>
      </w:pPr>
      <w:r>
        <w:t>In der Mathematik ist dieser Gedanke formal gesichert. Das Leermengenaxiom lautet:</w:t>
      </w:r>
    </w:p>
    <w:p w14:paraId="0C8D526B" w14:textId="065F8D62" w:rsidR="00EB3E81" w:rsidRPr="00EB3E81" w:rsidRDefault="00EB3E81" w:rsidP="00EB3E81">
      <w:pPr>
        <w:pStyle w:val="Formel"/>
      </w:pPr>
      <m:oMath>
        <m:r>
          <w:rPr>
            <w:rStyle w:val="katex-mathml"/>
            <w:rFonts w:cs="Cambria Math"/>
          </w:rPr>
          <m:t>∃∅∀</m:t>
        </m:r>
        <m:r>
          <w:rPr>
            <w:rStyle w:val="katex-mathml"/>
          </w:rPr>
          <m:t>x (x</m:t>
        </m:r>
        <m:r>
          <w:rPr>
            <w:rStyle w:val="katex-mathml"/>
            <w:rFonts w:cs="Cambria Math"/>
          </w:rPr>
          <m:t>∉∅</m:t>
        </m:r>
        <m:r>
          <w:rPr>
            <w:rStyle w:val="katex-mathml"/>
          </w:rPr>
          <m:t>)</m:t>
        </m:r>
      </m:oMath>
      <w:r w:rsidRPr="00EB3E81">
        <w:rPr>
          <w:rStyle w:val="katex-mathml"/>
          <w:bCs/>
        </w:rPr>
        <w:tab/>
        <w:t>(1)</w:t>
      </w:r>
    </w:p>
    <w:p w14:paraId="76E1502E" w14:textId="77777777" w:rsidR="0005621D" w:rsidRDefault="0005621D" w:rsidP="0005621D">
      <w:pPr>
        <w:pStyle w:val="StandardWeb"/>
      </w:pPr>
      <w:r>
        <w:t>(</w:t>
      </w:r>
      <w:proofErr w:type="spellStart"/>
      <w:r>
        <w:t>Suppes</w:t>
      </w:r>
      <w:proofErr w:type="spellEnd"/>
      <w:r>
        <w:t xml:space="preserve">, </w:t>
      </w:r>
      <w:proofErr w:type="spellStart"/>
      <w:r>
        <w:rPr>
          <w:rStyle w:val="Hervorhebung"/>
        </w:rPr>
        <w:t>Axiomatic</w:t>
      </w:r>
      <w:proofErr w:type="spellEnd"/>
      <w:r>
        <w:rPr>
          <w:rStyle w:val="Hervorhebung"/>
        </w:rPr>
        <w:t xml:space="preserve"> Set Theory</w:t>
      </w:r>
      <w:r>
        <w:t>, 1972, S. 1).</w:t>
      </w:r>
    </w:p>
    <w:p w14:paraId="3CCDE7CD" w14:textId="77777777" w:rsidR="0005621D" w:rsidRDefault="0005621D" w:rsidP="0005621D">
      <w:pPr>
        <w:pStyle w:val="StandardWeb"/>
      </w:pPr>
      <w:r>
        <w:rPr>
          <w:rFonts w:ascii="Cambria Math" w:hAnsi="Cambria Math" w:cs="Cambria Math"/>
        </w:rPr>
        <w:t>∅</w:t>
      </w:r>
      <w:r>
        <w:t xml:space="preserve"> ist als „etwas“ definiert, obwohl es </w:t>
      </w:r>
      <w:r>
        <w:rPr>
          <w:rStyle w:val="Fett"/>
        </w:rPr>
        <w:t>kein Element</w:t>
      </w:r>
      <w:r>
        <w:t xml:space="preserve"> enthält. Cantor hat das Grundprinzip formuliert:</w:t>
      </w:r>
    </w:p>
    <w:p w14:paraId="683B0C3F" w14:textId="77777777" w:rsidR="00F152E1" w:rsidRDefault="00F152E1" w:rsidP="00F152E1">
      <w:pPr>
        <w:pStyle w:val="Zitat"/>
      </w:pPr>
      <w:r>
        <w:t>„Unter einer ‚Menge‘ verstehen wir jede Zusammenfassung M von bestimmten, wohlunterschiedenen Objekten m unserer Anschauung oder unseres Denkens …“</w:t>
      </w:r>
      <w:r>
        <w:br/>
        <w:t xml:space="preserve">(Cantor, Georg: </w:t>
      </w:r>
      <w:r>
        <w:rPr>
          <w:rStyle w:val="Hervorhebung"/>
        </w:rPr>
        <w:t>Beiträge zur Begründung der transfiniten Mengenlehre</w:t>
      </w:r>
      <w:r>
        <w:t>, Mathematische Annalen 46, 1895, S. 481).</w:t>
      </w:r>
    </w:p>
    <w:p w14:paraId="0BCE37BD" w14:textId="77777777" w:rsidR="0005621D" w:rsidRDefault="0005621D" w:rsidP="0005621D">
      <w:pPr>
        <w:pStyle w:val="StandardWeb"/>
      </w:pPr>
      <w:r>
        <w:t xml:space="preserve">Die leere Menge ist genau diese Zusammenfassung ohne Objekte. Für mich liegt darin der entscheidende Vorteil: </w:t>
      </w:r>
      <w:r>
        <w:rPr>
          <w:rStyle w:val="Fett"/>
        </w:rPr>
        <w:t>Alles Weitere kann aus ihr konstruiert werden</w:t>
      </w:r>
      <w:r>
        <w:t xml:space="preserve"> – ohne Vorannahmen. Beginne ich mit einem „Etwas“, bin ich an dieses Etwas gebunden. Beginne ich mit </w:t>
      </w:r>
      <w:r>
        <w:rPr>
          <w:rFonts w:ascii="Cambria Math" w:hAnsi="Cambria Math" w:cs="Cambria Math"/>
        </w:rPr>
        <w:t>∅</w:t>
      </w:r>
      <w:r>
        <w:t xml:space="preserve">, bin ich </w:t>
      </w:r>
      <w:r>
        <w:rPr>
          <w:rStyle w:val="Fett"/>
        </w:rPr>
        <w:t>frei</w:t>
      </w:r>
      <w:r>
        <w:t>.</w:t>
      </w:r>
    </w:p>
    <w:p w14:paraId="013D00B1" w14:textId="77777777" w:rsidR="0005621D" w:rsidRDefault="0005621D" w:rsidP="0005621D">
      <w:r>
        <w:pict w14:anchorId="683F7ABB">
          <v:rect id="_x0000_i1026" style="width:0;height:1.5pt" o:hralign="center" o:hrstd="t" o:hr="t" fillcolor="#a0a0a0" stroked="f"/>
        </w:pict>
      </w:r>
    </w:p>
    <w:p w14:paraId="1C502E2A" w14:textId="77777777" w:rsidR="0005621D" w:rsidRDefault="0005621D" w:rsidP="0005621D">
      <w:pPr>
        <w:pStyle w:val="berschrift3"/>
      </w:pPr>
      <w:r>
        <w:t>3.1.2 Philosophische Implikationen</w:t>
      </w:r>
    </w:p>
    <w:p w14:paraId="7A444827" w14:textId="77777777" w:rsidR="00EB3E81" w:rsidRDefault="00EB3E81" w:rsidP="00EB3E81">
      <w:pPr>
        <w:pStyle w:val="StandardWeb"/>
      </w:pPr>
      <w:r>
        <w:t>Philosophisch wird das Nichts nicht weniger spannend. Heidegger stellt die irritierende Frage:</w:t>
      </w:r>
    </w:p>
    <w:p w14:paraId="289109E3" w14:textId="021C47B1" w:rsidR="00EB3E81" w:rsidRDefault="00EB3E81" w:rsidP="009F6984">
      <w:pPr>
        <w:pStyle w:val="Zitat"/>
      </w:pPr>
      <w:r>
        <w:t>„Was ist eigentlich mit diesem Nichts? Offenbar erfahren wir es, wenn wir es erfahren, im Grunde als das, was das Sein als solches ermöglicht.“</w:t>
      </w:r>
      <w:r w:rsidR="009F6984">
        <w:t xml:space="preserve"> </w:t>
      </w:r>
      <w:r>
        <w:t xml:space="preserve">(Heidegger, Martin: </w:t>
      </w:r>
      <w:r>
        <w:rPr>
          <w:rStyle w:val="Hervorhebung"/>
        </w:rPr>
        <w:t xml:space="preserve">Was ist </w:t>
      </w:r>
      <w:proofErr w:type="gramStart"/>
      <w:r>
        <w:rPr>
          <w:rStyle w:val="Hervorhebung"/>
        </w:rPr>
        <w:t>Metaphysik?</w:t>
      </w:r>
      <w:r>
        <w:t>,</w:t>
      </w:r>
      <w:proofErr w:type="gramEnd"/>
      <w:r>
        <w:t xml:space="preserve"> Vortrag 1929, in: </w:t>
      </w:r>
      <w:proofErr w:type="spellStart"/>
      <w:r>
        <w:t>Ders</w:t>
      </w:r>
      <w:proofErr w:type="spellEnd"/>
      <w:r>
        <w:t xml:space="preserve">.: </w:t>
      </w:r>
      <w:r>
        <w:rPr>
          <w:rStyle w:val="Hervorhebung"/>
        </w:rPr>
        <w:t>Unterwegs zur Sprache</w:t>
      </w:r>
      <w:r>
        <w:t>. Gesamtausgabe Bd. 9, Frankfurt/M.: Klostermann, 1976, S. 103).</w:t>
      </w:r>
    </w:p>
    <w:p w14:paraId="5F351DE8" w14:textId="77777777" w:rsidR="00EB3E81" w:rsidRDefault="00EB3E81" w:rsidP="00EB3E81">
      <w:pPr>
        <w:pStyle w:val="StandardWeb"/>
      </w:pPr>
      <w:r>
        <w:t>Deleuze geht noch weiter. Er insistiert, dass Differenz vor Identität kommt:</w:t>
      </w:r>
    </w:p>
    <w:p w14:paraId="13C94252" w14:textId="4CE69350" w:rsidR="00EB3E81" w:rsidRDefault="00EB3E81" w:rsidP="009F6984">
      <w:pPr>
        <w:pStyle w:val="Zitat"/>
      </w:pPr>
      <w:r>
        <w:t>„Die Differenz ist nicht sekundär, sie ist nicht aus der Identität abzuleiten, sondern die Identität ist eine Wirkung der Differenz selbst.“</w:t>
      </w:r>
      <w:r w:rsidR="009F6984">
        <w:t xml:space="preserve"> </w:t>
      </w:r>
      <w:r>
        <w:t xml:space="preserve">(Deleuze,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xml:space="preserve">, Paris: PUF, 1968; dt.: </w:t>
      </w:r>
      <w:r>
        <w:rPr>
          <w:rStyle w:val="Hervorhebung"/>
        </w:rPr>
        <w:t>Differenz und Wiederholung</w:t>
      </w:r>
      <w:r>
        <w:t>, München: Fink, 1992, S. 56).</w:t>
      </w:r>
    </w:p>
    <w:p w14:paraId="7785F5EA" w14:textId="79C03F5C" w:rsidR="0005621D" w:rsidRDefault="0005621D" w:rsidP="0005621D">
      <w:pPr>
        <w:pStyle w:val="StandardWeb"/>
      </w:pPr>
      <w:r>
        <w:t xml:space="preserve">Das Nichts ist hier nicht Ende, sondern Bedingung für Sein. Wenn ich mit Differenz beginne – und das Nichts ist die reinste Form von Differenz zum Etwas –, entsteht </w:t>
      </w:r>
      <w:r>
        <w:rPr>
          <w:rStyle w:val="Fett"/>
        </w:rPr>
        <w:t>Produktivität</w:t>
      </w:r>
      <w:r>
        <w:t>: Es zwingt zu Entwicklung, statt sich mit Identität zu begnügen. Weyl sagt:</w:t>
      </w:r>
    </w:p>
    <w:p w14:paraId="53A0F9A9" w14:textId="448D1DA8" w:rsidR="00EB3E81" w:rsidRDefault="00EB3E81" w:rsidP="009F6984">
      <w:pPr>
        <w:pStyle w:val="Zitat"/>
      </w:pPr>
      <w:r>
        <w:t>„Die Form kommt aus dem Formlosen.“</w:t>
      </w:r>
      <w:r>
        <w:t xml:space="preserve"> </w:t>
      </w:r>
      <w:r>
        <w:t xml:space="preserve">(Weyl, Hermann: </w:t>
      </w:r>
      <w:r>
        <w:rPr>
          <w:rStyle w:val="Hervorhebung"/>
        </w:rPr>
        <w:t>Philosophie der Mathematik und Naturwissenschaften</w:t>
      </w:r>
      <w:r>
        <w:t xml:space="preserve">, München: </w:t>
      </w:r>
      <w:proofErr w:type="spellStart"/>
      <w:r>
        <w:t>Oldenbourg</w:t>
      </w:r>
      <w:proofErr w:type="spellEnd"/>
      <w:r>
        <w:t>, 1927, S. 7).</w:t>
      </w:r>
    </w:p>
    <w:p w14:paraId="245C532E" w14:textId="43A97211" w:rsidR="0005621D" w:rsidRDefault="00EB3E81" w:rsidP="0005621D">
      <w:pPr>
        <w:pStyle w:val="StandardWeb"/>
      </w:pPr>
      <w:r>
        <w:t>Genau dieser Gedanke trägt meine Modellbildung.</w:t>
      </w:r>
      <w:r>
        <w:t xml:space="preserve"> </w:t>
      </w:r>
      <w:r w:rsidR="0005621D">
        <w:t>Gerade weil das Nichts keine Form vorgibt, ist es der produktivste Ausgangspunkt für jede Formbildung.</w:t>
      </w:r>
    </w:p>
    <w:p w14:paraId="04EFD60B" w14:textId="77777777" w:rsidR="0005621D" w:rsidRDefault="0005621D" w:rsidP="0005621D">
      <w:r>
        <w:pict w14:anchorId="66545224">
          <v:rect id="_x0000_i1027" style="width:0;height:1.5pt" o:hralign="center" o:hrstd="t" o:hr="t" fillcolor="#a0a0a0" stroked="f"/>
        </w:pict>
      </w:r>
    </w:p>
    <w:p w14:paraId="7FF31EA9" w14:textId="77777777" w:rsidR="0005621D" w:rsidRDefault="0005621D" w:rsidP="0005621D">
      <w:pPr>
        <w:pStyle w:val="berschrift3"/>
      </w:pPr>
      <w:r>
        <w:t>3.1.3 Physikalische Lesart</w:t>
      </w:r>
    </w:p>
    <w:p w14:paraId="2CEC4237" w14:textId="0D0ADD85" w:rsidR="0005621D" w:rsidRDefault="0005621D" w:rsidP="0005621D">
      <w:pPr>
        <w:pStyle w:val="StandardWeb"/>
      </w:pPr>
      <w:r>
        <w:t>Penrose schreibt:</w:t>
      </w:r>
    </w:p>
    <w:p w14:paraId="7EB50587" w14:textId="77777777" w:rsidR="0005621D" w:rsidRDefault="0005621D" w:rsidP="009F6984">
      <w:pPr>
        <w:pStyle w:val="Zitat"/>
      </w:pPr>
      <w:r>
        <w:t xml:space="preserve">„The </w:t>
      </w:r>
      <w:proofErr w:type="spellStart"/>
      <w:r>
        <w:t>vacuum</w:t>
      </w:r>
      <w:proofErr w:type="spellEnd"/>
      <w:r>
        <w:t xml:space="preserve"> </w:t>
      </w:r>
      <w:proofErr w:type="spellStart"/>
      <w:r>
        <w:t>is</w:t>
      </w:r>
      <w:proofErr w:type="spellEnd"/>
      <w:r>
        <w:t xml:space="preserve"> not ‘</w:t>
      </w:r>
      <w:proofErr w:type="spellStart"/>
      <w:r>
        <w:t>nothing</w:t>
      </w:r>
      <w:proofErr w:type="spellEnd"/>
      <w:r>
        <w:t xml:space="preserve">’. </w:t>
      </w:r>
      <w:proofErr w:type="spellStart"/>
      <w:r>
        <w:t>It</w:t>
      </w:r>
      <w:proofErr w:type="spellEnd"/>
      <w:r>
        <w:t xml:space="preserve"> </w:t>
      </w:r>
      <w:proofErr w:type="spellStart"/>
      <w:r>
        <w:t>is</w:t>
      </w:r>
      <w:proofErr w:type="spellEnd"/>
      <w:r>
        <w:t xml:space="preserve"> a </w:t>
      </w:r>
      <w:proofErr w:type="spellStart"/>
      <w:r>
        <w:t>highly</w:t>
      </w:r>
      <w:proofErr w:type="spellEnd"/>
      <w:r>
        <w:t xml:space="preserve"> </w:t>
      </w:r>
      <w:proofErr w:type="spellStart"/>
      <w:r>
        <w:t>active</w:t>
      </w:r>
      <w:proofErr w:type="spellEnd"/>
      <w:r>
        <w:t xml:space="preserve"> medium, </w:t>
      </w:r>
      <w:proofErr w:type="spellStart"/>
      <w:r>
        <w:t>seething</w:t>
      </w:r>
      <w:proofErr w:type="spellEnd"/>
      <w:r>
        <w:t xml:space="preserve"> </w:t>
      </w:r>
      <w:proofErr w:type="spellStart"/>
      <w:r>
        <w:t>with</w:t>
      </w:r>
      <w:proofErr w:type="spellEnd"/>
      <w:r>
        <w:t xml:space="preserve"> </w:t>
      </w:r>
      <w:proofErr w:type="spellStart"/>
      <w:r>
        <w:t>fluctuations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quantum</w:t>
      </w:r>
      <w:proofErr w:type="spellEnd"/>
      <w:r>
        <w:t xml:space="preserve"> </w:t>
      </w:r>
      <w:proofErr w:type="spellStart"/>
      <w:r>
        <w:t>fields</w:t>
      </w:r>
      <w:proofErr w:type="spellEnd"/>
      <w:r>
        <w:t>.“ (Penrose 2004: 495).</w:t>
      </w:r>
    </w:p>
    <w:p w14:paraId="2FE9ECEE" w14:textId="172C200B" w:rsidR="009334C2" w:rsidRDefault="009334C2" w:rsidP="009334C2">
      <w:pPr>
        <w:pStyle w:val="StandardWeb"/>
      </w:pPr>
      <w:r>
        <w:t xml:space="preserve">Auch die Physik zeigt, dass „Leere“ voller Potenzial ist. </w:t>
      </w:r>
      <w:r>
        <w:t xml:space="preserve"> </w:t>
      </w:r>
      <w:r>
        <w:t>Penrose schreibt:</w:t>
      </w:r>
    </w:p>
    <w:p w14:paraId="3C333DFA" w14:textId="0F6C20A2" w:rsidR="009334C2" w:rsidRDefault="009334C2" w:rsidP="009F6984">
      <w:pPr>
        <w:pStyle w:val="Zitat"/>
      </w:pPr>
      <w:r>
        <w:t xml:space="preserve">„The </w:t>
      </w:r>
      <w:proofErr w:type="spellStart"/>
      <w:r>
        <w:t>vacuum</w:t>
      </w:r>
      <w:proofErr w:type="spellEnd"/>
      <w:r>
        <w:t xml:space="preserve"> </w:t>
      </w:r>
      <w:proofErr w:type="spellStart"/>
      <w:r>
        <w:t>is</w:t>
      </w:r>
      <w:proofErr w:type="spellEnd"/>
      <w:r>
        <w:t xml:space="preserve"> not ‘</w:t>
      </w:r>
      <w:proofErr w:type="spellStart"/>
      <w:r>
        <w:t>nothing</w:t>
      </w:r>
      <w:proofErr w:type="spellEnd"/>
      <w:r>
        <w:t xml:space="preserve">’. </w:t>
      </w:r>
      <w:proofErr w:type="spellStart"/>
      <w:r>
        <w:t>It</w:t>
      </w:r>
      <w:proofErr w:type="spellEnd"/>
      <w:r>
        <w:t xml:space="preserve"> </w:t>
      </w:r>
      <w:proofErr w:type="spellStart"/>
      <w:r>
        <w:t>is</w:t>
      </w:r>
      <w:proofErr w:type="spellEnd"/>
      <w:r>
        <w:t xml:space="preserve"> a </w:t>
      </w:r>
      <w:proofErr w:type="spellStart"/>
      <w:r>
        <w:t>highly</w:t>
      </w:r>
      <w:proofErr w:type="spellEnd"/>
      <w:r>
        <w:t xml:space="preserve"> </w:t>
      </w:r>
      <w:proofErr w:type="spellStart"/>
      <w:r>
        <w:t>active</w:t>
      </w:r>
      <w:proofErr w:type="spellEnd"/>
      <w:r>
        <w:t xml:space="preserve"> medium, </w:t>
      </w:r>
      <w:proofErr w:type="spellStart"/>
      <w:r>
        <w:t>seething</w:t>
      </w:r>
      <w:proofErr w:type="spellEnd"/>
      <w:r>
        <w:t xml:space="preserve"> </w:t>
      </w:r>
      <w:proofErr w:type="spellStart"/>
      <w:r>
        <w:t>with</w:t>
      </w:r>
      <w:proofErr w:type="spellEnd"/>
      <w:r>
        <w:t xml:space="preserve"> </w:t>
      </w:r>
      <w:proofErr w:type="spellStart"/>
      <w:r>
        <w:t>fluctuations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quantum</w:t>
      </w:r>
      <w:proofErr w:type="spellEnd"/>
      <w:r>
        <w:t xml:space="preserve"> </w:t>
      </w:r>
      <w:proofErr w:type="spellStart"/>
      <w:r>
        <w:t>fields</w:t>
      </w:r>
      <w:proofErr w:type="spellEnd"/>
      <w:r>
        <w:t>.“</w:t>
      </w:r>
      <w:r>
        <w:t xml:space="preserve"> </w:t>
      </w:r>
      <w:r>
        <w:t xml:space="preserve">(Penrose, Roger: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London: Jonathan Cape, 2004, S. 495).</w:t>
      </w:r>
    </w:p>
    <w:p w14:paraId="14DD7FA8" w14:textId="77777777" w:rsidR="009334C2" w:rsidRDefault="009334C2" w:rsidP="009334C2">
      <w:pPr>
        <w:pStyle w:val="StandardWeb"/>
      </w:pPr>
      <w:r>
        <w:t>Witten zeigt in der Stringtheorie:</w:t>
      </w:r>
    </w:p>
    <w:p w14:paraId="10770FB9" w14:textId="7B144E4F" w:rsidR="009334C2" w:rsidRDefault="009334C2" w:rsidP="009F6984">
      <w:pPr>
        <w:pStyle w:val="Zitat"/>
      </w:pPr>
      <w:r>
        <w:t xml:space="preserve">„String </w:t>
      </w:r>
      <w:proofErr w:type="spellStart"/>
      <w:r>
        <w:t>theory</w:t>
      </w:r>
      <w:proofErr w:type="spellEnd"/>
      <w:r>
        <w:t xml:space="preserve"> </w:t>
      </w:r>
      <w:proofErr w:type="spellStart"/>
      <w:r>
        <w:t>reveals</w:t>
      </w:r>
      <w:proofErr w:type="spellEnd"/>
      <w:r>
        <w:t xml:space="preserve"> </w:t>
      </w:r>
      <w:proofErr w:type="spellStart"/>
      <w:r>
        <w:t>the</w:t>
      </w:r>
      <w:proofErr w:type="spellEnd"/>
      <w:r>
        <w:t xml:space="preserve"> </w:t>
      </w:r>
      <w:proofErr w:type="spellStart"/>
      <w:r>
        <w:t>vacuum</w:t>
      </w:r>
      <w:proofErr w:type="spellEnd"/>
      <w:r>
        <w:t xml:space="preserve"> </w:t>
      </w:r>
      <w:proofErr w:type="spellStart"/>
      <w:r>
        <w:t>as</w:t>
      </w:r>
      <w:proofErr w:type="spellEnd"/>
      <w:r>
        <w:t xml:space="preserve"> a </w:t>
      </w:r>
      <w:proofErr w:type="spellStart"/>
      <w:r>
        <w:t>dynamical</w:t>
      </w:r>
      <w:proofErr w:type="spellEnd"/>
      <w:r>
        <w:t xml:space="preserve"> </w:t>
      </w:r>
      <w:proofErr w:type="spellStart"/>
      <w:r>
        <w:t>arena</w:t>
      </w:r>
      <w:proofErr w:type="spellEnd"/>
      <w:r>
        <w:t xml:space="preserve">, </w:t>
      </w:r>
      <w:proofErr w:type="spellStart"/>
      <w:r>
        <w:t>where</w:t>
      </w:r>
      <w:proofErr w:type="spellEnd"/>
      <w:r>
        <w:t xml:space="preserve"> different </w:t>
      </w:r>
      <w:proofErr w:type="spellStart"/>
      <w:r>
        <w:t>phases</w:t>
      </w:r>
      <w:proofErr w:type="spellEnd"/>
      <w:r>
        <w:t xml:space="preserve"> </w:t>
      </w:r>
      <w:proofErr w:type="spellStart"/>
      <w:r>
        <w:t>of</w:t>
      </w:r>
      <w:proofErr w:type="spellEnd"/>
      <w:r>
        <w:t xml:space="preserve"> </w:t>
      </w:r>
      <w:proofErr w:type="spellStart"/>
      <w:r>
        <w:t>spacetime</w:t>
      </w:r>
      <w:proofErr w:type="spellEnd"/>
      <w:r>
        <w:t xml:space="preserve"> </w:t>
      </w:r>
      <w:proofErr w:type="spellStart"/>
      <w:r>
        <w:t>can</w:t>
      </w:r>
      <w:proofErr w:type="spellEnd"/>
      <w:r>
        <w:t xml:space="preserve"> </w:t>
      </w:r>
      <w:proofErr w:type="spellStart"/>
      <w:r>
        <w:t>emerge</w:t>
      </w:r>
      <w:proofErr w:type="spellEnd"/>
      <w:r>
        <w:t>.“</w:t>
      </w:r>
      <w:r w:rsidR="009F6984">
        <w:t xml:space="preserve"> </w:t>
      </w:r>
      <w:r>
        <w:t xml:space="preserve">(Witten, Edward: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w:t>
      </w:r>
      <w:proofErr w:type="spellStart"/>
      <w:r>
        <w:rPr>
          <w:rStyle w:val="Hervorhebung"/>
        </w:rPr>
        <w:t>Nuclear</w:t>
      </w:r>
      <w:proofErr w:type="spellEnd"/>
      <w:r>
        <w:rPr>
          <w:rStyle w:val="Hervorhebung"/>
        </w:rPr>
        <w:t xml:space="preserve"> Physics B</w:t>
      </w:r>
      <w:r>
        <w:t xml:space="preserve"> 443, 1995, S. 85).</w:t>
      </w:r>
    </w:p>
    <w:p w14:paraId="42A2EED2" w14:textId="77777777" w:rsidR="009334C2" w:rsidRDefault="009334C2" w:rsidP="009334C2">
      <w:pPr>
        <w:pStyle w:val="StandardWeb"/>
      </w:pPr>
      <w:r>
        <w:t xml:space="preserve">Auch </w:t>
      </w:r>
      <w:proofErr w:type="spellStart"/>
      <w:r>
        <w:t>Kauffman</w:t>
      </w:r>
      <w:proofErr w:type="spellEnd"/>
      <w:r>
        <w:t xml:space="preserve"> sieht im Nichts eine Quelle kreativer Ordnung (</w:t>
      </w:r>
      <w:proofErr w:type="spellStart"/>
      <w:r>
        <w:t>Kauffman</w:t>
      </w:r>
      <w:proofErr w:type="spellEnd"/>
      <w:r>
        <w:t xml:space="preserve">, Stuart: </w:t>
      </w:r>
      <w:r>
        <w:rPr>
          <w:rStyle w:val="Hervorhebung"/>
        </w:rPr>
        <w:t xml:space="preserve">The Origins </w:t>
      </w:r>
      <w:proofErr w:type="spellStart"/>
      <w:r>
        <w:rPr>
          <w:rStyle w:val="Hervorhebung"/>
        </w:rPr>
        <w:t>of</w:t>
      </w:r>
      <w:proofErr w:type="spellEnd"/>
      <w:r>
        <w:rPr>
          <w:rStyle w:val="Hervorhebung"/>
        </w:rPr>
        <w:t xml:space="preserve"> Order</w:t>
      </w:r>
      <w:r>
        <w:t>, Oxford: Oxford University Press, 1993, Kap. 4).</w:t>
      </w:r>
    </w:p>
    <w:p w14:paraId="03CC6DDF" w14:textId="4D135188" w:rsidR="009334C2" w:rsidRDefault="009334C2" w:rsidP="0005621D">
      <w:pPr>
        <w:pStyle w:val="StandardWeb"/>
      </w:pPr>
      <w:r>
        <w:t xml:space="preserve">Für mein FRZK bedeutet das: Ich übernehme nicht die physikalischen Gesetze, sondern die </w:t>
      </w:r>
      <w:r>
        <w:rPr>
          <w:rStyle w:val="Fett"/>
        </w:rPr>
        <w:t>Logik</w:t>
      </w:r>
      <w:r>
        <w:t xml:space="preserve">. Das Nichts ist die Bedingung, aus der überhaupt </w:t>
      </w:r>
      <w:r>
        <w:rPr>
          <w:rStyle w:val="Fett"/>
        </w:rPr>
        <w:t>Struktur</w:t>
      </w:r>
      <w:r>
        <w:t xml:space="preserve"> hervorgehen kann – ein Modellgedanke, nicht ein Naturgesetz.</w:t>
      </w:r>
      <w:r>
        <w:t xml:space="preserve"> </w:t>
      </w:r>
      <w:r>
        <w:t xml:space="preserve">Wenn ich das auf mein Modell übertrage, bedeutet es: Ein „voller“ Ausgangspunkt würde mich sofort festlegen. Das „leere“ Vakuum dagegen enthält </w:t>
      </w:r>
      <w:r>
        <w:rPr>
          <w:rStyle w:val="Fett"/>
        </w:rPr>
        <w:t>keine feste Struktur</w:t>
      </w:r>
      <w:r>
        <w:t>, aber unendliche Möglichkeiten zur Entfaltung. Deshalb ist es produktiver als jede positive Setzung.</w:t>
      </w:r>
    </w:p>
    <w:p w14:paraId="5D163FDF" w14:textId="77777777" w:rsidR="0005621D" w:rsidRDefault="0005621D" w:rsidP="0005621D">
      <w:r>
        <w:pict w14:anchorId="4BE012BB">
          <v:rect id="_x0000_i1028" style="width:0;height:1.5pt" o:hralign="center" o:hrstd="t" o:hr="t" fillcolor="#a0a0a0" stroked="f"/>
        </w:pict>
      </w:r>
    </w:p>
    <w:p w14:paraId="399D3C62" w14:textId="77777777" w:rsidR="0005621D" w:rsidRDefault="0005621D" w:rsidP="0005621D">
      <w:pPr>
        <w:pStyle w:val="berschrift3"/>
      </w:pPr>
      <w:r>
        <w:t>3.1.4 Kognitive und didaktische Herausforderungen</w:t>
      </w:r>
    </w:p>
    <w:p w14:paraId="0D40251F" w14:textId="77777777" w:rsidR="009334C2" w:rsidRDefault="009334C2" w:rsidP="009334C2">
      <w:pPr>
        <w:pStyle w:val="StandardWeb"/>
      </w:pPr>
      <w:r>
        <w:t xml:space="preserve">Warum fällt es so schwer, das Nichts zu denken? Ich merke: Unsere Sprache setzt Dinge voraus. Wenn ich sage „nicht rot“, bleibt dennoch ein Etwas übrig. Wirklich </w:t>
      </w:r>
      <w:r>
        <w:rPr>
          <w:rStyle w:val="Fett"/>
        </w:rPr>
        <w:t>nichts</w:t>
      </w:r>
      <w:r>
        <w:t xml:space="preserve"> zu meinen, ist sprachlich fast unmöglich.</w:t>
      </w:r>
    </w:p>
    <w:p w14:paraId="70DCD7AC" w14:textId="77777777" w:rsidR="009334C2" w:rsidRDefault="009334C2" w:rsidP="009334C2">
      <w:pPr>
        <w:pStyle w:val="StandardWeb"/>
      </w:pPr>
      <w:r>
        <w:t>Pulvermüller zeigt neurobiologisch:</w:t>
      </w:r>
    </w:p>
    <w:p w14:paraId="634AD147" w14:textId="3F81EA41" w:rsidR="009334C2" w:rsidRDefault="009334C2" w:rsidP="00E556AC">
      <w:pPr>
        <w:pStyle w:val="Zitat"/>
      </w:pPr>
      <w:r>
        <w:t xml:space="preserve">„Abstract </w:t>
      </w:r>
      <w:proofErr w:type="spellStart"/>
      <w:r>
        <w:t>concepts</w:t>
      </w:r>
      <w:proofErr w:type="spellEnd"/>
      <w:r>
        <w:t xml:space="preserve"> </w:t>
      </w:r>
      <w:proofErr w:type="spellStart"/>
      <w:r>
        <w:t>are</w:t>
      </w:r>
      <w:proofErr w:type="spellEnd"/>
      <w:r>
        <w:t xml:space="preserve"> </w:t>
      </w:r>
      <w:proofErr w:type="spellStart"/>
      <w:r>
        <w:t>represented</w:t>
      </w:r>
      <w:proofErr w:type="spellEnd"/>
      <w:r>
        <w:t xml:space="preserve"> in </w:t>
      </w:r>
      <w:proofErr w:type="spellStart"/>
      <w:r>
        <w:t>distributed</w:t>
      </w:r>
      <w:proofErr w:type="spellEnd"/>
      <w:r>
        <w:t xml:space="preserve"> </w:t>
      </w:r>
      <w:proofErr w:type="spellStart"/>
      <w:r>
        <w:t>cortical</w:t>
      </w:r>
      <w:proofErr w:type="spellEnd"/>
      <w:r>
        <w:t xml:space="preserve"> </w:t>
      </w:r>
      <w:proofErr w:type="spellStart"/>
      <w:r>
        <w:t>networks</w:t>
      </w:r>
      <w:proofErr w:type="spellEnd"/>
      <w:r>
        <w:t xml:space="preserve"> … </w:t>
      </w:r>
      <w:proofErr w:type="spellStart"/>
      <w:r>
        <w:t>requiring</w:t>
      </w:r>
      <w:proofErr w:type="spellEnd"/>
      <w:r>
        <w:t xml:space="preserve"> </w:t>
      </w:r>
      <w:proofErr w:type="spellStart"/>
      <w:r>
        <w:t>integration</w:t>
      </w:r>
      <w:proofErr w:type="spellEnd"/>
      <w:r>
        <w:t xml:space="preserve"> </w:t>
      </w:r>
      <w:proofErr w:type="spellStart"/>
      <w:r>
        <w:t>across</w:t>
      </w:r>
      <w:proofErr w:type="spellEnd"/>
      <w:r>
        <w:t xml:space="preserve"> multiple </w:t>
      </w:r>
      <w:proofErr w:type="spellStart"/>
      <w:r>
        <w:t>modalities</w:t>
      </w:r>
      <w:proofErr w:type="spellEnd"/>
      <w:r>
        <w:t>.“</w:t>
      </w:r>
      <w:r w:rsidR="00E556AC">
        <w:t xml:space="preserve"> </w:t>
      </w:r>
      <w:r>
        <w:t xml:space="preserve">(Pulvermüller, Friedemann: </w:t>
      </w:r>
      <w:r>
        <w:rPr>
          <w:rStyle w:val="Hervorhebung"/>
        </w:rPr>
        <w:t xml:space="preserve">Brain </w:t>
      </w:r>
      <w:proofErr w:type="spellStart"/>
      <w:r>
        <w:rPr>
          <w:rStyle w:val="Hervorhebung"/>
        </w:rPr>
        <w:t>Mechanisms</w:t>
      </w:r>
      <w:proofErr w:type="spellEnd"/>
      <w:r>
        <w:rPr>
          <w:rStyle w:val="Hervorhebung"/>
        </w:rPr>
        <w:t xml:space="preserve"> Linking Language and Action</w:t>
      </w:r>
      <w:r>
        <w:t xml:space="preserve">, </w:t>
      </w:r>
      <w:r>
        <w:rPr>
          <w:rStyle w:val="Hervorhebung"/>
        </w:rPr>
        <w:t xml:space="preserve">Nature Reviews </w:t>
      </w:r>
      <w:proofErr w:type="spellStart"/>
      <w:r>
        <w:rPr>
          <w:rStyle w:val="Hervorhebung"/>
        </w:rPr>
        <w:t>Neuroscience</w:t>
      </w:r>
      <w:proofErr w:type="spellEnd"/>
      <w:r>
        <w:t xml:space="preserve"> 6(7), 2005, S. 577).</w:t>
      </w:r>
    </w:p>
    <w:p w14:paraId="10521A02" w14:textId="6708B1EB" w:rsidR="009334C2" w:rsidRDefault="009334C2" w:rsidP="009334C2">
      <w:pPr>
        <w:pStyle w:val="StandardWeb"/>
      </w:pPr>
      <w:r>
        <w:t xml:space="preserve">Das erklärt mir, warum Lernende (und auch ich selbst) ins Stolpern geraten, wenn sie </w:t>
      </w:r>
      <w:r>
        <w:rPr>
          <w:rFonts w:ascii="Cambria Math" w:hAnsi="Cambria Math" w:cs="Cambria Math"/>
        </w:rPr>
        <w:t>∅</w:t>
      </w:r>
      <w:r>
        <w:t xml:space="preserve"> denken sollen.</w:t>
      </w:r>
      <w:r>
        <w:t xml:space="preserve"> </w:t>
      </w:r>
      <w:r>
        <w:t xml:space="preserve">Didaktisch verstehe ich das so: Ich muss das Nichts </w:t>
      </w:r>
      <w:r>
        <w:rPr>
          <w:rStyle w:val="Fett"/>
        </w:rPr>
        <w:t>inszenieren</w:t>
      </w:r>
      <w:r>
        <w:t>, nicht erklären. Es geht um Irritation, die Lernprozesse anstößt – eine Leerstelle, die nach Füllung verlangt.</w:t>
      </w:r>
    </w:p>
    <w:p w14:paraId="55BD2A6A" w14:textId="77777777" w:rsidR="0005621D" w:rsidRDefault="0005621D" w:rsidP="0005621D">
      <w:pPr>
        <w:pStyle w:val="StandardWeb"/>
      </w:pPr>
      <w:r>
        <w:t xml:space="preserve">Gerade weil es so schwierig ist, zwingt das Nichts uns zu </w:t>
      </w:r>
      <w:r>
        <w:rPr>
          <w:rStyle w:val="Fett"/>
        </w:rPr>
        <w:t>höherer Vernetzung</w:t>
      </w:r>
      <w:r>
        <w:t xml:space="preserve">. Didaktisch heißt das für mich: Beginne ich bei </w:t>
      </w:r>
      <w:r>
        <w:rPr>
          <w:rFonts w:ascii="Cambria Math" w:hAnsi="Cambria Math" w:cs="Cambria Math"/>
        </w:rPr>
        <w:t>∅</w:t>
      </w:r>
      <w:r>
        <w:t xml:space="preserve">, fordere ich Lernende maximal heraus, aber ich gebe ihnen zugleich die </w:t>
      </w:r>
      <w:r>
        <w:rPr>
          <w:rStyle w:val="Fett"/>
        </w:rPr>
        <w:t>größte Freiheit</w:t>
      </w:r>
      <w:r>
        <w:t xml:space="preserve">. Jede Setzung, die ich vorgebe, schränkt ein. Das Nichts dagegen ist eine </w:t>
      </w:r>
      <w:r>
        <w:rPr>
          <w:rStyle w:val="Fett"/>
        </w:rPr>
        <w:t>Bühne</w:t>
      </w:r>
      <w:r>
        <w:t>, auf der sich alle möglichen Strukturen bilden können.</w:t>
      </w:r>
    </w:p>
    <w:p w14:paraId="551110C7" w14:textId="77777777" w:rsidR="0005621D" w:rsidRDefault="0005621D" w:rsidP="0005621D">
      <w:r>
        <w:pict w14:anchorId="6E3B8019">
          <v:rect id="_x0000_i1029" style="width:0;height:1.5pt" o:hralign="center" o:hrstd="t" o:hr="t" fillcolor="#a0a0a0" stroked="f"/>
        </w:pict>
      </w:r>
    </w:p>
    <w:p w14:paraId="0ABD8E31" w14:textId="77777777" w:rsidR="0005621D" w:rsidRDefault="0005621D" w:rsidP="0005621D">
      <w:pPr>
        <w:pStyle w:val="berschrift3"/>
      </w:pPr>
      <w:r>
        <w:t>3.1.5 Das Nichts als schöpferischer Raum in Kunst und Mystik</w:t>
      </w:r>
    </w:p>
    <w:p w14:paraId="11A9B6D8" w14:textId="77777777" w:rsidR="009334C2" w:rsidRDefault="009334C2" w:rsidP="009334C2">
      <w:pPr>
        <w:pStyle w:val="StandardWeb"/>
      </w:pPr>
      <w:r>
        <w:t>Auch außerhalb der Wissenschaft entdecke ich Parallelen. In der Musik ist es die Pause, die den Ton trägt. In der Malerei ist es die weiße Leinwand, die Raum für Gestaltung öffnet. In der Mystik ist es das Schweigen, das dem Wort vorausgeht.</w:t>
      </w:r>
    </w:p>
    <w:p w14:paraId="36D84992" w14:textId="77777777" w:rsidR="009334C2" w:rsidRDefault="009334C2" w:rsidP="009334C2">
      <w:pPr>
        <w:pStyle w:val="StandardWeb"/>
      </w:pPr>
      <w:r>
        <w:t>Weyl hat das für mich auf den Punkt gebracht:</w:t>
      </w:r>
    </w:p>
    <w:p w14:paraId="228B3C5C" w14:textId="231F03F6" w:rsidR="009334C2" w:rsidRDefault="009334C2" w:rsidP="00E556AC">
      <w:pPr>
        <w:pStyle w:val="Zitat"/>
      </w:pPr>
      <w:r>
        <w:t>„Die Form kommt aus dem Formlosen.“</w:t>
      </w:r>
      <w:r>
        <w:t xml:space="preserve"> </w:t>
      </w:r>
      <w:r>
        <w:t xml:space="preserve">(Weyl, Hermann: </w:t>
      </w:r>
      <w:r>
        <w:rPr>
          <w:rStyle w:val="Hervorhebung"/>
        </w:rPr>
        <w:t>Philosophie der Mathematik und Naturwissenschaften</w:t>
      </w:r>
      <w:r>
        <w:t xml:space="preserve">, München: </w:t>
      </w:r>
      <w:proofErr w:type="spellStart"/>
      <w:r>
        <w:t>Oldenbourg</w:t>
      </w:r>
      <w:proofErr w:type="spellEnd"/>
      <w:r>
        <w:t>, 1927, S. 7).</w:t>
      </w:r>
    </w:p>
    <w:p w14:paraId="17B8B922" w14:textId="651A9331" w:rsidR="0005621D" w:rsidRDefault="009334C2" w:rsidP="0005621D">
      <w:pPr>
        <w:pStyle w:val="StandardWeb"/>
      </w:pPr>
      <w:r>
        <w:t xml:space="preserve">Dieses Bild begleitet mich: Das Nichts ist kein Ende, sondern eine </w:t>
      </w:r>
      <w:r>
        <w:rPr>
          <w:rStyle w:val="Fett"/>
        </w:rPr>
        <w:t>Bühne</w:t>
      </w:r>
      <w:r>
        <w:t>, auf der Neues geschehen kann.</w:t>
      </w:r>
      <w:r>
        <w:t xml:space="preserve"> </w:t>
      </w:r>
      <w:r w:rsidR="0005621D">
        <w:t xml:space="preserve">Die Pause in der Musik, die weiße Leinwand, das Schweigen vor dem Wort – all das zeigt mir: Nicht das Vorhandene, sondern das Leere ist der </w:t>
      </w:r>
      <w:r w:rsidR="0005621D">
        <w:rPr>
          <w:rStyle w:val="Fett"/>
        </w:rPr>
        <w:t>produktivste Ort</w:t>
      </w:r>
      <w:r w:rsidR="0005621D">
        <w:t>. Das FRZK schließt hier an: Wo nichts vorgegeben ist, entsteht der größte Möglichkeitsraum.</w:t>
      </w:r>
    </w:p>
    <w:p w14:paraId="24A31463" w14:textId="77777777" w:rsidR="0005621D" w:rsidRDefault="0005621D" w:rsidP="0005621D">
      <w:r>
        <w:pict w14:anchorId="7BAE3C0F">
          <v:rect id="_x0000_i1030" style="width:0;height:1.5pt" o:hralign="center" o:hrstd="t" o:hr="t" fillcolor="#a0a0a0" stroked="f"/>
        </w:pict>
      </w:r>
    </w:p>
    <w:p w14:paraId="1F51D4F0" w14:textId="77777777" w:rsidR="0005621D" w:rsidRDefault="0005621D" w:rsidP="0005621D">
      <w:pPr>
        <w:pStyle w:val="berschrift3"/>
      </w:pPr>
      <w:r>
        <w:t>3.1.6 Methodisch-didaktische Perspektiven</w:t>
      </w:r>
    </w:p>
    <w:p w14:paraId="6F3DCBEF" w14:textId="77777777" w:rsidR="009334C2" w:rsidRDefault="009334C2" w:rsidP="009334C2">
      <w:pPr>
        <w:pStyle w:val="StandardWeb"/>
      </w:pPr>
      <w:r>
        <w:t xml:space="preserve">Die eigentliche Frage ist für mich: </w:t>
      </w:r>
      <w:r>
        <w:rPr>
          <w:rStyle w:val="Fett"/>
        </w:rPr>
        <w:t>Wie lehre ich das Nichts?</w:t>
      </w:r>
    </w:p>
    <w:p w14:paraId="30C57F18" w14:textId="77777777" w:rsidR="009334C2" w:rsidRDefault="009334C2" w:rsidP="009334C2">
      <w:pPr>
        <w:pStyle w:val="StandardWeb"/>
      </w:pPr>
      <w:r>
        <w:t>Krantz warnt:</w:t>
      </w:r>
    </w:p>
    <w:p w14:paraId="23A98B85" w14:textId="576F0464" w:rsidR="009334C2" w:rsidRDefault="009334C2" w:rsidP="00E556AC">
      <w:pPr>
        <w:pStyle w:val="Zitat"/>
      </w:pPr>
      <w:r>
        <w:t>„</w:t>
      </w:r>
      <w:proofErr w:type="spellStart"/>
      <w:r>
        <w:t>Mathematics</w:t>
      </w:r>
      <w:proofErr w:type="spellEnd"/>
      <w:r>
        <w:t xml:space="preserve"> </w:t>
      </w:r>
      <w:proofErr w:type="spellStart"/>
      <w:r>
        <w:t>develops</w:t>
      </w:r>
      <w:proofErr w:type="spellEnd"/>
      <w:r>
        <w:t xml:space="preserve"> </w:t>
      </w:r>
      <w:proofErr w:type="spellStart"/>
      <w:r>
        <w:t>by</w:t>
      </w:r>
      <w:proofErr w:type="spellEnd"/>
      <w:r>
        <w:t xml:space="preserve"> </w:t>
      </w:r>
      <w:proofErr w:type="spellStart"/>
      <w:r>
        <w:t>abstraction</w:t>
      </w:r>
      <w:proofErr w:type="spellEnd"/>
      <w:r>
        <w:t xml:space="preserve">; but </w:t>
      </w:r>
      <w:proofErr w:type="spellStart"/>
      <w:r>
        <w:t>abstraction</w:t>
      </w:r>
      <w:proofErr w:type="spellEnd"/>
      <w:r>
        <w:t xml:space="preserve"> </w:t>
      </w:r>
      <w:proofErr w:type="spellStart"/>
      <w:r>
        <w:t>must</w:t>
      </w:r>
      <w:proofErr w:type="spellEnd"/>
      <w:r>
        <w:t xml:space="preserve"> </w:t>
      </w:r>
      <w:proofErr w:type="spellStart"/>
      <w:r>
        <w:t>proceed</w:t>
      </w:r>
      <w:proofErr w:type="spellEnd"/>
      <w:r>
        <w:t xml:space="preserve"> </w:t>
      </w:r>
      <w:proofErr w:type="spellStart"/>
      <w:r>
        <w:t>gradually</w:t>
      </w:r>
      <w:proofErr w:type="spellEnd"/>
      <w:r>
        <w:t xml:space="preserve">, </w:t>
      </w:r>
      <w:proofErr w:type="spellStart"/>
      <w:r>
        <w:t>otherwise</w:t>
      </w:r>
      <w:proofErr w:type="spellEnd"/>
      <w:r>
        <w:t xml:space="preserve"> </w:t>
      </w:r>
      <w:proofErr w:type="spellStart"/>
      <w:r>
        <w:t>it</w:t>
      </w:r>
      <w:proofErr w:type="spellEnd"/>
      <w:r>
        <w:t xml:space="preserve"> </w:t>
      </w:r>
      <w:proofErr w:type="spellStart"/>
      <w:r>
        <w:t>remains</w:t>
      </w:r>
      <w:proofErr w:type="spellEnd"/>
      <w:r>
        <w:t xml:space="preserve"> </w:t>
      </w:r>
      <w:proofErr w:type="spellStart"/>
      <w:r>
        <w:t>empty</w:t>
      </w:r>
      <w:proofErr w:type="spellEnd"/>
      <w:r>
        <w:t xml:space="preserve"> </w:t>
      </w:r>
      <w:proofErr w:type="spellStart"/>
      <w:r>
        <w:t>of</w:t>
      </w:r>
      <w:proofErr w:type="spellEnd"/>
      <w:r>
        <w:t xml:space="preserve"> </w:t>
      </w:r>
      <w:proofErr w:type="spellStart"/>
      <w:r>
        <w:t>meaning</w:t>
      </w:r>
      <w:proofErr w:type="spellEnd"/>
      <w:r>
        <w:t xml:space="preserve"> </w:t>
      </w:r>
      <w:proofErr w:type="spellStart"/>
      <w:r>
        <w:t>for</w:t>
      </w:r>
      <w:proofErr w:type="spellEnd"/>
      <w:r>
        <w:t xml:space="preserve"> </w:t>
      </w:r>
      <w:proofErr w:type="spellStart"/>
      <w:r>
        <w:t>the</w:t>
      </w:r>
      <w:proofErr w:type="spellEnd"/>
      <w:r>
        <w:t xml:space="preserve"> </w:t>
      </w:r>
      <w:proofErr w:type="spellStart"/>
      <w:r>
        <w:t>learner</w:t>
      </w:r>
      <w:proofErr w:type="spellEnd"/>
      <w:r>
        <w:t>.“</w:t>
      </w:r>
      <w:r w:rsidR="00E556AC">
        <w:t xml:space="preserve"> </w:t>
      </w:r>
      <w:r>
        <w:t xml:space="preserve">(Krantz, David: </w:t>
      </w:r>
      <w:proofErr w:type="spellStart"/>
      <w:r>
        <w:rPr>
          <w:rStyle w:val="Hervorhebung"/>
        </w:rPr>
        <w:t>Mathematical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from</w:t>
      </w:r>
      <w:proofErr w:type="spellEnd"/>
      <w:r>
        <w:rPr>
          <w:rStyle w:val="Hervorhebung"/>
        </w:rPr>
        <w:t xml:space="preserve"> </w:t>
      </w:r>
      <w:proofErr w:type="spellStart"/>
      <w:r>
        <w:rPr>
          <w:rStyle w:val="Hervorhebung"/>
        </w:rPr>
        <w:t>Ancient</w:t>
      </w:r>
      <w:proofErr w:type="spellEnd"/>
      <w:r>
        <w:rPr>
          <w:rStyle w:val="Hervorhebung"/>
        </w:rPr>
        <w:t xml:space="preserve"> </w:t>
      </w:r>
      <w:proofErr w:type="spellStart"/>
      <w:r>
        <w:rPr>
          <w:rStyle w:val="Hervorhebung"/>
        </w:rPr>
        <w:t>to</w:t>
      </w:r>
      <w:proofErr w:type="spellEnd"/>
      <w:r>
        <w:rPr>
          <w:rStyle w:val="Hervorhebung"/>
        </w:rPr>
        <w:t xml:space="preserve"> Modern Times</w:t>
      </w:r>
      <w:r>
        <w:t>, Princeton: Princeton University Press, 1971, S. 46).</w:t>
      </w:r>
    </w:p>
    <w:p w14:paraId="3A5A31F4" w14:textId="77777777" w:rsidR="009334C2" w:rsidRDefault="009334C2" w:rsidP="009334C2">
      <w:pPr>
        <w:pStyle w:val="StandardWeb"/>
      </w:pPr>
      <w:r>
        <w:t xml:space="preserve">Das nehme ich ernst: Ich darf nicht sofort mit </w:t>
      </w:r>
      <w:r>
        <w:rPr>
          <w:rFonts w:ascii="Cambria Math" w:hAnsi="Cambria Math" w:cs="Cambria Math"/>
        </w:rPr>
        <w:t>∅</w:t>
      </w:r>
      <w:r>
        <w:t xml:space="preserve"> beginnen, ohne Bezüge zu schaffen.</w:t>
      </w:r>
    </w:p>
    <w:p w14:paraId="313B1FCE" w14:textId="77777777" w:rsidR="009334C2" w:rsidRDefault="009334C2" w:rsidP="009334C2">
      <w:pPr>
        <w:pStyle w:val="StandardWeb"/>
      </w:pPr>
      <w:proofErr w:type="spellStart"/>
      <w:r>
        <w:t>Sfard</w:t>
      </w:r>
      <w:proofErr w:type="spellEnd"/>
      <w:r>
        <w:t xml:space="preserve"> erinnert mich:</w:t>
      </w:r>
    </w:p>
    <w:p w14:paraId="443FE439" w14:textId="77777777" w:rsidR="009334C2" w:rsidRDefault="009334C2" w:rsidP="00E556AC">
      <w:pPr>
        <w:pStyle w:val="Zitat"/>
      </w:pPr>
      <w:r>
        <w:t>„</w:t>
      </w:r>
      <w:proofErr w:type="spellStart"/>
      <w:r>
        <w:t>Thinking</w:t>
      </w:r>
      <w:proofErr w:type="spellEnd"/>
      <w:r>
        <w:t xml:space="preserve"> </w:t>
      </w:r>
      <w:proofErr w:type="spellStart"/>
      <w:r>
        <w:t>is</w:t>
      </w:r>
      <w:proofErr w:type="spellEnd"/>
      <w:r>
        <w:t xml:space="preserve"> </w:t>
      </w:r>
      <w:proofErr w:type="spellStart"/>
      <w:r>
        <w:t>communicating</w:t>
      </w:r>
      <w:proofErr w:type="spellEnd"/>
      <w:r>
        <w:t xml:space="preserve"> – </w:t>
      </w:r>
      <w:proofErr w:type="spellStart"/>
      <w:r>
        <w:t>hence</w:t>
      </w:r>
      <w:proofErr w:type="spellEnd"/>
      <w:r>
        <w:t xml:space="preserve">, </w:t>
      </w:r>
      <w:proofErr w:type="spellStart"/>
      <w:r>
        <w:t>new</w:t>
      </w:r>
      <w:proofErr w:type="spellEnd"/>
      <w:r>
        <w:t xml:space="preserve"> </w:t>
      </w:r>
      <w:proofErr w:type="spellStart"/>
      <w:r>
        <w:t>ideas</w:t>
      </w:r>
      <w:proofErr w:type="spellEnd"/>
      <w:r>
        <w:t xml:space="preserve"> </w:t>
      </w:r>
      <w:proofErr w:type="spellStart"/>
      <w:r>
        <w:t>emerge</w:t>
      </w:r>
      <w:proofErr w:type="spellEnd"/>
      <w:r>
        <w:t xml:space="preserve"> in </w:t>
      </w:r>
      <w:proofErr w:type="spellStart"/>
      <w:r>
        <w:t>dialogue</w:t>
      </w:r>
      <w:proofErr w:type="spellEnd"/>
      <w:r>
        <w:t xml:space="preserve">, not in </w:t>
      </w:r>
      <w:proofErr w:type="spellStart"/>
      <w:r>
        <w:t>isolation</w:t>
      </w:r>
      <w:proofErr w:type="spellEnd"/>
      <w:r>
        <w:t>.“</w:t>
      </w:r>
      <w:r>
        <w:br/>
        <w:t>(</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Cambridge: Cambridge University Press, 2008, S. 38).</w:t>
      </w:r>
    </w:p>
    <w:p w14:paraId="622335FF" w14:textId="77777777" w:rsidR="009334C2" w:rsidRDefault="009334C2" w:rsidP="009334C2">
      <w:pPr>
        <w:pStyle w:val="StandardWeb"/>
      </w:pPr>
      <w:r>
        <w:t>Das bedeutet: Ich schaffe Gesprächsräume, in denen das Unsichtbare sichtbar werden darf.</w:t>
      </w:r>
    </w:p>
    <w:p w14:paraId="7BDB68ED" w14:textId="77777777" w:rsidR="009334C2" w:rsidRDefault="009334C2" w:rsidP="009334C2">
      <w:pPr>
        <w:pStyle w:val="StandardWeb"/>
      </w:pPr>
      <w:r>
        <w:t xml:space="preserve">Im FRZK verstehe ich das Nichts als </w:t>
      </w:r>
      <w:r>
        <w:rPr>
          <w:rStyle w:val="Fett"/>
        </w:rPr>
        <w:t>startende Indifferenz</w:t>
      </w:r>
      <w:r>
        <w:t xml:space="preserve">, die sich erst durch </w:t>
      </w:r>
      <w:proofErr w:type="spellStart"/>
      <w:r>
        <w:t>Operatorenfelder</w:t>
      </w:r>
      <w:proofErr w:type="spellEnd"/>
      <w:r>
        <w:t xml:space="preserve"> (σ, M, R, E) entfaltet. Meine Rolle als Lehrender sehe ich nicht darin, Inhalte vorzugeben, sondern </w:t>
      </w:r>
      <w:r>
        <w:rPr>
          <w:rStyle w:val="Fett"/>
        </w:rPr>
        <w:t>Übergänge zu kalibrieren</w:t>
      </w:r>
      <w:r>
        <w:t xml:space="preserve"> – vom Unbestimmten zum Bestimmten.</w:t>
      </w:r>
    </w:p>
    <w:p w14:paraId="31399FDA" w14:textId="77777777" w:rsidR="0005621D" w:rsidRDefault="0005621D" w:rsidP="0005621D">
      <w:pPr>
        <w:pStyle w:val="StandardWeb"/>
      </w:pPr>
      <w:r>
        <w:t xml:space="preserve">Das heißt: Ich muss das Nichts </w:t>
      </w:r>
      <w:r>
        <w:rPr>
          <w:rStyle w:val="Fett"/>
        </w:rPr>
        <w:t>schrittweise erlebbar machen</w:t>
      </w:r>
      <w:r>
        <w:t xml:space="preserve">. </w:t>
      </w:r>
      <w:proofErr w:type="spellStart"/>
      <w:r>
        <w:t>Sfard</w:t>
      </w:r>
      <w:proofErr w:type="spellEnd"/>
      <w:r>
        <w:t xml:space="preserve"> ergänzt:</w:t>
      </w:r>
    </w:p>
    <w:p w14:paraId="0AB64544" w14:textId="77777777" w:rsidR="0005621D" w:rsidRDefault="0005621D" w:rsidP="00E556AC">
      <w:pPr>
        <w:pStyle w:val="Zitat"/>
      </w:pPr>
      <w:r>
        <w:t>„</w:t>
      </w:r>
      <w:proofErr w:type="spellStart"/>
      <w:r>
        <w:t>Thinking</w:t>
      </w:r>
      <w:proofErr w:type="spellEnd"/>
      <w:r>
        <w:t xml:space="preserve"> </w:t>
      </w:r>
      <w:proofErr w:type="spellStart"/>
      <w:r>
        <w:t>is</w:t>
      </w:r>
      <w:proofErr w:type="spellEnd"/>
      <w:r>
        <w:t xml:space="preserve"> </w:t>
      </w:r>
      <w:proofErr w:type="spellStart"/>
      <w:r>
        <w:t>communicating</w:t>
      </w:r>
      <w:proofErr w:type="spellEnd"/>
      <w:r>
        <w:t xml:space="preserve"> – </w:t>
      </w:r>
      <w:proofErr w:type="spellStart"/>
      <w:r>
        <w:t>hence</w:t>
      </w:r>
      <w:proofErr w:type="spellEnd"/>
      <w:r>
        <w:t xml:space="preserve">, </w:t>
      </w:r>
      <w:proofErr w:type="spellStart"/>
      <w:r>
        <w:t>new</w:t>
      </w:r>
      <w:proofErr w:type="spellEnd"/>
      <w:r>
        <w:t xml:space="preserve"> </w:t>
      </w:r>
      <w:proofErr w:type="spellStart"/>
      <w:r>
        <w:t>ideas</w:t>
      </w:r>
      <w:proofErr w:type="spellEnd"/>
      <w:r>
        <w:t xml:space="preserve"> </w:t>
      </w:r>
      <w:proofErr w:type="spellStart"/>
      <w:r>
        <w:t>emerge</w:t>
      </w:r>
      <w:proofErr w:type="spellEnd"/>
      <w:r>
        <w:t xml:space="preserve"> in </w:t>
      </w:r>
      <w:proofErr w:type="spellStart"/>
      <w:r>
        <w:t>dialogue</w:t>
      </w:r>
      <w:proofErr w:type="spellEnd"/>
      <w:r>
        <w:t xml:space="preserve">, not in </w:t>
      </w:r>
      <w:proofErr w:type="spellStart"/>
      <w:r>
        <w:t>isolation</w:t>
      </w:r>
      <w:proofErr w:type="spellEnd"/>
      <w:r>
        <w:t>.“ (</w:t>
      </w:r>
      <w:proofErr w:type="spellStart"/>
      <w:r>
        <w:t>Sfard</w:t>
      </w:r>
      <w:proofErr w:type="spellEnd"/>
      <w:r>
        <w:t xml:space="preserve"> 2008: 38).</w:t>
      </w:r>
    </w:p>
    <w:p w14:paraId="0D8BF7BB" w14:textId="77777777" w:rsidR="0005621D" w:rsidRDefault="0005621D" w:rsidP="0005621D">
      <w:pPr>
        <w:pStyle w:val="StandardWeb"/>
      </w:pPr>
      <w:r>
        <w:t xml:space="preserve">Also darf ich das Nichts nicht erklären, sondern muss es </w:t>
      </w:r>
      <w:r>
        <w:rPr>
          <w:rStyle w:val="Fett"/>
        </w:rPr>
        <w:t>im Dialog öffnen</w:t>
      </w:r>
      <w:r>
        <w:t>.</w:t>
      </w:r>
    </w:p>
    <w:p w14:paraId="4DAB72FC" w14:textId="77777777" w:rsidR="0005621D" w:rsidRDefault="0005621D" w:rsidP="0005621D">
      <w:pPr>
        <w:pStyle w:val="StandardWeb"/>
      </w:pPr>
      <w:r>
        <w:t xml:space="preserve">Für das FRZK heißt das: Die leere Menge ist nicht ein toter Punkt, sondern ein </w:t>
      </w:r>
      <w:r>
        <w:rPr>
          <w:rStyle w:val="Fett"/>
        </w:rPr>
        <w:t>dynamischer Startzustand</w:t>
      </w:r>
      <w:r>
        <w:t xml:space="preserve">. Durch </w:t>
      </w:r>
      <w:proofErr w:type="spellStart"/>
      <w:r>
        <w:t>Operatorenfelder</w:t>
      </w:r>
      <w:proofErr w:type="spellEnd"/>
      <w:r>
        <w:t xml:space="preserve"> (σ, M, R, E) entfaltet sich aus der Indifferenz Struktur. Meine Aufgabe als Lehrender ist es, diese Übergänge zu begleiten.</w:t>
      </w:r>
    </w:p>
    <w:p w14:paraId="45671446" w14:textId="77777777" w:rsidR="0005621D" w:rsidRDefault="0005621D" w:rsidP="0005621D">
      <w:pPr>
        <w:pStyle w:val="StandardWeb"/>
      </w:pPr>
      <w:r>
        <w:t xml:space="preserve">Ein Beispiel: Ich frage Lernende, was eine Menge ohne Elemente bedeutet. Zuerst wirkt das absurd. Aber gerade diese Irritation öffnet einen Denkraum. In der Auseinandersetzung verschiebt sich der Fokus: Weg vom Mangel, hin zur </w:t>
      </w:r>
      <w:r>
        <w:rPr>
          <w:rStyle w:val="Fett"/>
        </w:rPr>
        <w:t>Potenzialität</w:t>
      </w:r>
      <w:r>
        <w:t xml:space="preserve">. Genau in diesem Spannungsfeld wird das Nichts zum </w:t>
      </w:r>
      <w:r>
        <w:rPr>
          <w:rStyle w:val="Fett"/>
        </w:rPr>
        <w:t>produktivsten Ausgangspunkt</w:t>
      </w:r>
      <w:r>
        <w:t xml:space="preserve"> für Lernen.</w:t>
      </w:r>
    </w:p>
    <w:p w14:paraId="1E819C65" w14:textId="77777777" w:rsidR="0005621D" w:rsidRDefault="0005621D" w:rsidP="0005621D">
      <w:r>
        <w:pict w14:anchorId="66430AC0">
          <v:rect id="_x0000_i1031" style="width:0;height:1.5pt" o:hralign="center" o:hrstd="t" o:hr="t" fillcolor="#a0a0a0" stroked="f"/>
        </w:pict>
      </w:r>
    </w:p>
    <w:p w14:paraId="6D5995CC" w14:textId="77777777" w:rsidR="0005621D" w:rsidRDefault="0005621D" w:rsidP="0005621D">
      <w:pPr>
        <w:pStyle w:val="berschrift3"/>
      </w:pPr>
      <w:r>
        <w:t>3.1.7 Zusammenfassung</w:t>
      </w:r>
    </w:p>
    <w:p w14:paraId="20D49B69" w14:textId="77777777" w:rsidR="0005621D" w:rsidRDefault="0005621D" w:rsidP="0005621D">
      <w:pPr>
        <w:pStyle w:val="StandardWeb"/>
      </w:pPr>
      <w:r>
        <w:t>Warum ist das Nichts der produktivste Anfang?</w:t>
      </w:r>
    </w:p>
    <w:p w14:paraId="175ADEFE" w14:textId="77777777" w:rsidR="0005621D" w:rsidRDefault="0005621D" w:rsidP="0005621D">
      <w:pPr>
        <w:pStyle w:val="StandardWeb"/>
        <w:numPr>
          <w:ilvl w:val="0"/>
          <w:numId w:val="4"/>
        </w:numPr>
      </w:pPr>
      <w:r>
        <w:t xml:space="preserve">Weil es </w:t>
      </w:r>
      <w:r>
        <w:rPr>
          <w:rStyle w:val="Fett"/>
        </w:rPr>
        <w:t>keine Einschränkung</w:t>
      </w:r>
      <w:r>
        <w:t xml:space="preserve"> vorgibt (mathematisch </w:t>
      </w:r>
      <w:r>
        <w:rPr>
          <w:rFonts w:ascii="Cambria Math" w:hAnsi="Cambria Math" w:cs="Cambria Math"/>
        </w:rPr>
        <w:t>∅</w:t>
      </w:r>
      <w:r>
        <w:t xml:space="preserve">, </w:t>
      </w:r>
      <w:proofErr w:type="spellStart"/>
      <w:r>
        <w:t>Suppes</w:t>
      </w:r>
      <w:proofErr w:type="spellEnd"/>
      <w:r>
        <w:t xml:space="preserve"> 1972).</w:t>
      </w:r>
    </w:p>
    <w:p w14:paraId="14297391" w14:textId="77777777" w:rsidR="0005621D" w:rsidRDefault="0005621D" w:rsidP="0005621D">
      <w:pPr>
        <w:pStyle w:val="StandardWeb"/>
        <w:numPr>
          <w:ilvl w:val="0"/>
          <w:numId w:val="4"/>
        </w:numPr>
      </w:pPr>
      <w:r>
        <w:t xml:space="preserve">Weil es </w:t>
      </w:r>
      <w:r>
        <w:rPr>
          <w:rStyle w:val="Fett"/>
        </w:rPr>
        <w:t>Potenzialität statt Identität</w:t>
      </w:r>
      <w:r>
        <w:t xml:space="preserve"> eröffnet (Heidegger 1929; Deleuze 1968/1992; Weyl 1927).</w:t>
      </w:r>
    </w:p>
    <w:p w14:paraId="15434B7C" w14:textId="77777777" w:rsidR="0005621D" w:rsidRDefault="0005621D" w:rsidP="0005621D">
      <w:pPr>
        <w:pStyle w:val="StandardWeb"/>
        <w:numPr>
          <w:ilvl w:val="0"/>
          <w:numId w:val="4"/>
        </w:numPr>
      </w:pPr>
      <w:r>
        <w:t xml:space="preserve">Weil es physikalisch nicht leer, sondern voller </w:t>
      </w:r>
      <w:r>
        <w:rPr>
          <w:rStyle w:val="Fett"/>
        </w:rPr>
        <w:t>dynamischer Möglichkeiten</w:t>
      </w:r>
      <w:r>
        <w:t xml:space="preserve"> ist (Penrose 2004; Witten 1995; </w:t>
      </w:r>
      <w:proofErr w:type="spellStart"/>
      <w:r>
        <w:t>Kauffman</w:t>
      </w:r>
      <w:proofErr w:type="spellEnd"/>
      <w:r>
        <w:t xml:space="preserve"> 1993).</w:t>
      </w:r>
    </w:p>
    <w:p w14:paraId="51B3844D" w14:textId="77777777" w:rsidR="0005621D" w:rsidRDefault="0005621D" w:rsidP="0005621D">
      <w:pPr>
        <w:pStyle w:val="StandardWeb"/>
        <w:numPr>
          <w:ilvl w:val="0"/>
          <w:numId w:val="4"/>
        </w:numPr>
      </w:pPr>
      <w:r>
        <w:t xml:space="preserve">Weil es didaktisch die </w:t>
      </w:r>
      <w:r>
        <w:rPr>
          <w:rStyle w:val="Fett"/>
        </w:rPr>
        <w:t>größte Freiheit für Entfaltung</w:t>
      </w:r>
      <w:r>
        <w:t xml:space="preserve"> schafft – und gerade deshalb produktivste Irritation (Krantz 1971; </w:t>
      </w:r>
      <w:proofErr w:type="spellStart"/>
      <w:r>
        <w:t>Sfard</w:t>
      </w:r>
      <w:proofErr w:type="spellEnd"/>
      <w:r>
        <w:t xml:space="preserve"> 2008).</w:t>
      </w:r>
    </w:p>
    <w:p w14:paraId="6EE756E9" w14:textId="77777777" w:rsidR="0005621D" w:rsidRDefault="0005621D" w:rsidP="0005621D">
      <w:pPr>
        <w:pStyle w:val="StandardWeb"/>
      </w:pPr>
      <w:r>
        <w:t xml:space="preserve">So wird klar: Jeder andere Anfang wäre zu eng. Das Nichts dagegen ist das </w:t>
      </w:r>
      <w:r>
        <w:rPr>
          <w:rStyle w:val="Fett"/>
        </w:rPr>
        <w:t>offenste und zugleich fruchtbarste Fundament</w:t>
      </w:r>
      <w:r>
        <w:t xml:space="preserve"> für das FRZK.</w:t>
      </w:r>
    </w:p>
    <w:p w14:paraId="78677608"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5A6CEF"/>
    <w:multiLevelType w:val="multilevel"/>
    <w:tmpl w:val="BE36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22735D"/>
    <w:multiLevelType w:val="multilevel"/>
    <w:tmpl w:val="F5EAD3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 w:numId="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21D"/>
    <w:rsid w:val="000467F2"/>
    <w:rsid w:val="0005621D"/>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334C2"/>
    <w:rsid w:val="00997246"/>
    <w:rsid w:val="009F6984"/>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556AC"/>
    <w:rsid w:val="00E6450A"/>
    <w:rsid w:val="00EA1CC2"/>
    <w:rsid w:val="00EB3E81"/>
    <w:rsid w:val="00EC35D8"/>
    <w:rsid w:val="00F152E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D3F45"/>
  <w15:chartTrackingRefBased/>
  <w15:docId w15:val="{56E4050F-7469-4D73-844C-0E3A72EE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621D"/>
    <w:rPr>
      <w:rFonts w:ascii="Times New Roman" w:eastAsia="Times New Roman" w:hAnsi="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05621D"/>
  </w:style>
  <w:style w:type="character" w:customStyle="1" w:styleId="mord">
    <w:name w:val="mord"/>
    <w:basedOn w:val="Absatz-Standardschriftart"/>
    <w:rsid w:val="0005621D"/>
  </w:style>
  <w:style w:type="character" w:customStyle="1" w:styleId="mopen">
    <w:name w:val="mopen"/>
    <w:basedOn w:val="Absatz-Standardschriftart"/>
    <w:rsid w:val="0005621D"/>
  </w:style>
  <w:style w:type="character" w:customStyle="1" w:styleId="mrel">
    <w:name w:val="mrel"/>
    <w:basedOn w:val="Absatz-Standardschriftart"/>
    <w:rsid w:val="0005621D"/>
  </w:style>
  <w:style w:type="character" w:customStyle="1" w:styleId="mclose">
    <w:name w:val="mclose"/>
    <w:basedOn w:val="Absatz-Standardschriftart"/>
    <w:rsid w:val="0005621D"/>
  </w:style>
  <w:style w:type="character" w:styleId="Hervorhebung">
    <w:name w:val="Emphasis"/>
    <w:uiPriority w:val="20"/>
    <w:qFormat/>
    <w:rsid w:val="000562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07500708">
      <w:bodyDiv w:val="1"/>
      <w:marLeft w:val="0"/>
      <w:marRight w:val="0"/>
      <w:marTop w:val="0"/>
      <w:marBottom w:val="0"/>
      <w:divBdr>
        <w:top w:val="none" w:sz="0" w:space="0" w:color="auto"/>
        <w:left w:val="none" w:sz="0" w:space="0" w:color="auto"/>
        <w:bottom w:val="none" w:sz="0" w:space="0" w:color="auto"/>
        <w:right w:val="none" w:sz="0" w:space="0" w:color="auto"/>
      </w:divBdr>
      <w:divsChild>
        <w:div w:id="1907568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723517">
          <w:blockQuote w:val="1"/>
          <w:marLeft w:val="720"/>
          <w:marRight w:val="720"/>
          <w:marTop w:val="100"/>
          <w:marBottom w:val="100"/>
          <w:divBdr>
            <w:top w:val="none" w:sz="0" w:space="0" w:color="auto"/>
            <w:left w:val="none" w:sz="0" w:space="0" w:color="auto"/>
            <w:bottom w:val="none" w:sz="0" w:space="0" w:color="auto"/>
            <w:right w:val="none" w:sz="0" w:space="0" w:color="auto"/>
          </w:divBdr>
        </w:div>
        <w:div w:id="304119401">
          <w:blockQuote w:val="1"/>
          <w:marLeft w:val="720"/>
          <w:marRight w:val="720"/>
          <w:marTop w:val="100"/>
          <w:marBottom w:val="100"/>
          <w:divBdr>
            <w:top w:val="none" w:sz="0" w:space="0" w:color="auto"/>
            <w:left w:val="none" w:sz="0" w:space="0" w:color="auto"/>
            <w:bottom w:val="none" w:sz="0" w:space="0" w:color="auto"/>
            <w:right w:val="none" w:sz="0" w:space="0" w:color="auto"/>
          </w:divBdr>
        </w:div>
        <w:div w:id="780609595">
          <w:blockQuote w:val="1"/>
          <w:marLeft w:val="720"/>
          <w:marRight w:val="720"/>
          <w:marTop w:val="100"/>
          <w:marBottom w:val="100"/>
          <w:divBdr>
            <w:top w:val="none" w:sz="0" w:space="0" w:color="auto"/>
            <w:left w:val="none" w:sz="0" w:space="0" w:color="auto"/>
            <w:bottom w:val="none" w:sz="0" w:space="0" w:color="auto"/>
            <w:right w:val="none" w:sz="0" w:space="0" w:color="auto"/>
          </w:divBdr>
        </w:div>
        <w:div w:id="56325750">
          <w:blockQuote w:val="1"/>
          <w:marLeft w:val="720"/>
          <w:marRight w:val="720"/>
          <w:marTop w:val="100"/>
          <w:marBottom w:val="100"/>
          <w:divBdr>
            <w:top w:val="none" w:sz="0" w:space="0" w:color="auto"/>
            <w:left w:val="none" w:sz="0" w:space="0" w:color="auto"/>
            <w:bottom w:val="none" w:sz="0" w:space="0" w:color="auto"/>
            <w:right w:val="none" w:sz="0" w:space="0" w:color="auto"/>
          </w:divBdr>
        </w:div>
        <w:div w:id="670987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188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517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268696">
          <w:blockQuote w:val="1"/>
          <w:marLeft w:val="720"/>
          <w:marRight w:val="720"/>
          <w:marTop w:val="100"/>
          <w:marBottom w:val="100"/>
          <w:divBdr>
            <w:top w:val="none" w:sz="0" w:space="0" w:color="auto"/>
            <w:left w:val="none" w:sz="0" w:space="0" w:color="auto"/>
            <w:bottom w:val="none" w:sz="0" w:space="0" w:color="auto"/>
            <w:right w:val="none" w:sz="0" w:space="0" w:color="auto"/>
          </w:divBdr>
        </w:div>
        <w:div w:id="80766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08947">
      <w:bodyDiv w:val="1"/>
      <w:marLeft w:val="0"/>
      <w:marRight w:val="0"/>
      <w:marTop w:val="0"/>
      <w:marBottom w:val="0"/>
      <w:divBdr>
        <w:top w:val="none" w:sz="0" w:space="0" w:color="auto"/>
        <w:left w:val="none" w:sz="0" w:space="0" w:color="auto"/>
        <w:bottom w:val="none" w:sz="0" w:space="0" w:color="auto"/>
        <w:right w:val="none" w:sz="0" w:space="0" w:color="auto"/>
      </w:divBdr>
      <w:divsChild>
        <w:div w:id="2078625701">
          <w:blockQuote w:val="1"/>
          <w:marLeft w:val="720"/>
          <w:marRight w:val="720"/>
          <w:marTop w:val="100"/>
          <w:marBottom w:val="100"/>
          <w:divBdr>
            <w:top w:val="none" w:sz="0" w:space="0" w:color="auto"/>
            <w:left w:val="none" w:sz="0" w:space="0" w:color="auto"/>
            <w:bottom w:val="none" w:sz="0" w:space="0" w:color="auto"/>
            <w:right w:val="none" w:sz="0" w:space="0" w:color="auto"/>
          </w:divBdr>
        </w:div>
        <w:div w:id="51573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15935745">
      <w:bodyDiv w:val="1"/>
      <w:marLeft w:val="0"/>
      <w:marRight w:val="0"/>
      <w:marTop w:val="0"/>
      <w:marBottom w:val="0"/>
      <w:divBdr>
        <w:top w:val="none" w:sz="0" w:space="0" w:color="auto"/>
        <w:left w:val="none" w:sz="0" w:space="0" w:color="auto"/>
        <w:bottom w:val="none" w:sz="0" w:space="0" w:color="auto"/>
        <w:right w:val="none" w:sz="0" w:space="0" w:color="auto"/>
      </w:divBdr>
      <w:divsChild>
        <w:div w:id="115070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243628">
      <w:bodyDiv w:val="1"/>
      <w:marLeft w:val="0"/>
      <w:marRight w:val="0"/>
      <w:marTop w:val="0"/>
      <w:marBottom w:val="0"/>
      <w:divBdr>
        <w:top w:val="none" w:sz="0" w:space="0" w:color="auto"/>
        <w:left w:val="none" w:sz="0" w:space="0" w:color="auto"/>
        <w:bottom w:val="none" w:sz="0" w:space="0" w:color="auto"/>
        <w:right w:val="none" w:sz="0" w:space="0" w:color="auto"/>
      </w:divBdr>
      <w:divsChild>
        <w:div w:id="2136288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89875402">
      <w:bodyDiv w:val="1"/>
      <w:marLeft w:val="0"/>
      <w:marRight w:val="0"/>
      <w:marTop w:val="0"/>
      <w:marBottom w:val="0"/>
      <w:divBdr>
        <w:top w:val="none" w:sz="0" w:space="0" w:color="auto"/>
        <w:left w:val="none" w:sz="0" w:space="0" w:color="auto"/>
        <w:bottom w:val="none" w:sz="0" w:space="0" w:color="auto"/>
        <w:right w:val="none" w:sz="0" w:space="0" w:color="auto"/>
      </w:divBdr>
      <w:divsChild>
        <w:div w:id="2013675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591870">
      <w:bodyDiv w:val="1"/>
      <w:marLeft w:val="0"/>
      <w:marRight w:val="0"/>
      <w:marTop w:val="0"/>
      <w:marBottom w:val="0"/>
      <w:divBdr>
        <w:top w:val="none" w:sz="0" w:space="0" w:color="auto"/>
        <w:left w:val="none" w:sz="0" w:space="0" w:color="auto"/>
        <w:bottom w:val="none" w:sz="0" w:space="0" w:color="auto"/>
        <w:right w:val="none" w:sz="0" w:space="0" w:color="auto"/>
      </w:divBdr>
      <w:divsChild>
        <w:div w:id="4874834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055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100543">
      <w:bodyDiv w:val="1"/>
      <w:marLeft w:val="0"/>
      <w:marRight w:val="0"/>
      <w:marTop w:val="0"/>
      <w:marBottom w:val="0"/>
      <w:divBdr>
        <w:top w:val="none" w:sz="0" w:space="0" w:color="auto"/>
        <w:left w:val="none" w:sz="0" w:space="0" w:color="auto"/>
        <w:bottom w:val="none" w:sz="0" w:space="0" w:color="auto"/>
        <w:right w:val="none" w:sz="0" w:space="0" w:color="auto"/>
      </w:divBdr>
      <w:divsChild>
        <w:div w:id="2002389401">
          <w:blockQuote w:val="1"/>
          <w:marLeft w:val="720"/>
          <w:marRight w:val="720"/>
          <w:marTop w:val="100"/>
          <w:marBottom w:val="100"/>
          <w:divBdr>
            <w:top w:val="none" w:sz="0" w:space="0" w:color="auto"/>
            <w:left w:val="none" w:sz="0" w:space="0" w:color="auto"/>
            <w:bottom w:val="none" w:sz="0" w:space="0" w:color="auto"/>
            <w:right w:val="none" w:sz="0" w:space="0" w:color="auto"/>
          </w:divBdr>
        </w:div>
        <w:div w:id="93050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671219">
      <w:bodyDiv w:val="1"/>
      <w:marLeft w:val="0"/>
      <w:marRight w:val="0"/>
      <w:marTop w:val="0"/>
      <w:marBottom w:val="0"/>
      <w:divBdr>
        <w:top w:val="none" w:sz="0" w:space="0" w:color="auto"/>
        <w:left w:val="none" w:sz="0" w:space="0" w:color="auto"/>
        <w:bottom w:val="none" w:sz="0" w:space="0" w:color="auto"/>
        <w:right w:val="none" w:sz="0" w:space="0" w:color="auto"/>
      </w:divBdr>
      <w:divsChild>
        <w:div w:id="1271860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8</Pages>
  <Words>2569</Words>
  <Characters>16185</Characters>
  <Application>Microsoft Office Word</Application>
  <DocSecurity>0</DocSecurity>
  <Lines>134</Lines>
  <Paragraphs>37</Paragraphs>
  <ScaleCrop>false</ScaleCrop>
  <HeadingPairs>
    <vt:vector size="4" baseType="variant">
      <vt:variant>
        <vt:lpstr>Titel</vt:lpstr>
      </vt:variant>
      <vt:variant>
        <vt:i4>1</vt:i4>
      </vt:variant>
      <vt:variant>
        <vt:lpstr>Überschriften</vt:lpstr>
      </vt:variant>
      <vt:variant>
        <vt:i4>9</vt:i4>
      </vt:variant>
    </vt:vector>
  </HeadingPairs>
  <TitlesOfParts>
    <vt:vector size="10" baseType="lpstr">
      <vt:lpstr/>
      <vt:lpstr>    Einleitung – Vom Nichts zur Struktur: Warum ich dieses System entwickle</vt:lpstr>
      <vt:lpstr>    3.1 Ausgangspunkt: Das Nichts (∅) – Philosophische und mathematische Fundierung</vt:lpstr>
      <vt:lpstr>        3.1.1 Mathematische Fundierung: Die leere Menge</vt:lpstr>
      <vt:lpstr>        3.1.2 Philosophische Implikationen</vt:lpstr>
      <vt:lpstr>        3.1.3 Physikalische Lesart</vt:lpstr>
      <vt:lpstr>        3.1.4 Kognitive und didaktische Herausforderungen</vt:lpstr>
      <vt:lpstr>        3.1.5 Das Nichts als schöpferischer Raum in Kunst und Mystik</vt:lpstr>
      <vt:lpstr>        3.1.6 Methodisch-didaktische Perspektiven</vt:lpstr>
      <vt:lpstr>        3.1.7 Zusammenfassung</vt:lpstr>
    </vt:vector>
  </TitlesOfParts>
  <Company/>
  <LinksUpToDate>false</LinksUpToDate>
  <CharactersWithSpaces>18717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2025-09-21T11:04:00Z</dcterms:created>
  <dcterms:modified xsi:type="dcterms:W3CDTF">2025-09-21T11:28:00Z</dcterms:modified>
</cp:coreProperties>
</file>