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46663" w14:textId="77777777" w:rsidR="000226B0" w:rsidRDefault="000226B0" w:rsidP="000226B0">
      <w:pPr>
        <w:pStyle w:val="berschrift2"/>
        <w:rPr>
          <w:sz w:val="36"/>
          <w:szCs w:val="36"/>
        </w:rPr>
      </w:pPr>
      <w:r>
        <w:t>3.1 Ausgangspunkt: Das Nichts (</w:t>
      </w:r>
      <w:r>
        <w:rPr>
          <w:rFonts w:ascii="Cambria Math" w:hAnsi="Cambria Math" w:cs="Cambria Math"/>
        </w:rPr>
        <w:t>∅</w:t>
      </w:r>
      <w:r>
        <w:t xml:space="preserve">) </w:t>
      </w:r>
      <w:r>
        <w:rPr>
          <w:rFonts w:cs="Calibri Light"/>
        </w:rPr>
        <w:t>–</w:t>
      </w:r>
      <w:r>
        <w:t xml:space="preserve"> Philosophische, mathematische und didaktische Fundierung</w:t>
      </w:r>
    </w:p>
    <w:p w14:paraId="2A78C692" w14:textId="77777777" w:rsidR="000226B0" w:rsidRDefault="000226B0" w:rsidP="000226B0">
      <w:pPr>
        <w:pStyle w:val="berschrift3"/>
      </w:pPr>
      <w:r>
        <w:t>3.1.1 Mathematische Setzung der Leere</w:t>
      </w:r>
    </w:p>
    <w:p w14:paraId="7666AA60" w14:textId="77777777" w:rsidR="000226B0" w:rsidRDefault="000226B0" w:rsidP="000226B0">
      <w:pPr>
        <w:pStyle w:val="StandardWeb"/>
      </w:pPr>
      <w:r>
        <w:t xml:space="preserve">Ich beginne mein Modell mit der strengsten mathematischen Setzung, die ich kenne: der leeren Menge </w:t>
      </w:r>
      <w:r>
        <w:rPr>
          <w:rFonts w:ascii="Cambria Math" w:hAnsi="Cambria Math" w:cs="Cambria Math"/>
        </w:rPr>
        <w:t>∅</w:t>
      </w:r>
      <w:r>
        <w:t xml:space="preserve">. Cantor schreibt in den </w:t>
      </w:r>
      <w:r>
        <w:rPr>
          <w:rStyle w:val="Hervorhebung"/>
        </w:rPr>
        <w:t>Beiträgen zur Begründung der transfiniten Mengenlehre</w:t>
      </w:r>
      <w:r>
        <w:t>:</w:t>
      </w:r>
    </w:p>
    <w:p w14:paraId="5BA30ED2" w14:textId="77777777" w:rsidR="000226B0" w:rsidRDefault="000226B0" w:rsidP="000226B0">
      <w:pPr>
        <w:pStyle w:val="StandardWeb"/>
      </w:pPr>
      <w:r>
        <w:t>„Unter einer ‚Menge‘ verstehe ich jede Zusammenfassung von bestimmten, wohlunterschiedenen Objekten unserer Anschauung oder unseres Denkens […] zu einem Ganzen“ (Cantor 1895, S. 481).</w:t>
      </w:r>
    </w:p>
    <w:p w14:paraId="197C8880" w14:textId="77777777" w:rsidR="000226B0" w:rsidRDefault="000226B0" w:rsidP="000226B0">
      <w:pPr>
        <w:pStyle w:val="StandardWeb"/>
      </w:pPr>
      <w:r>
        <w:t xml:space="preserve">Für mich stellt sich die entscheidende Frage: Was geschieht, wenn es keine Objekte gibt, die zusammengefasst werden können? Genau hier wird die leere Menge eingeführt: eine Menge, die keine Elemente enthält. </w:t>
      </w:r>
      <w:proofErr w:type="spellStart"/>
      <w:r>
        <w:t>Suppes</w:t>
      </w:r>
      <w:proofErr w:type="spellEnd"/>
      <w:r>
        <w:t xml:space="preserve"> formuliert das Leermengenaxiom in nüchterner Klarheit:</w:t>
      </w:r>
    </w:p>
    <w:p w14:paraId="598D53CA" w14:textId="77777777" w:rsidR="000226B0" w:rsidRDefault="000226B0" w:rsidP="000226B0">
      <w:pPr>
        <w:pStyle w:val="StandardWeb"/>
      </w:pPr>
      <w:r>
        <w:t>„</w:t>
      </w:r>
      <w:proofErr w:type="spellStart"/>
      <w:r>
        <w:t>There</w:t>
      </w:r>
      <w:proofErr w:type="spellEnd"/>
      <w:r>
        <w:t xml:space="preserve"> </w:t>
      </w:r>
      <w:proofErr w:type="spellStart"/>
      <w:r>
        <w:t>exists</w:t>
      </w:r>
      <w:proofErr w:type="spellEnd"/>
      <w:r>
        <w:t xml:space="preserve"> a </w:t>
      </w:r>
      <w:proofErr w:type="spellStart"/>
      <w:r>
        <w:t>set</w:t>
      </w:r>
      <w:proofErr w:type="spellEnd"/>
      <w:r>
        <w:t xml:space="preserve"> </w:t>
      </w:r>
      <w:proofErr w:type="spellStart"/>
      <w:r>
        <w:t>having</w:t>
      </w:r>
      <w:proofErr w:type="spellEnd"/>
      <w:r>
        <w:t xml:space="preserve"> </w:t>
      </w:r>
      <w:proofErr w:type="spellStart"/>
      <w:r>
        <w:t>no</w:t>
      </w:r>
      <w:proofErr w:type="spellEnd"/>
      <w:r>
        <w:t xml:space="preserve"> </w:t>
      </w:r>
      <w:proofErr w:type="spellStart"/>
      <w:r>
        <w:t>members</w:t>
      </w:r>
      <w:proofErr w:type="spellEnd"/>
      <w:r>
        <w:t>“ (</w:t>
      </w:r>
      <w:proofErr w:type="spellStart"/>
      <w:r>
        <w:t>Suppes</w:t>
      </w:r>
      <w:proofErr w:type="spellEnd"/>
      <w:r>
        <w:t xml:space="preserve"> 1972, S. 18).</w:t>
      </w:r>
    </w:p>
    <w:p w14:paraId="1DD45C8E" w14:textId="77777777" w:rsidR="000226B0" w:rsidRDefault="000226B0" w:rsidP="000226B0">
      <w:pPr>
        <w:pStyle w:val="StandardWeb"/>
      </w:pPr>
      <w:r>
        <w:t xml:space="preserve">Damit ist </w:t>
      </w:r>
      <w:r>
        <w:rPr>
          <w:rFonts w:ascii="Cambria Math" w:hAnsi="Cambria Math" w:cs="Cambria Math"/>
        </w:rPr>
        <w:t>∅</w:t>
      </w:r>
      <w:r>
        <w:t xml:space="preserve"> formal abgesichert: ein Nullpunkt, der keine Inhalte trägt, aber dennoch eine gültige mathematische Entität ist. Für mein FRZK bedeutet das: Ich habe einen Ausgangspunkt, der keine vorausgesetzten Strukturen benötigt und aus dem dennoch jede weitere Struktur ableitbar ist.</w:t>
      </w:r>
    </w:p>
    <w:p w14:paraId="76EF63D6" w14:textId="77777777" w:rsidR="000226B0" w:rsidRDefault="000226B0" w:rsidP="000226B0">
      <w:pPr>
        <w:pStyle w:val="berschrift3"/>
      </w:pPr>
      <w:r>
        <w:t>3.1.2 Philosophische Deutungen des Nichts</w:t>
      </w:r>
    </w:p>
    <w:p w14:paraId="58D6080B" w14:textId="77777777" w:rsidR="000226B0" w:rsidRDefault="000226B0" w:rsidP="000226B0">
      <w:pPr>
        <w:pStyle w:val="StandardWeb"/>
      </w:pPr>
      <w:r>
        <w:t>Philosophisch begegnet mir das Nichts auf vielfältige Weise. Heidegger formuliert provokant:</w:t>
      </w:r>
    </w:p>
    <w:p w14:paraId="25FF7F37" w14:textId="77777777" w:rsidR="000226B0" w:rsidRDefault="000226B0" w:rsidP="000226B0">
      <w:pPr>
        <w:pStyle w:val="StandardWeb"/>
      </w:pPr>
      <w:r>
        <w:t xml:space="preserve">„Das Nichts selbst </w:t>
      </w:r>
      <w:proofErr w:type="spellStart"/>
      <w:r>
        <w:t>nichtet</w:t>
      </w:r>
      <w:proofErr w:type="spellEnd"/>
      <w:r>
        <w:t>“ (Heidegger 1927, S. 45).</w:t>
      </w:r>
    </w:p>
    <w:p w14:paraId="55C02610" w14:textId="77777777" w:rsidR="000226B0" w:rsidRDefault="000226B0" w:rsidP="000226B0">
      <w:pPr>
        <w:pStyle w:val="StandardWeb"/>
      </w:pPr>
      <w:r>
        <w:t>Für mich heißt das: Das Nichts ist nicht bloß Abwesenheit, sondern Bedingung des Seins selbst. Deleuze sieht im Nichts die Kraft der Differenz:</w:t>
      </w:r>
    </w:p>
    <w:p w14:paraId="47811FC9" w14:textId="77777777" w:rsidR="000226B0" w:rsidRDefault="000226B0" w:rsidP="000226B0">
      <w:pPr>
        <w:pStyle w:val="StandardWeb"/>
      </w:pPr>
      <w:r>
        <w:t xml:space="preserve">„La </w:t>
      </w:r>
      <w:proofErr w:type="spellStart"/>
      <w:r>
        <w:t>différence</w:t>
      </w:r>
      <w:proofErr w:type="spellEnd"/>
      <w:r>
        <w:t xml:space="preserve"> </w:t>
      </w:r>
      <w:proofErr w:type="spellStart"/>
      <w:r>
        <w:t>est</w:t>
      </w:r>
      <w:proofErr w:type="spellEnd"/>
      <w:r>
        <w:t xml:space="preserve"> le </w:t>
      </w:r>
      <w:proofErr w:type="spellStart"/>
      <w:r>
        <w:t>moteur</w:t>
      </w:r>
      <w:proofErr w:type="spellEnd"/>
      <w:r>
        <w:t xml:space="preserve"> de la </w:t>
      </w:r>
      <w:proofErr w:type="spellStart"/>
      <w:r>
        <w:t>répétition</w:t>
      </w:r>
      <w:proofErr w:type="spellEnd"/>
      <w:r>
        <w:t>“ – „Die Differenz ist der Motor der Wiederholung“ (Deleuze 1968, S. 23).</w:t>
      </w:r>
    </w:p>
    <w:p w14:paraId="3FAD320B" w14:textId="77777777" w:rsidR="000226B0" w:rsidRDefault="000226B0" w:rsidP="000226B0">
      <w:pPr>
        <w:pStyle w:val="StandardWeb"/>
      </w:pPr>
      <w:r>
        <w:t>Ich lese darin, dass das, was leer erscheint, nicht Stillstand ist, sondern Bewegung auslöst. Weyl wiederum bemerkt:</w:t>
      </w:r>
    </w:p>
    <w:p w14:paraId="7265A988" w14:textId="77777777" w:rsidR="000226B0" w:rsidRDefault="000226B0" w:rsidP="000226B0">
      <w:pPr>
        <w:pStyle w:val="StandardWeb"/>
      </w:pPr>
      <w:r>
        <w:t>„Form ist nicht gegeben, sondern sie entspringt dem Formlosen“ (Weyl 1927, S. 7).</w:t>
      </w:r>
    </w:p>
    <w:p w14:paraId="4125C8EE" w14:textId="77777777" w:rsidR="000226B0" w:rsidRDefault="000226B0" w:rsidP="000226B0">
      <w:pPr>
        <w:pStyle w:val="StandardWeb"/>
      </w:pPr>
      <w:r>
        <w:t>Diese drei Stimmen zeigen mir: Das Nichts ist Potenzialität. Es trägt die Möglichkeit, Differenzen und Formen hervorzubringen, ohne selbst eine Form sein zu müssen.</w:t>
      </w:r>
    </w:p>
    <w:p w14:paraId="619A3C7C" w14:textId="77777777" w:rsidR="000226B0" w:rsidRDefault="000226B0" w:rsidP="000226B0">
      <w:pPr>
        <w:pStyle w:val="berschrift3"/>
      </w:pPr>
      <w:r>
        <w:t>3.1.3 Physikalische Perspektiven auf Leere und Vakuum</w:t>
      </w:r>
    </w:p>
    <w:p w14:paraId="750F3BB5" w14:textId="77777777" w:rsidR="000226B0" w:rsidRDefault="000226B0" w:rsidP="000226B0">
      <w:pPr>
        <w:pStyle w:val="StandardWeb"/>
      </w:pPr>
      <w:r>
        <w:t>Die Physik bestätigt diesen Gedanken. Dirac führt das Konzept des „Dirac-Sees“ ein, ein Vakuum, das nicht leer ist, sondern „</w:t>
      </w:r>
      <w:proofErr w:type="spellStart"/>
      <w:r>
        <w:t>filled</w:t>
      </w:r>
      <w:proofErr w:type="spellEnd"/>
      <w:r>
        <w:t xml:space="preserve"> </w:t>
      </w:r>
      <w:proofErr w:type="spellStart"/>
      <w:r>
        <w:t>with</w:t>
      </w:r>
      <w:proofErr w:type="spellEnd"/>
      <w:r>
        <w:t xml:space="preserve"> an infinite </w:t>
      </w:r>
      <w:proofErr w:type="spellStart"/>
      <w:r>
        <w:t>sea</w:t>
      </w:r>
      <w:proofErr w:type="spellEnd"/>
      <w:r>
        <w:t xml:space="preserve"> </w:t>
      </w:r>
      <w:proofErr w:type="spellStart"/>
      <w:r>
        <w:t>of</w:t>
      </w:r>
      <w:proofErr w:type="spellEnd"/>
      <w:r>
        <w:t xml:space="preserve"> negative </w:t>
      </w:r>
      <w:proofErr w:type="spellStart"/>
      <w:r>
        <w:t>energy</w:t>
      </w:r>
      <w:proofErr w:type="spellEnd"/>
      <w:r>
        <w:t xml:space="preserve"> </w:t>
      </w:r>
      <w:proofErr w:type="spellStart"/>
      <w:r>
        <w:t>states</w:t>
      </w:r>
      <w:proofErr w:type="spellEnd"/>
      <w:r>
        <w:t>“ (Dirac 1930, S. 69). Wheeler drückt es noch einfacher aus:</w:t>
      </w:r>
    </w:p>
    <w:p w14:paraId="647286B6" w14:textId="77777777" w:rsidR="000226B0" w:rsidRDefault="000226B0" w:rsidP="000226B0">
      <w:pPr>
        <w:pStyle w:val="StandardWeb"/>
      </w:pPr>
      <w:r>
        <w:lastRenderedPageBreak/>
        <w:t xml:space="preserve">„Empty </w:t>
      </w:r>
      <w:proofErr w:type="spellStart"/>
      <w:r>
        <w:t>space</w:t>
      </w:r>
      <w:proofErr w:type="spellEnd"/>
      <w:r>
        <w:t xml:space="preserve"> </w:t>
      </w:r>
      <w:proofErr w:type="spellStart"/>
      <w:r>
        <w:t>is</w:t>
      </w:r>
      <w:proofErr w:type="spellEnd"/>
      <w:r>
        <w:t xml:space="preserve"> not </w:t>
      </w:r>
      <w:proofErr w:type="spellStart"/>
      <w:r>
        <w:t>empty</w:t>
      </w:r>
      <w:proofErr w:type="spellEnd"/>
      <w:r>
        <w:t>“ (Wheeler 1980, S. 5).</w:t>
      </w:r>
    </w:p>
    <w:p w14:paraId="18A6ECFB" w14:textId="77777777" w:rsidR="000226B0" w:rsidRDefault="000226B0" w:rsidP="000226B0">
      <w:pPr>
        <w:pStyle w:val="StandardWeb"/>
      </w:pPr>
      <w:r>
        <w:t xml:space="preserve">Diese Beschreibungen haben meine Denkweise geprägt. Wenn schon die physikalische Leere voller Fluktuationen ist, warum sollte die epistemische Leere, die ich mit </w:t>
      </w:r>
      <w:r>
        <w:rPr>
          <w:rFonts w:ascii="Cambria Math" w:hAnsi="Cambria Math" w:cs="Cambria Math"/>
        </w:rPr>
        <w:t>∅</w:t>
      </w:r>
      <w:r>
        <w:t xml:space="preserve"> setze, nicht ebenfalls voller Potenziale sein? Für mich wird deutlich: Auch im „Nichts“ steckt Bewegung, Energie, Möglichkeit.</w:t>
      </w:r>
    </w:p>
    <w:p w14:paraId="56DE0C22" w14:textId="77777777" w:rsidR="000226B0" w:rsidRDefault="000226B0" w:rsidP="000226B0">
      <w:pPr>
        <w:pStyle w:val="berschrift3"/>
      </w:pPr>
      <w:r>
        <w:t>3.1.4 Didaktische Dimension: Das Nichts als Lernbühne</w:t>
      </w:r>
    </w:p>
    <w:p w14:paraId="1F8461F9" w14:textId="77777777" w:rsidR="000226B0" w:rsidRDefault="000226B0" w:rsidP="000226B0">
      <w:pPr>
        <w:pStyle w:val="StandardWeb"/>
      </w:pPr>
      <w:r>
        <w:t>Didaktisch zeigt sich das Problem des Nichts sehr konkret. Lernende tun sich schwer damit, weil unsere Sprache auf „Dinge“ ausgerichtet ist. „Nichts“ scheint paradox: Wie kann man über etwas sprechen, das es nicht gibt?</w:t>
      </w:r>
    </w:p>
    <w:p w14:paraId="34AF5D55" w14:textId="77777777" w:rsidR="000226B0" w:rsidRDefault="000226B0" w:rsidP="000226B0">
      <w:pPr>
        <w:pStyle w:val="StandardWeb"/>
      </w:pPr>
      <w:r>
        <w:t xml:space="preserve">Ich erinnere mich an eine Unterrichtssituation: Ich fragte eine Gruppe, welche Menge im Klassenzimmer die Eigenschaft „blau und gleichzeitig ein Kreis“ erfüllt. Zunächst kam nur Verwirrung, bis ein Schüler vorsichtig sagte: „Das ist gar nichts.“ Genau an diesem Punkt konnte ich erklären, dass diese „gar nichts“-Menge nicht nur Alltagssprache ist, sondern mathematisch präzise als </w:t>
      </w:r>
      <w:r>
        <w:rPr>
          <w:rFonts w:ascii="Cambria Math" w:hAnsi="Cambria Math" w:cs="Cambria Math"/>
        </w:rPr>
        <w:t>∅</w:t>
      </w:r>
      <w:r>
        <w:t xml:space="preserve"> bezeichnet wird.</w:t>
      </w:r>
    </w:p>
    <w:p w14:paraId="469C517B" w14:textId="77777777" w:rsidR="000226B0" w:rsidRDefault="000226B0" w:rsidP="000226B0">
      <w:pPr>
        <w:pStyle w:val="StandardWeb"/>
      </w:pPr>
      <w:r>
        <w:t>Pulvermüller zeigt neurokognitiv, dass „</w:t>
      </w:r>
      <w:proofErr w:type="spellStart"/>
      <w:r>
        <w:t>abstract</w:t>
      </w:r>
      <w:proofErr w:type="spellEnd"/>
      <w:r>
        <w:t xml:space="preserve"> </w:t>
      </w:r>
      <w:proofErr w:type="spellStart"/>
      <w:r>
        <w:t>words</w:t>
      </w:r>
      <w:proofErr w:type="spellEnd"/>
      <w:r>
        <w:t xml:space="preserve"> </w:t>
      </w:r>
      <w:proofErr w:type="spellStart"/>
      <w:r>
        <w:t>elicit</w:t>
      </w:r>
      <w:proofErr w:type="spellEnd"/>
      <w:r>
        <w:t xml:space="preserve"> </w:t>
      </w:r>
      <w:proofErr w:type="spellStart"/>
      <w:r>
        <w:t>more</w:t>
      </w:r>
      <w:proofErr w:type="spellEnd"/>
      <w:r>
        <w:t xml:space="preserve"> </w:t>
      </w:r>
      <w:proofErr w:type="spellStart"/>
      <w:r>
        <w:t>widespread</w:t>
      </w:r>
      <w:proofErr w:type="spellEnd"/>
      <w:r>
        <w:t xml:space="preserve"> </w:t>
      </w:r>
      <w:proofErr w:type="spellStart"/>
      <w:r>
        <w:t>cortical</w:t>
      </w:r>
      <w:proofErr w:type="spellEnd"/>
      <w:r>
        <w:t xml:space="preserve"> </w:t>
      </w:r>
      <w:proofErr w:type="spellStart"/>
      <w:r>
        <w:t>activity</w:t>
      </w:r>
      <w:proofErr w:type="spellEnd"/>
      <w:r>
        <w:t xml:space="preserve"> </w:t>
      </w:r>
      <w:proofErr w:type="spellStart"/>
      <w:r>
        <w:t>than</w:t>
      </w:r>
      <w:proofErr w:type="spellEnd"/>
      <w:r>
        <w:t xml:space="preserve"> </w:t>
      </w:r>
      <w:proofErr w:type="spellStart"/>
      <w:r>
        <w:t>concrete</w:t>
      </w:r>
      <w:proofErr w:type="spellEnd"/>
      <w:r>
        <w:t xml:space="preserve"> </w:t>
      </w:r>
      <w:proofErr w:type="spellStart"/>
      <w:r>
        <w:t>words</w:t>
      </w:r>
      <w:proofErr w:type="spellEnd"/>
      <w:r>
        <w:t>“ (Pulvermüller 2005, S. 578). Für mich bedeutet das: Gerade die Irritation, die durch das Nichts entsteht, aktiviert mehr Gehirnareale und eröffnet tiefere Lernprozesse.</w:t>
      </w:r>
    </w:p>
    <w:p w14:paraId="75EEC016" w14:textId="77777777" w:rsidR="000226B0" w:rsidRDefault="000226B0" w:rsidP="000226B0">
      <w:pPr>
        <w:pStyle w:val="StandardWeb"/>
      </w:pPr>
      <w:r>
        <w:t xml:space="preserve">Methodisch nutze ich diese Irritation gezielt. Ich inszeniere das Nichts als erfahrbaren Mangel, der Lernende zwingt, eigene Setzungen vorzunehmen. Wenn sie </w:t>
      </w:r>
      <w:r>
        <w:rPr>
          <w:rFonts w:ascii="Cambria Math" w:hAnsi="Cambria Math" w:cs="Cambria Math"/>
        </w:rPr>
        <w:t>∅</w:t>
      </w:r>
      <w:r>
        <w:t xml:space="preserve"> selbst entdecken, wird die Leere zur Bühne, auf der sie Differenzen markieren und Strukturen aufbauen können.</w:t>
      </w:r>
    </w:p>
    <w:p w14:paraId="634BF51D" w14:textId="77777777" w:rsidR="000226B0" w:rsidRDefault="000226B0" w:rsidP="000226B0">
      <w:pPr>
        <w:pStyle w:val="berschrift3"/>
      </w:pPr>
      <w:r>
        <w:t>3.1.5 Zusammenführung: Das Nichts als epistemische Potenzialität</w:t>
      </w:r>
    </w:p>
    <w:p w14:paraId="740753BE" w14:textId="77777777" w:rsidR="000226B0" w:rsidRDefault="000226B0" w:rsidP="000226B0">
      <w:pPr>
        <w:pStyle w:val="StandardWeb"/>
      </w:pPr>
      <w:r>
        <w:t xml:space="preserve">Für mein FRZK ist </w:t>
      </w:r>
      <w:r>
        <w:rPr>
          <w:rFonts w:ascii="Cambria Math" w:hAnsi="Cambria Math" w:cs="Cambria Math"/>
        </w:rPr>
        <w:t>∅</w:t>
      </w:r>
      <w:r>
        <w:t xml:space="preserve"> mehr als eine abstrakte Definition. Es ist der epistemische Ausgangspunkt, die Bedingung dafür, dass Orientierung, Differenz und Struktur überhaupt entstehen können.</w:t>
      </w:r>
    </w:p>
    <w:p w14:paraId="582483AD" w14:textId="77777777" w:rsidR="000226B0" w:rsidRDefault="000226B0" w:rsidP="000226B0">
      <w:pPr>
        <w:pStyle w:val="StandardWeb"/>
      </w:pPr>
      <w:r>
        <w:t>Ich begreife das Nichts nicht als Defizit, sondern als Möglichkeit. Mathematisch ist es durch das Leermengenaxiom gesichert. Philosophisch ist es Bedingung und Motor. Physikalisch ist es voller Energie. Didaktisch ist es eine Inszenierung, die Lernende aktiviert.</w:t>
      </w:r>
    </w:p>
    <w:p w14:paraId="0BDC742B" w14:textId="77777777" w:rsidR="000226B0" w:rsidRDefault="000226B0" w:rsidP="000226B0">
      <w:pPr>
        <w:pStyle w:val="StandardWeb"/>
      </w:pPr>
      <w:r>
        <w:t xml:space="preserve">Damit bildet </w:t>
      </w:r>
      <w:r>
        <w:rPr>
          <w:rFonts w:ascii="Cambria Math" w:hAnsi="Cambria Math" w:cs="Cambria Math"/>
        </w:rPr>
        <w:t>∅</w:t>
      </w:r>
      <w:r>
        <w:t xml:space="preserve"> die Grundlage des FRZK: Es ist der leere Raum, in dem sich Orientierung nicht findet, sondern erzeugt werden muss. Genau darin liegt seine methodische und didaktische Produktivität.</w:t>
      </w:r>
    </w:p>
    <w:p w14:paraId="236153D0" w14:textId="77777777" w:rsidR="000226B0" w:rsidRDefault="000226B0" w:rsidP="000226B0">
      <w:r>
        <w:pict w14:anchorId="4CF110F5">
          <v:rect id="_x0000_i1040" style="width:0;height:1.5pt" o:hralign="center" o:hrstd="t" o:hr="t" fillcolor="#a0a0a0" stroked="f"/>
        </w:pict>
      </w:r>
    </w:p>
    <w:p w14:paraId="67D92342" w14:textId="77777777" w:rsidR="000226B0" w:rsidRDefault="000226B0" w:rsidP="000226B0">
      <w:pPr>
        <w:pStyle w:val="StandardWeb"/>
      </w:pPr>
      <w:r>
        <w:rPr>
          <w:rFonts w:ascii="Segoe UI Emoji" w:hAnsi="Segoe UI Emoji" w:cs="Segoe UI Emoji"/>
        </w:rPr>
        <w:t>📚</w:t>
      </w:r>
      <w:r>
        <w:t xml:space="preserve"> </w:t>
      </w:r>
      <w:r>
        <w:rPr>
          <w:rStyle w:val="Fett"/>
        </w:rPr>
        <w:t>Quellen (mit Zitaten)</w:t>
      </w:r>
    </w:p>
    <w:p w14:paraId="102A8CDF" w14:textId="77777777" w:rsidR="000226B0" w:rsidRDefault="000226B0" w:rsidP="000226B0">
      <w:pPr>
        <w:pStyle w:val="StandardWeb"/>
        <w:numPr>
          <w:ilvl w:val="0"/>
          <w:numId w:val="8"/>
        </w:numPr>
      </w:pPr>
      <w:r>
        <w:t xml:space="preserve">Cantor, G. (1895). </w:t>
      </w:r>
      <w:r>
        <w:rPr>
          <w:rStyle w:val="Hervorhebung"/>
        </w:rPr>
        <w:t>Beiträge zur Begründung der transfiniten Mengenlehre</w:t>
      </w:r>
      <w:r>
        <w:t>. Mathematische Annalen, 46, 481–512.</w:t>
      </w:r>
    </w:p>
    <w:p w14:paraId="4B6AFE15" w14:textId="77777777" w:rsidR="000226B0" w:rsidRDefault="000226B0" w:rsidP="000226B0">
      <w:pPr>
        <w:pStyle w:val="StandardWeb"/>
        <w:numPr>
          <w:ilvl w:val="0"/>
          <w:numId w:val="8"/>
        </w:numPr>
      </w:pP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New York: Dover.</w:t>
      </w:r>
    </w:p>
    <w:p w14:paraId="62A258DF" w14:textId="77777777" w:rsidR="000226B0" w:rsidRDefault="000226B0" w:rsidP="000226B0">
      <w:pPr>
        <w:pStyle w:val="StandardWeb"/>
        <w:numPr>
          <w:ilvl w:val="0"/>
          <w:numId w:val="8"/>
        </w:numPr>
      </w:pPr>
      <w:r>
        <w:t xml:space="preserve">Heidegger, M. (1927). </w:t>
      </w:r>
      <w:r>
        <w:rPr>
          <w:rStyle w:val="Hervorhebung"/>
        </w:rPr>
        <w:t>Sein und Zeit</w:t>
      </w:r>
      <w:r>
        <w:t>. Tübingen: Niemeyer.</w:t>
      </w:r>
    </w:p>
    <w:p w14:paraId="09385CC6" w14:textId="77777777" w:rsidR="000226B0" w:rsidRDefault="000226B0" w:rsidP="000226B0">
      <w:pPr>
        <w:pStyle w:val="StandardWeb"/>
        <w:numPr>
          <w:ilvl w:val="0"/>
          <w:numId w:val="8"/>
        </w:numPr>
      </w:pPr>
      <w:r>
        <w:t xml:space="preserve">Deleuze, G. (1968).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Paris: PUF.</w:t>
      </w:r>
    </w:p>
    <w:p w14:paraId="524BD1C6" w14:textId="77777777" w:rsidR="000226B0" w:rsidRDefault="000226B0" w:rsidP="000226B0">
      <w:pPr>
        <w:pStyle w:val="StandardWeb"/>
        <w:numPr>
          <w:ilvl w:val="0"/>
          <w:numId w:val="8"/>
        </w:numPr>
      </w:pPr>
      <w:r>
        <w:t xml:space="preserve">Weyl, H. (1927). </w:t>
      </w:r>
      <w:r>
        <w:rPr>
          <w:rStyle w:val="Hervorhebung"/>
        </w:rPr>
        <w:t>Philosophie der Mathematik und Naturwissenschaften</w:t>
      </w:r>
      <w:r>
        <w:t xml:space="preserve">. München: </w:t>
      </w:r>
      <w:proofErr w:type="spellStart"/>
      <w:r>
        <w:t>Oldenbourg</w:t>
      </w:r>
      <w:proofErr w:type="spellEnd"/>
      <w:r>
        <w:t>.</w:t>
      </w:r>
    </w:p>
    <w:p w14:paraId="41BB7B76" w14:textId="77777777" w:rsidR="000226B0" w:rsidRDefault="000226B0" w:rsidP="000226B0">
      <w:pPr>
        <w:pStyle w:val="StandardWeb"/>
        <w:numPr>
          <w:ilvl w:val="0"/>
          <w:numId w:val="8"/>
        </w:numPr>
      </w:pPr>
      <w:r>
        <w:t xml:space="preserve">Dirac, P. (1930). </w:t>
      </w:r>
      <w:r>
        <w:rPr>
          <w:rStyle w:val="Hervorhebung"/>
        </w:rPr>
        <w:t xml:space="preserve">The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Oxford: Clarendon Press.</w:t>
      </w:r>
    </w:p>
    <w:p w14:paraId="507C323C" w14:textId="77777777" w:rsidR="000226B0" w:rsidRDefault="000226B0" w:rsidP="000226B0">
      <w:pPr>
        <w:pStyle w:val="StandardWeb"/>
        <w:numPr>
          <w:ilvl w:val="0"/>
          <w:numId w:val="8"/>
        </w:numPr>
      </w:pPr>
      <w:r>
        <w:t xml:space="preserve">Wheeler, J. A. (1980). </w:t>
      </w:r>
      <w:proofErr w:type="spellStart"/>
      <w:r>
        <w:rPr>
          <w:rStyle w:val="Hervorhebung"/>
        </w:rPr>
        <w:t>Pregeometry</w:t>
      </w:r>
      <w:proofErr w:type="spellEnd"/>
      <w:r>
        <w:rPr>
          <w:rStyle w:val="Hervorhebung"/>
        </w:rPr>
        <w:t xml:space="preserve">: </w:t>
      </w:r>
      <w:proofErr w:type="spellStart"/>
      <w:r>
        <w:rPr>
          <w:rStyle w:val="Hervorhebung"/>
        </w:rPr>
        <w:t>Motivations</w:t>
      </w:r>
      <w:proofErr w:type="spellEnd"/>
      <w:r>
        <w:rPr>
          <w:rStyle w:val="Hervorhebung"/>
        </w:rPr>
        <w:t xml:space="preserve"> and </w:t>
      </w:r>
      <w:proofErr w:type="spellStart"/>
      <w:r>
        <w:rPr>
          <w:rStyle w:val="Hervorhebung"/>
        </w:rPr>
        <w:t>Prospects</w:t>
      </w:r>
      <w:proofErr w:type="spellEnd"/>
      <w:r>
        <w:t xml:space="preserve">. In </w:t>
      </w:r>
      <w:r>
        <w:rPr>
          <w:rStyle w:val="Hervorhebung"/>
        </w:rPr>
        <w:t>Quantum Theory and Gravitation</w:t>
      </w:r>
      <w:r>
        <w:t>. Academic Press.</w:t>
      </w:r>
    </w:p>
    <w:p w14:paraId="47A015DE" w14:textId="77777777" w:rsidR="000226B0" w:rsidRDefault="000226B0" w:rsidP="000226B0">
      <w:pPr>
        <w:pStyle w:val="StandardWeb"/>
        <w:numPr>
          <w:ilvl w:val="0"/>
          <w:numId w:val="8"/>
        </w:numPr>
      </w:pPr>
      <w:r>
        <w:t xml:space="preserve">Pulvermüller, F. (2005). Brain </w:t>
      </w:r>
      <w:proofErr w:type="spellStart"/>
      <w:r>
        <w:t>mechanisms</w:t>
      </w:r>
      <w:proofErr w:type="spellEnd"/>
      <w:r>
        <w:t xml:space="preserve"> </w:t>
      </w:r>
      <w:proofErr w:type="spellStart"/>
      <w:r>
        <w:t>linking</w:t>
      </w:r>
      <w:proofErr w:type="spellEnd"/>
      <w:r>
        <w:t xml:space="preserve"> </w:t>
      </w:r>
      <w:proofErr w:type="spellStart"/>
      <w:r>
        <w:t>language</w:t>
      </w:r>
      <w:proofErr w:type="spellEnd"/>
      <w:r>
        <w:t xml:space="preserve"> and </w:t>
      </w:r>
      <w:proofErr w:type="spellStart"/>
      <w:r>
        <w:t>action</w:t>
      </w:r>
      <w:proofErr w:type="spellEnd"/>
      <w:r>
        <w:t xml:space="preserve">. </w:t>
      </w:r>
      <w:r>
        <w:rPr>
          <w:rStyle w:val="Hervorhebung"/>
        </w:rPr>
        <w:t xml:space="preserve">Nature Reviews </w:t>
      </w:r>
      <w:proofErr w:type="spellStart"/>
      <w:r>
        <w:rPr>
          <w:rStyle w:val="Hervorhebung"/>
        </w:rPr>
        <w:t>Neuroscience</w:t>
      </w:r>
      <w:proofErr w:type="spellEnd"/>
      <w:r>
        <w:t>, 6(7), 576–582.</w:t>
      </w:r>
    </w:p>
    <w:p w14:paraId="0DFDDCBF" w14:textId="77777777" w:rsidR="007C3CE7" w:rsidRDefault="007C3CE7" w:rsidP="007C3CE7">
      <w:r>
        <w:pict w14:anchorId="1769BDC7">
          <v:rect id="_x0000_i1026" style="width:0;height:1.5pt" o:hralign="center" o:hrstd="t" o:hr="t" fillcolor="#a0a0a0" stroked="f"/>
        </w:pict>
      </w:r>
    </w:p>
    <w:p w14:paraId="5F0A532B" w14:textId="77777777" w:rsidR="007C3CE7" w:rsidRDefault="007C3CE7" w:rsidP="007C3CE7">
      <w:pPr>
        <w:pStyle w:val="StandardWeb"/>
      </w:pPr>
      <w:r>
        <w:rPr>
          <w:rFonts w:ascii="Segoe UI Emoji" w:hAnsi="Segoe UI Emoji" w:cs="Segoe UI Emoji"/>
        </w:rPr>
        <w:t>👉</w:t>
      </w:r>
      <w:r>
        <w:t xml:space="preserve"> Soll ich jetzt in derselben </w:t>
      </w:r>
      <w:r>
        <w:rPr>
          <w:rStyle w:val="Fett"/>
        </w:rPr>
        <w:t>ausführlichen Form</w:t>
      </w:r>
      <w:r>
        <w:t xml:space="preserve"> mit </w:t>
      </w:r>
      <w:r>
        <w:rPr>
          <w:rStyle w:val="Fett"/>
        </w:rPr>
        <w:t>3.2 (Initialpunkt und Differenz)</w:t>
      </w:r>
      <w:r>
        <w:t xml:space="preserve"> weiterschreiben?</w:t>
      </w:r>
    </w:p>
    <w:p w14:paraId="2A2572E9" w14:textId="77777777" w:rsidR="007C3CE7" w:rsidRDefault="007C3CE7" w:rsidP="007C3CE7">
      <w:pPr>
        <w:pStyle w:val="berschrift5"/>
      </w:pPr>
      <w:r>
        <w:t>Du:</w:t>
      </w:r>
    </w:p>
    <w:p w14:paraId="79B629C3" w14:textId="77777777" w:rsidR="007C3CE7" w:rsidRDefault="007C3CE7" w:rsidP="007C3CE7">
      <w:r>
        <w:t>ja</w:t>
      </w:r>
    </w:p>
    <w:p w14:paraId="5C6D04DD" w14:textId="77777777" w:rsidR="007C3CE7" w:rsidRDefault="007C3CE7" w:rsidP="007C3CE7">
      <w:pPr>
        <w:pStyle w:val="berschrift6"/>
      </w:pPr>
      <w:proofErr w:type="spellStart"/>
      <w:r>
        <w:t>ChatGPT</w:t>
      </w:r>
      <w:proofErr w:type="spellEnd"/>
      <w:r>
        <w:t>:</w:t>
      </w:r>
    </w:p>
    <w:p w14:paraId="5D608932" w14:textId="77777777" w:rsidR="007C3CE7" w:rsidRDefault="007C3CE7" w:rsidP="007C3CE7">
      <w:pPr>
        <w:pStyle w:val="StandardWeb"/>
      </w:pPr>
      <w:r>
        <w:t xml:space="preserve">Perfekt </w:t>
      </w:r>
      <w:r>
        <w:rPr>
          <w:rFonts w:ascii="Segoe UI Emoji" w:hAnsi="Segoe UI Emoji" w:cs="Segoe UI Emoji"/>
        </w:rPr>
        <w:t>👍</w:t>
      </w:r>
      <w:r>
        <w:t xml:space="preserve"> – hier kommt jetzt die </w:t>
      </w:r>
      <w:r>
        <w:rPr>
          <w:rStyle w:val="Fett"/>
        </w:rPr>
        <w:t>ausführlich ausgearbeitete Langfassung von 3.2</w:t>
      </w:r>
      <w:r>
        <w:t xml:space="preserve"> in der </w:t>
      </w:r>
      <w:r>
        <w:rPr>
          <w:rStyle w:val="Fett"/>
        </w:rPr>
        <w:t>Ich-Perspektive</w:t>
      </w:r>
      <w:r>
        <w:t>, mit präzisen Zitaten, methodisch-didaktischer Reflexion und deutlich größerem Umfang.</w:t>
      </w:r>
    </w:p>
    <w:p w14:paraId="5B7C271E" w14:textId="77777777" w:rsidR="007C3CE7" w:rsidRDefault="007C3CE7" w:rsidP="007C3CE7">
      <w:r>
        <w:pict w14:anchorId="4EA23450">
          <v:rect id="_x0000_i1027" style="width:0;height:1.5pt" o:hralign="center" o:hrstd="t" o:hr="t" fillcolor="#a0a0a0" stroked="f"/>
        </w:pict>
      </w:r>
    </w:p>
    <w:p w14:paraId="032E5626" w14:textId="77777777" w:rsidR="000226B0" w:rsidRDefault="000226B0" w:rsidP="000226B0">
      <w:pPr>
        <w:pStyle w:val="berschrift2"/>
        <w:rPr>
          <w:sz w:val="36"/>
          <w:szCs w:val="36"/>
        </w:rPr>
      </w:pPr>
      <w:r>
        <w:t>3.2 Die erste Unterscheidung: Initialpunkt und Differenz</w:t>
      </w:r>
    </w:p>
    <w:p w14:paraId="23AB98B8" w14:textId="77777777" w:rsidR="000226B0" w:rsidRDefault="000226B0" w:rsidP="000226B0">
      <w:pPr>
        <w:pStyle w:val="berschrift3"/>
      </w:pPr>
      <w:r>
        <w:t>3.2.1 Die Notwendigkeit einer ersten Differenz</w:t>
      </w:r>
    </w:p>
    <w:p w14:paraId="090E8512" w14:textId="77777777" w:rsidR="000226B0" w:rsidRDefault="000226B0" w:rsidP="000226B0">
      <w:pPr>
        <w:pStyle w:val="StandardWeb"/>
      </w:pPr>
      <w:r>
        <w:t xml:space="preserve">Wenn ich vom Nichts ausgehe, so bleibt dieses zunächst unstrukturiert. Für mein Modell ist klar: Damit Ordnung entstehen kann, muss ich eine erste Differenz setzen. Spencer-Brown eröffnet </w:t>
      </w:r>
      <w:r>
        <w:rPr>
          <w:rStyle w:val="Hervorhebung"/>
        </w:rPr>
        <w:t xml:space="preserve">Laws </w:t>
      </w:r>
      <w:proofErr w:type="spellStart"/>
      <w:r>
        <w:rPr>
          <w:rStyle w:val="Hervorhebung"/>
        </w:rPr>
        <w:t>of</w:t>
      </w:r>
      <w:proofErr w:type="spellEnd"/>
      <w:r>
        <w:rPr>
          <w:rStyle w:val="Hervorhebung"/>
        </w:rPr>
        <w:t xml:space="preserve"> Form</w:t>
      </w:r>
      <w:r>
        <w:t xml:space="preserve"> genau mit diesem Gedanken:</w:t>
      </w:r>
    </w:p>
    <w:p w14:paraId="0D13ACD4" w14:textId="77777777" w:rsidR="000226B0" w:rsidRDefault="000226B0" w:rsidP="000226B0">
      <w:pPr>
        <w:pStyle w:val="StandardWeb"/>
      </w:pPr>
      <w:r>
        <w:t>„</w:t>
      </w:r>
      <w:proofErr w:type="spellStart"/>
      <w:r>
        <w:t>We</w:t>
      </w:r>
      <w:proofErr w:type="spellEnd"/>
      <w:r>
        <w:t xml:space="preserve"> </w:t>
      </w:r>
      <w:proofErr w:type="spellStart"/>
      <w:r>
        <w:t>take</w:t>
      </w:r>
      <w:proofErr w:type="spellEnd"/>
      <w:r>
        <w:t xml:space="preserve"> </w:t>
      </w:r>
      <w:proofErr w:type="spellStart"/>
      <w:r>
        <w:t>as</w:t>
      </w:r>
      <w:proofErr w:type="spellEnd"/>
      <w:r>
        <w:t xml:space="preserve"> </w:t>
      </w:r>
      <w:proofErr w:type="spellStart"/>
      <w:r>
        <w:t>given</w:t>
      </w:r>
      <w:proofErr w:type="spellEnd"/>
      <w:r>
        <w:t xml:space="preserve"> </w:t>
      </w:r>
      <w:proofErr w:type="spellStart"/>
      <w:r>
        <w:t>the</w:t>
      </w:r>
      <w:proofErr w:type="spellEnd"/>
      <w:r>
        <w:t xml:space="preserve"> </w:t>
      </w:r>
      <w:proofErr w:type="spellStart"/>
      <w:r>
        <w:t>idea</w:t>
      </w:r>
      <w:proofErr w:type="spellEnd"/>
      <w:r>
        <w:t xml:space="preserve"> </w:t>
      </w:r>
      <w:proofErr w:type="spellStart"/>
      <w:r>
        <w:t>of</w:t>
      </w:r>
      <w:proofErr w:type="spellEnd"/>
      <w:r>
        <w:t xml:space="preserve"> </w:t>
      </w:r>
      <w:proofErr w:type="spellStart"/>
      <w:r>
        <w:t>distinction</w:t>
      </w:r>
      <w:proofErr w:type="spellEnd"/>
      <w:r>
        <w:t xml:space="preserve"> and </w:t>
      </w:r>
      <w:proofErr w:type="spellStart"/>
      <w:r>
        <w:t>the</w:t>
      </w:r>
      <w:proofErr w:type="spellEnd"/>
      <w:r>
        <w:t xml:space="preserve"> </w:t>
      </w:r>
      <w:proofErr w:type="spellStart"/>
      <w:r>
        <w:t>idea</w:t>
      </w:r>
      <w:proofErr w:type="spellEnd"/>
      <w:r>
        <w:t xml:space="preserve"> </w:t>
      </w:r>
      <w:proofErr w:type="spellStart"/>
      <w:r>
        <w:t>of</w:t>
      </w:r>
      <w:proofErr w:type="spellEnd"/>
      <w:r>
        <w:t xml:space="preserve"> </w:t>
      </w:r>
      <w:proofErr w:type="spellStart"/>
      <w:r>
        <w:t>indication</w:t>
      </w:r>
      <w:proofErr w:type="spellEnd"/>
      <w:r>
        <w:t xml:space="preserve">, and </w:t>
      </w:r>
      <w:proofErr w:type="spellStart"/>
      <w:r>
        <w:t>that</w:t>
      </w:r>
      <w:proofErr w:type="spellEnd"/>
      <w:r>
        <w:t xml:space="preserve"> </w:t>
      </w:r>
      <w:proofErr w:type="spellStart"/>
      <w:r>
        <w:t>one</w:t>
      </w:r>
      <w:proofErr w:type="spellEnd"/>
      <w:r>
        <w:t xml:space="preserve"> </w:t>
      </w:r>
      <w:proofErr w:type="spellStart"/>
      <w:r>
        <w:t>cannot</w:t>
      </w:r>
      <w:proofErr w:type="spellEnd"/>
      <w:r>
        <w:t xml:space="preserve"> </w:t>
      </w:r>
      <w:proofErr w:type="spellStart"/>
      <w:r>
        <w:t>make</w:t>
      </w:r>
      <w:proofErr w:type="spellEnd"/>
      <w:r>
        <w:t xml:space="preserve"> an </w:t>
      </w:r>
      <w:proofErr w:type="spellStart"/>
      <w:r>
        <w:t>indication</w:t>
      </w:r>
      <w:proofErr w:type="spellEnd"/>
      <w:r>
        <w:t xml:space="preserve"> </w:t>
      </w:r>
      <w:proofErr w:type="spellStart"/>
      <w:r>
        <w:t>without</w:t>
      </w:r>
      <w:proofErr w:type="spellEnd"/>
      <w:r>
        <w:t xml:space="preserve"> </w:t>
      </w:r>
      <w:proofErr w:type="spellStart"/>
      <w:r>
        <w:t>drawing</w:t>
      </w:r>
      <w:proofErr w:type="spellEnd"/>
      <w:r>
        <w:t xml:space="preserve"> a </w:t>
      </w:r>
      <w:proofErr w:type="spellStart"/>
      <w:r>
        <w:t>distinction</w:t>
      </w:r>
      <w:proofErr w:type="spellEnd"/>
      <w:r>
        <w:t>“ (Spencer-Brown 1969, S. 1).</w:t>
      </w:r>
    </w:p>
    <w:p w14:paraId="46D9F7B7" w14:textId="77777777" w:rsidR="000226B0" w:rsidRDefault="000226B0" w:rsidP="000226B0">
      <w:pPr>
        <w:pStyle w:val="StandardWeb"/>
      </w:pPr>
      <w:r>
        <w:t>Für mich ist diese Aussage fundamental: Eine Markierung ist nur möglich, wenn zuvor eine Unterscheidung vorgenommen wurde. Damit wird die erste Differenz zur Bedingung von Orientierung.</w:t>
      </w:r>
    </w:p>
    <w:p w14:paraId="3300F1E3" w14:textId="77777777" w:rsidR="000226B0" w:rsidRDefault="000226B0" w:rsidP="000226B0">
      <w:pPr>
        <w:pStyle w:val="berschrift3"/>
      </w:pPr>
      <w:r>
        <w:t>3.2.2 Der Initialpunkt als Minimalsetzung</w:t>
      </w:r>
    </w:p>
    <w:p w14:paraId="464C531A" w14:textId="77777777" w:rsidR="000226B0" w:rsidRDefault="000226B0" w:rsidP="000226B0">
      <w:pPr>
        <w:pStyle w:val="StandardWeb"/>
      </w:pPr>
      <w:r>
        <w:t xml:space="preserve">Im FRZK setze ich diese erste Differenz durch den Initialpunkt </w:t>
      </w:r>
      <w:r>
        <w:rPr>
          <w:rStyle w:val="katex-mathml"/>
          <w:rFonts w:eastAsia="Calibri"/>
        </w:rPr>
        <w:t>II</w:t>
      </w:r>
      <w:r>
        <w:rPr>
          <w:rStyle w:val="mord"/>
        </w:rPr>
        <w:t>I</w:t>
      </w:r>
      <w:r>
        <w:t xml:space="preserve">. Dieser Punkt ist keine Substanz, sondern eine Minimalsetzung. Er existiert nur darin, dass er von </w:t>
      </w:r>
      <w:r>
        <w:rPr>
          <w:rFonts w:ascii="Cambria Math" w:hAnsi="Cambria Math" w:cs="Cambria Math"/>
        </w:rPr>
        <w:t>∅</w:t>
      </w:r>
      <w:r>
        <w:t xml:space="preserve"> unterschieden ist. Heidegger formuliert:</w:t>
      </w:r>
    </w:p>
    <w:p w14:paraId="791CEAC7" w14:textId="77777777" w:rsidR="000226B0" w:rsidRDefault="000226B0" w:rsidP="000226B0">
      <w:pPr>
        <w:pStyle w:val="StandardWeb"/>
      </w:pPr>
      <w:r>
        <w:t>„Jedes Sein ist nur im Horizont der Differenz von Sein und Nichts verständlich“ (Heidegger 1927, S. 46).</w:t>
      </w:r>
    </w:p>
    <w:p w14:paraId="6567C86E" w14:textId="77777777" w:rsidR="000226B0" w:rsidRDefault="000226B0" w:rsidP="000226B0">
      <w:pPr>
        <w:pStyle w:val="StandardWeb"/>
      </w:pPr>
      <w:r>
        <w:t>Für mich bedeutet das: Der Initialpunkt gewinnt Bedeutung nicht aus Eigenschaften, sondern allein aus seiner Differenz zur Leere.</w:t>
      </w:r>
    </w:p>
    <w:p w14:paraId="598112C7" w14:textId="77777777" w:rsidR="000226B0" w:rsidRDefault="000226B0" w:rsidP="000226B0">
      <w:pPr>
        <w:pStyle w:val="StandardWeb"/>
      </w:pPr>
      <w:r>
        <w:t>In der Typentheorie finde ich dafür ein passendes Modell. Martin-</w:t>
      </w:r>
      <w:proofErr w:type="spellStart"/>
      <w:r>
        <w:t>Löf</w:t>
      </w:r>
      <w:proofErr w:type="spellEnd"/>
      <w:r>
        <w:t xml:space="preserve"> beschreibt den </w:t>
      </w:r>
      <w:r>
        <w:rPr>
          <w:rStyle w:val="Hervorhebung"/>
        </w:rPr>
        <w:t>Unit Type</w:t>
      </w:r>
      <w:r>
        <w:t xml:space="preserve"> so:</w:t>
      </w:r>
    </w:p>
    <w:p w14:paraId="47BA4EEF" w14:textId="77777777" w:rsidR="000226B0" w:rsidRDefault="000226B0" w:rsidP="000226B0">
      <w:pPr>
        <w:pStyle w:val="StandardWeb"/>
      </w:pPr>
      <w:r>
        <w:t>„</w:t>
      </w:r>
      <w:proofErr w:type="spellStart"/>
      <w:r>
        <w:t>There</w:t>
      </w:r>
      <w:proofErr w:type="spellEnd"/>
      <w:r>
        <w:t xml:space="preserve"> </w:t>
      </w:r>
      <w:proofErr w:type="spellStart"/>
      <w:r>
        <w:t>is</w:t>
      </w:r>
      <w:proofErr w:type="spellEnd"/>
      <w:r>
        <w:t xml:space="preserve"> </w:t>
      </w:r>
      <w:proofErr w:type="spellStart"/>
      <w:r>
        <w:t>exactly</w:t>
      </w:r>
      <w:proofErr w:type="spellEnd"/>
      <w:r>
        <w:t xml:space="preserve"> </w:t>
      </w:r>
      <w:proofErr w:type="spellStart"/>
      <w:r>
        <w:t>one</w:t>
      </w:r>
      <w:proofErr w:type="spellEnd"/>
      <w:r>
        <w:t xml:space="preserve"> </w:t>
      </w:r>
      <w:proofErr w:type="spellStart"/>
      <w:r>
        <w:t>canonical</w:t>
      </w:r>
      <w:proofErr w:type="spellEnd"/>
      <w:r>
        <w:t xml:space="preserve"> </w:t>
      </w:r>
      <w:proofErr w:type="spellStart"/>
      <w:r>
        <w:t>element</w:t>
      </w:r>
      <w:proofErr w:type="spellEnd"/>
      <w:r>
        <w:t xml:space="preserve"> </w:t>
      </w:r>
      <w:proofErr w:type="spellStart"/>
      <w:r>
        <w:t>of</w:t>
      </w:r>
      <w:proofErr w:type="spellEnd"/>
      <w:r>
        <w:t xml:space="preserve"> </w:t>
      </w:r>
      <w:proofErr w:type="spellStart"/>
      <w:r>
        <w:t>the</w:t>
      </w:r>
      <w:proofErr w:type="spellEnd"/>
      <w:r>
        <w:t xml:space="preserve"> </w:t>
      </w:r>
      <w:proofErr w:type="spellStart"/>
      <w:r>
        <w:t>unit</w:t>
      </w:r>
      <w:proofErr w:type="spellEnd"/>
      <w:r>
        <w:t xml:space="preserve"> type“ (Martin-</w:t>
      </w:r>
      <w:proofErr w:type="spellStart"/>
      <w:r>
        <w:t>Löf</w:t>
      </w:r>
      <w:proofErr w:type="spellEnd"/>
      <w:r>
        <w:t xml:space="preserve"> 1984, S. 15).</w:t>
      </w:r>
    </w:p>
    <w:p w14:paraId="5172FD37" w14:textId="77777777" w:rsidR="000226B0" w:rsidRDefault="000226B0" w:rsidP="000226B0">
      <w:pPr>
        <w:pStyle w:val="StandardWeb"/>
      </w:pPr>
      <w:r>
        <w:t>Dieses Element ist einzigartig, aber ohne innere Struktur. Genauso verstehe ich den Initialpunkt: Er ist gesetzt, minimal, und gerade deshalb Ausgangspunkt für alles Weitere.</w:t>
      </w:r>
    </w:p>
    <w:p w14:paraId="43691161" w14:textId="77777777" w:rsidR="000226B0" w:rsidRDefault="000226B0" w:rsidP="000226B0">
      <w:pPr>
        <w:pStyle w:val="berschrift3"/>
      </w:pPr>
      <w:r>
        <w:t>3.2.3 Formale Axiome des Initialpunkts</w:t>
      </w:r>
    </w:p>
    <w:p w14:paraId="30CC8D62" w14:textId="77777777" w:rsidR="000226B0" w:rsidRDefault="000226B0" w:rsidP="000226B0">
      <w:pPr>
        <w:pStyle w:val="StandardWeb"/>
      </w:pPr>
      <w:r>
        <w:t>Ich fasse diesen Schritt in drei Axiomen:</w:t>
      </w:r>
    </w:p>
    <w:p w14:paraId="3258A598" w14:textId="77777777" w:rsidR="000226B0" w:rsidRDefault="000226B0" w:rsidP="000226B0">
      <w:pPr>
        <w:pStyle w:val="StandardWeb"/>
        <w:numPr>
          <w:ilvl w:val="0"/>
          <w:numId w:val="9"/>
        </w:numPr>
      </w:pPr>
      <w:r>
        <w:rPr>
          <w:rFonts w:ascii="Cambria Math" w:hAnsi="Cambria Math" w:cs="Cambria Math"/>
        </w:rPr>
        <w:t>∅</w:t>
      </w:r>
      <w:r>
        <w:t xml:space="preserve"> ist der Anfangszustand.</w:t>
      </w:r>
    </w:p>
    <w:p w14:paraId="0DD58C84" w14:textId="77777777" w:rsidR="000226B0" w:rsidRDefault="000226B0" w:rsidP="000226B0">
      <w:pPr>
        <w:pStyle w:val="StandardWeb"/>
        <w:numPr>
          <w:ilvl w:val="0"/>
          <w:numId w:val="9"/>
        </w:numPr>
      </w:pPr>
      <w:r>
        <w:rPr>
          <w:rFonts w:ascii="Cambria Math" w:hAnsi="Cambria Math" w:cs="Cambria Math"/>
        </w:rPr>
        <w:t>∃</w:t>
      </w:r>
      <w:r>
        <w:t xml:space="preserve"> </w:t>
      </w:r>
      <w:proofErr w:type="gramStart"/>
      <w:r>
        <w:t>I :</w:t>
      </w:r>
      <w:proofErr w:type="gramEnd"/>
      <w:r>
        <w:t xml:space="preserve"> I ≠ </w:t>
      </w:r>
      <w:r>
        <w:rPr>
          <w:rFonts w:ascii="Cambria Math" w:hAnsi="Cambria Math" w:cs="Cambria Math"/>
        </w:rPr>
        <w:t>∅</w:t>
      </w:r>
      <w:r>
        <w:t xml:space="preserve"> – der Initialpunkt existiert.</w:t>
      </w:r>
    </w:p>
    <w:p w14:paraId="547C64B1" w14:textId="77777777" w:rsidR="000226B0" w:rsidRDefault="000226B0" w:rsidP="000226B0">
      <w:pPr>
        <w:pStyle w:val="StandardWeb"/>
        <w:numPr>
          <w:ilvl w:val="0"/>
          <w:numId w:val="9"/>
        </w:numPr>
      </w:pPr>
      <w:r>
        <w:rPr>
          <w:rFonts w:ascii="Cambria Math" w:hAnsi="Cambria Math" w:cs="Cambria Math"/>
        </w:rPr>
        <w:t>∃</w:t>
      </w:r>
      <w:r>
        <w:t xml:space="preserve"> </w:t>
      </w:r>
      <w:proofErr w:type="gramStart"/>
      <w:r>
        <w:t>R(</w:t>
      </w:r>
      <w:proofErr w:type="gramEnd"/>
      <w:r>
        <w:t xml:space="preserve">I, </w:t>
      </w:r>
      <w:r>
        <w:rPr>
          <w:rFonts w:ascii="Cambria Math" w:hAnsi="Cambria Math" w:cs="Cambria Math"/>
        </w:rPr>
        <w:t>∅</w:t>
      </w:r>
      <w:r>
        <w:t xml:space="preserve">) – die erste Relation ist die Differenz zwischen I und </w:t>
      </w:r>
      <w:r>
        <w:rPr>
          <w:rFonts w:ascii="Cambria Math" w:hAnsi="Cambria Math" w:cs="Cambria Math"/>
        </w:rPr>
        <w:t>∅</w:t>
      </w:r>
      <w:r>
        <w:t>.</w:t>
      </w:r>
    </w:p>
    <w:p w14:paraId="432FB1BE" w14:textId="77777777" w:rsidR="000226B0" w:rsidRDefault="000226B0" w:rsidP="000226B0">
      <w:pPr>
        <w:pStyle w:val="StandardWeb"/>
      </w:pPr>
      <w:r>
        <w:t>Diese Axiome sind für mich keine bloßen Formalismen, sondern Ausdruck einer Logik: Orientierung entsteht nicht aus Inhalt, sondern aus Differenz. Der Initialpunkt ist der erste Marker, der Leere in Struktur verwandelt.</w:t>
      </w:r>
    </w:p>
    <w:p w14:paraId="17C29EE4" w14:textId="77777777" w:rsidR="000226B0" w:rsidRDefault="000226B0" w:rsidP="000226B0">
      <w:pPr>
        <w:pStyle w:val="berschrift3"/>
      </w:pPr>
      <w:r>
        <w:t>3.2.4 Didaktische Bedeutung des Initialpunkts</w:t>
      </w:r>
    </w:p>
    <w:p w14:paraId="205654A4" w14:textId="77777777" w:rsidR="000226B0" w:rsidRDefault="000226B0" w:rsidP="000226B0">
      <w:pPr>
        <w:pStyle w:val="StandardWeb"/>
      </w:pPr>
      <w:r>
        <w:t>In meiner didaktischen Praxis erkenne ich die Relevanz dieses Schritts. Lernende finden sich in neuen Themen selten durch Fülle zurecht. Sie brauchen einen Ankerpunkt, eine minimale Setzung, an der sie Orientierung gewinnen.</w:t>
      </w:r>
    </w:p>
    <w:p w14:paraId="2AF9D9D1" w14:textId="77777777" w:rsidR="000226B0" w:rsidRDefault="000226B0" w:rsidP="000226B0">
      <w:pPr>
        <w:pStyle w:val="StandardWeb"/>
      </w:pPr>
      <w:r>
        <w:t>Ein Beispiel: Als ich in einer 11. Klasse die Analysis einführte, war der Begriff der Ableitung zunächst abstrakt. Erst als ich sagte: „Stellt euch eine Gerade im Punkt vor, die an die Kurve anliegt“ – ein minimaler Bezugspunkt – konnten die Lernenden einen Anfang finden. Eine Schülerin sagte erleichtert: „Jetzt habe ich etwas, woran ich mich festhalten kann.“ Genau hier wirkte der Initialpunkt als didaktische Figur.</w:t>
      </w:r>
    </w:p>
    <w:p w14:paraId="4E25F048" w14:textId="77777777" w:rsidR="000226B0" w:rsidRDefault="000226B0" w:rsidP="000226B0">
      <w:pPr>
        <w:pStyle w:val="StandardWeb"/>
      </w:pPr>
      <w:r>
        <w:t>Methodisch bedeutet das für mich, dass ich Lernprozesse oft nicht mit komplexen Inhalten beginne, sondern mit bewusst gesetzten Initialpunkten. Diese sind klein, aber klar. Sie markieren: „Hier fängt es an.“</w:t>
      </w:r>
    </w:p>
    <w:p w14:paraId="207FCD54" w14:textId="77777777" w:rsidR="000226B0" w:rsidRDefault="000226B0" w:rsidP="000226B0">
      <w:pPr>
        <w:pStyle w:val="berschrift3"/>
      </w:pPr>
      <w:r>
        <w:t>3.2.5 Zusammenführung: Differenz als Bedingung von Orientierung</w:t>
      </w:r>
    </w:p>
    <w:p w14:paraId="61F4DAD1" w14:textId="77777777" w:rsidR="000226B0" w:rsidRDefault="000226B0" w:rsidP="000226B0">
      <w:pPr>
        <w:pStyle w:val="StandardWeb"/>
      </w:pPr>
      <w:r>
        <w:t>Für mein FRZK ist der Initialpunkt nicht nur mathematische Konstruktion, sondern methodischer Schlüssel. Er zeigt mir: Orientierung entsteht durch eine erste Differenz, nicht durch inhaltliche Erfüllung.</w:t>
      </w:r>
    </w:p>
    <w:p w14:paraId="097B72D3" w14:textId="77777777" w:rsidR="000226B0" w:rsidRDefault="000226B0" w:rsidP="000226B0">
      <w:pPr>
        <w:pStyle w:val="StandardWeb"/>
      </w:pPr>
      <w:r>
        <w:t>Philosophisch bestätigt Weyl diesen Gedanken:</w:t>
      </w:r>
    </w:p>
    <w:p w14:paraId="5FF0B588" w14:textId="77777777" w:rsidR="000226B0" w:rsidRDefault="000226B0" w:rsidP="000226B0">
      <w:pPr>
        <w:pStyle w:val="StandardWeb"/>
      </w:pPr>
      <w:r>
        <w:t>„Die Form kommt aus dem Formlosen“ (Weyl 1927, S. 7).</w:t>
      </w:r>
    </w:p>
    <w:p w14:paraId="30711B0B" w14:textId="77777777" w:rsidR="000226B0" w:rsidRDefault="000226B0" w:rsidP="000226B0">
      <w:pPr>
        <w:pStyle w:val="StandardWeb"/>
      </w:pPr>
      <w:r>
        <w:t>Didaktisch bestätigt sich das in meiner Erfahrung: Lernende brauchen nicht zuerst das Ganze, sondern einen kleinen, markierten Punkt. Aus dieser Setzung entwickelt sich Orientierung, aus Orientierung Struktur, und aus Struktur schließlich Wissen.</w:t>
      </w:r>
    </w:p>
    <w:p w14:paraId="7E273967" w14:textId="77777777" w:rsidR="000226B0" w:rsidRDefault="000226B0" w:rsidP="000226B0">
      <w:r>
        <w:pict w14:anchorId="35AB2EC7">
          <v:rect id="_x0000_i1042" style="width:0;height:1.5pt" o:hralign="center" o:hrstd="t" o:hr="t" fillcolor="#a0a0a0" stroked="f"/>
        </w:pict>
      </w:r>
    </w:p>
    <w:p w14:paraId="41D21E67" w14:textId="77777777" w:rsidR="000226B0" w:rsidRDefault="000226B0" w:rsidP="000226B0">
      <w:pPr>
        <w:pStyle w:val="StandardWeb"/>
      </w:pPr>
      <w:r>
        <w:rPr>
          <w:rFonts w:ascii="Segoe UI Emoji" w:hAnsi="Segoe UI Emoji" w:cs="Segoe UI Emoji"/>
        </w:rPr>
        <w:t>📚</w:t>
      </w:r>
      <w:r>
        <w:t xml:space="preserve"> </w:t>
      </w:r>
      <w:r>
        <w:rPr>
          <w:rStyle w:val="Fett"/>
        </w:rPr>
        <w:t>Quellen (mit Zitaten)</w:t>
      </w:r>
    </w:p>
    <w:p w14:paraId="34E5242B" w14:textId="77777777" w:rsidR="000226B0" w:rsidRDefault="000226B0" w:rsidP="000226B0">
      <w:pPr>
        <w:pStyle w:val="StandardWeb"/>
        <w:numPr>
          <w:ilvl w:val="0"/>
          <w:numId w:val="10"/>
        </w:numPr>
      </w:pPr>
      <w:r>
        <w:t xml:space="preserve">Spencer-Brown, G. (1969).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p>
    <w:p w14:paraId="55A95BCA" w14:textId="77777777" w:rsidR="000226B0" w:rsidRDefault="000226B0" w:rsidP="000226B0">
      <w:pPr>
        <w:pStyle w:val="StandardWeb"/>
        <w:numPr>
          <w:ilvl w:val="0"/>
          <w:numId w:val="10"/>
        </w:numPr>
      </w:pPr>
      <w:r>
        <w:t xml:space="preserve">Heidegger, M. (1927). </w:t>
      </w:r>
      <w:r>
        <w:rPr>
          <w:rStyle w:val="Hervorhebung"/>
        </w:rPr>
        <w:t>Sein und Zeit</w:t>
      </w:r>
      <w:r>
        <w:t>. Tübingen: Niemeyer.</w:t>
      </w:r>
    </w:p>
    <w:p w14:paraId="5D3329E0" w14:textId="77777777" w:rsidR="000226B0" w:rsidRDefault="000226B0" w:rsidP="000226B0">
      <w:pPr>
        <w:pStyle w:val="StandardWeb"/>
        <w:numPr>
          <w:ilvl w:val="0"/>
          <w:numId w:val="10"/>
        </w:numPr>
      </w:pPr>
      <w:r>
        <w:t>Martin-</w:t>
      </w:r>
      <w:proofErr w:type="spellStart"/>
      <w:r>
        <w:t>Löf</w:t>
      </w:r>
      <w:proofErr w:type="spellEnd"/>
      <w:r>
        <w:t xml:space="preserve">, P. (1984). </w:t>
      </w:r>
      <w:proofErr w:type="spellStart"/>
      <w:r>
        <w:rPr>
          <w:rStyle w:val="Hervorhebung"/>
        </w:rPr>
        <w:t>Intuitionistic</w:t>
      </w:r>
      <w:proofErr w:type="spellEnd"/>
      <w:r>
        <w:rPr>
          <w:rStyle w:val="Hervorhebung"/>
        </w:rPr>
        <w:t xml:space="preserve"> Type Theory</w:t>
      </w:r>
      <w:r>
        <w:t>. Napoli: BIBL.</w:t>
      </w:r>
    </w:p>
    <w:p w14:paraId="0EDA59E2" w14:textId="77777777" w:rsidR="000226B0" w:rsidRDefault="000226B0" w:rsidP="000226B0">
      <w:pPr>
        <w:pStyle w:val="StandardWeb"/>
        <w:numPr>
          <w:ilvl w:val="0"/>
          <w:numId w:val="10"/>
        </w:numPr>
      </w:pPr>
      <w:r>
        <w:t xml:space="preserve">Weyl, H. (1927). </w:t>
      </w:r>
      <w:r>
        <w:rPr>
          <w:rStyle w:val="Hervorhebung"/>
        </w:rPr>
        <w:t>Philosophie der Mathematik und Naturwissenschaften</w:t>
      </w:r>
      <w:r>
        <w:t xml:space="preserve">. München: </w:t>
      </w:r>
      <w:proofErr w:type="spellStart"/>
      <w:r>
        <w:t>Oldenbourg</w:t>
      </w:r>
      <w:proofErr w:type="spellEnd"/>
      <w:r>
        <w:t>.</w:t>
      </w:r>
    </w:p>
    <w:p w14:paraId="5BBE9C27" w14:textId="77777777" w:rsidR="007C3CE7" w:rsidRDefault="007C3CE7" w:rsidP="007C3CE7">
      <w:r>
        <w:pict w14:anchorId="3FBDC3AB">
          <v:rect id="_x0000_i1028" style="width:0;height:1.5pt" o:hralign="center" o:hrstd="t" o:hr="t" fillcolor="#a0a0a0" stroked="f"/>
        </w:pict>
      </w:r>
    </w:p>
    <w:p w14:paraId="6253E27C" w14:textId="7AB730DB" w:rsidR="007C3CE7" w:rsidRDefault="007C3CE7" w:rsidP="007C3CE7"/>
    <w:p w14:paraId="47248BE2" w14:textId="77777777" w:rsidR="007C3CE7" w:rsidRDefault="007C3CE7" w:rsidP="007C3CE7">
      <w:pPr>
        <w:pStyle w:val="StandardWeb"/>
      </w:pPr>
      <w:r>
        <w:rPr>
          <w:rFonts w:ascii="Segoe UI Emoji" w:hAnsi="Segoe UI Emoji" w:cs="Segoe UI Emoji"/>
        </w:rPr>
        <w:t>👉</w:t>
      </w:r>
      <w:r>
        <w:t xml:space="preserve"> Soll ich direkt so ausführlich mit </w:t>
      </w:r>
      <w:r>
        <w:rPr>
          <w:rStyle w:val="Fett"/>
        </w:rPr>
        <w:t>3.3 (Vom Initialpunkt zur ersten Relation)</w:t>
      </w:r>
      <w:r>
        <w:t xml:space="preserve"> weitermachen?</w:t>
      </w:r>
    </w:p>
    <w:p w14:paraId="601738F6" w14:textId="77777777" w:rsidR="007C3CE7" w:rsidRDefault="007C3CE7" w:rsidP="007C3CE7">
      <w:pPr>
        <w:pStyle w:val="berschrift5"/>
      </w:pPr>
      <w:r>
        <w:t>Du:</w:t>
      </w:r>
    </w:p>
    <w:p w14:paraId="75F129BA" w14:textId="77777777" w:rsidR="007C3CE7" w:rsidRDefault="007C3CE7" w:rsidP="007C3CE7">
      <w:r>
        <w:t>ja</w:t>
      </w:r>
    </w:p>
    <w:p w14:paraId="3FDAC825" w14:textId="77777777" w:rsidR="007C3CE7" w:rsidRDefault="007C3CE7" w:rsidP="007C3CE7">
      <w:pPr>
        <w:pStyle w:val="berschrift6"/>
      </w:pPr>
      <w:proofErr w:type="spellStart"/>
      <w:r>
        <w:t>ChatGPT</w:t>
      </w:r>
      <w:proofErr w:type="spellEnd"/>
      <w:r>
        <w:t>:</w:t>
      </w:r>
    </w:p>
    <w:p w14:paraId="473D0BC8" w14:textId="77777777" w:rsidR="007C3CE7" w:rsidRDefault="007C3CE7" w:rsidP="007C3CE7">
      <w:pPr>
        <w:pStyle w:val="StandardWeb"/>
      </w:pPr>
      <w:r>
        <w:t xml:space="preserve">Sehr gut </w:t>
      </w:r>
      <w:r>
        <w:rPr>
          <w:rFonts w:ascii="Segoe UI Emoji" w:hAnsi="Segoe UI Emoji" w:cs="Segoe UI Emoji"/>
        </w:rPr>
        <w:t>👍</w:t>
      </w:r>
      <w:r>
        <w:t xml:space="preserve"> – hier eine </w:t>
      </w:r>
      <w:r>
        <w:rPr>
          <w:rStyle w:val="Fett"/>
        </w:rPr>
        <w:t>ausführliche Langfassung von 3.3</w:t>
      </w:r>
      <w:r>
        <w:t xml:space="preserve"> in der </w:t>
      </w:r>
      <w:r>
        <w:rPr>
          <w:rStyle w:val="Fett"/>
        </w:rPr>
        <w:t>Ich-Perspektive</w:t>
      </w:r>
      <w:r>
        <w:t>, mit vielen Zitaten, methodisch-didaktischen Reflexionen und größerem Umfang.</w:t>
      </w:r>
    </w:p>
    <w:p w14:paraId="0BF9D76B" w14:textId="77777777" w:rsidR="007C3CE7" w:rsidRDefault="007C3CE7" w:rsidP="007C3CE7">
      <w:r>
        <w:pict w14:anchorId="50503C74">
          <v:rect id="_x0000_i1030" style="width:0;height:1.5pt" o:hralign="center" o:hrstd="t" o:hr="t" fillcolor="#a0a0a0" stroked="f"/>
        </w:pict>
      </w:r>
    </w:p>
    <w:p w14:paraId="3A0F9CFC" w14:textId="77777777" w:rsidR="000226B0" w:rsidRDefault="000226B0" w:rsidP="000226B0">
      <w:pPr>
        <w:pStyle w:val="berschrift2"/>
        <w:rPr>
          <w:sz w:val="36"/>
          <w:szCs w:val="36"/>
        </w:rPr>
      </w:pPr>
      <w:r>
        <w:t>3.3 Vom Initialpunkt zur ersten Relation</w:t>
      </w:r>
    </w:p>
    <w:p w14:paraId="04063A08" w14:textId="77777777" w:rsidR="000226B0" w:rsidRDefault="000226B0" w:rsidP="000226B0">
      <w:pPr>
        <w:pStyle w:val="berschrift3"/>
      </w:pPr>
      <w:r>
        <w:t>3.3.1 Die Grenze des Initialpunkts</w:t>
      </w:r>
    </w:p>
    <w:p w14:paraId="7DECE725" w14:textId="77777777" w:rsidR="000226B0" w:rsidRDefault="000226B0" w:rsidP="000226B0">
      <w:pPr>
        <w:pStyle w:val="StandardWeb"/>
      </w:pPr>
      <w:r>
        <w:t xml:space="preserve">Der Initialpunkt </w:t>
      </w:r>
      <w:r>
        <w:rPr>
          <w:rStyle w:val="katex-mathml"/>
        </w:rPr>
        <w:t>II</w:t>
      </w:r>
      <w:r>
        <w:rPr>
          <w:rStyle w:val="mord"/>
        </w:rPr>
        <w:t>I</w:t>
      </w:r>
      <w:r>
        <w:t xml:space="preserve"> ist für mich eine notwendige Setzung, doch solange er </w:t>
      </w:r>
      <w:proofErr w:type="gramStart"/>
      <w:r>
        <w:t>allein steht</w:t>
      </w:r>
      <w:proofErr w:type="gramEnd"/>
      <w:r>
        <w:t xml:space="preserve">, bleibt er leer. Er trägt keine Eigenschaften außer seiner Differenz zu </w:t>
      </w:r>
      <w:r>
        <w:rPr>
          <w:rFonts w:ascii="Cambria Math" w:hAnsi="Cambria Math" w:cs="Cambria Math"/>
        </w:rPr>
        <w:t>∅</w:t>
      </w:r>
      <w:r>
        <w:t xml:space="preserve">. Damit entsteht aber noch keine Struktur. Ich erkenne: Erst durch die Relation </w:t>
      </w:r>
      <w:r>
        <w:rPr>
          <w:rStyle w:val="katex-mathml"/>
        </w:rPr>
        <w:t>R(</w:t>
      </w:r>
      <w:proofErr w:type="gramStart"/>
      <w:r>
        <w:rPr>
          <w:rStyle w:val="katex-mathml"/>
        </w:rPr>
        <w:t>I,</w:t>
      </w:r>
      <w:r>
        <w:rPr>
          <w:rStyle w:val="katex-mathml"/>
          <w:rFonts w:ascii="Cambria Math" w:hAnsi="Cambria Math" w:cs="Cambria Math"/>
        </w:rPr>
        <w:t>∅</w:t>
      </w:r>
      <w:proofErr w:type="gramEnd"/>
      <w:r>
        <w:rPr>
          <w:rStyle w:val="katex-mathml"/>
        </w:rPr>
        <w:t xml:space="preserve">)R(I, </w:t>
      </w:r>
      <w:r>
        <w:rPr>
          <w:rStyle w:val="katex-mathml"/>
          <w:rFonts w:ascii="Cambria Math" w:hAnsi="Cambria Math" w:cs="Cambria Math"/>
        </w:rPr>
        <w:t>∅</w:t>
      </w:r>
      <w:r>
        <w:rPr>
          <w:rStyle w:val="katex-mathml"/>
        </w:rPr>
        <w:t>)</w:t>
      </w:r>
      <w:r>
        <w:rPr>
          <w:rStyle w:val="mord"/>
        </w:rPr>
        <w:t>R</w:t>
      </w:r>
      <w:r>
        <w:rPr>
          <w:rStyle w:val="mopen"/>
        </w:rPr>
        <w:t>(</w:t>
      </w:r>
      <w:r>
        <w:rPr>
          <w:rStyle w:val="mord"/>
        </w:rPr>
        <w:t>I</w:t>
      </w:r>
      <w:r>
        <w:rPr>
          <w:rStyle w:val="mpunct"/>
        </w:rPr>
        <w:t>,</w:t>
      </w:r>
      <w:r>
        <w:rPr>
          <w:rStyle w:val="mord"/>
          <w:rFonts w:ascii="Cambria Math" w:hAnsi="Cambria Math" w:cs="Cambria Math"/>
        </w:rPr>
        <w:t>∅</w:t>
      </w:r>
      <w:r>
        <w:rPr>
          <w:rStyle w:val="mclose"/>
          <w:rFonts w:eastAsia="Georgia"/>
        </w:rPr>
        <w:t>)</w:t>
      </w:r>
      <w:r>
        <w:t xml:space="preserve"> beginnt Ordnung sich zu entfalten.</w:t>
      </w:r>
    </w:p>
    <w:p w14:paraId="046C7706" w14:textId="77777777" w:rsidR="000226B0" w:rsidRDefault="000226B0" w:rsidP="000226B0">
      <w:pPr>
        <w:pStyle w:val="StandardWeb"/>
      </w:pPr>
      <w:r>
        <w:t>Bateson hat diesen Gedanken treffend auf den Punkt gebracht:</w:t>
      </w:r>
    </w:p>
    <w:p w14:paraId="501EC8F7" w14:textId="77777777" w:rsidR="000226B0" w:rsidRDefault="000226B0" w:rsidP="000226B0">
      <w:pPr>
        <w:pStyle w:val="StandardWeb"/>
      </w:pPr>
      <w:r>
        <w:t xml:space="preserve">„Information </w:t>
      </w:r>
      <w:proofErr w:type="spellStart"/>
      <w:r>
        <w:t>is</w:t>
      </w:r>
      <w:proofErr w:type="spellEnd"/>
      <w:r>
        <w:t xml:space="preserve"> a </w:t>
      </w:r>
      <w:proofErr w:type="spellStart"/>
      <w:r>
        <w:t>difference</w:t>
      </w:r>
      <w:proofErr w:type="spellEnd"/>
      <w:r>
        <w:t xml:space="preserve"> </w:t>
      </w:r>
      <w:proofErr w:type="spellStart"/>
      <w:r>
        <w:t>that</w:t>
      </w:r>
      <w:proofErr w:type="spellEnd"/>
      <w:r>
        <w:t xml:space="preserve"> </w:t>
      </w:r>
      <w:proofErr w:type="spellStart"/>
      <w:r>
        <w:t>makes</w:t>
      </w:r>
      <w:proofErr w:type="spellEnd"/>
      <w:r>
        <w:t xml:space="preserve"> a </w:t>
      </w:r>
      <w:proofErr w:type="spellStart"/>
      <w:r>
        <w:t>difference</w:t>
      </w:r>
      <w:proofErr w:type="spellEnd"/>
      <w:r>
        <w:t>“ (Bateson 1972, S. 453).</w:t>
      </w:r>
    </w:p>
    <w:p w14:paraId="481096E1" w14:textId="77777777" w:rsidR="000226B0" w:rsidRDefault="000226B0" w:rsidP="000226B0">
      <w:pPr>
        <w:pStyle w:val="StandardWeb"/>
      </w:pPr>
      <w:r>
        <w:t>Für mich bedeutet das: Die bloße Differenz reicht nicht; sie muss eine weitere Differenz auslösen, um Bedeutung zu erzeugen. Genau das geschieht im Übergang vom Initialpunkt zur ersten Relation.</w:t>
      </w:r>
    </w:p>
    <w:p w14:paraId="3F7905D6" w14:textId="77777777" w:rsidR="000226B0" w:rsidRDefault="000226B0" w:rsidP="000226B0">
      <w:pPr>
        <w:pStyle w:val="berschrift3"/>
      </w:pPr>
      <w:r>
        <w:t>3.3.2 Relationen als Ursprung von Struktur</w:t>
      </w:r>
    </w:p>
    <w:p w14:paraId="20E1C341" w14:textId="77777777" w:rsidR="000226B0" w:rsidRDefault="000226B0" w:rsidP="000226B0">
      <w:pPr>
        <w:pStyle w:val="StandardWeb"/>
      </w:pPr>
      <w:proofErr w:type="spellStart"/>
      <w:r>
        <w:t>Misner</w:t>
      </w:r>
      <w:proofErr w:type="spellEnd"/>
      <w:r>
        <w:t xml:space="preserve">, Thorne und Wheeler formulieren in </w:t>
      </w:r>
      <w:r>
        <w:rPr>
          <w:rStyle w:val="Hervorhebung"/>
        </w:rPr>
        <w:t>Gravitation</w:t>
      </w:r>
      <w:r>
        <w:t>:</w:t>
      </w:r>
    </w:p>
    <w:p w14:paraId="100C464B" w14:textId="77777777" w:rsidR="000226B0" w:rsidRDefault="000226B0" w:rsidP="000226B0">
      <w:pPr>
        <w:pStyle w:val="StandardWeb"/>
      </w:pPr>
      <w:r>
        <w:t>„</w:t>
      </w:r>
      <w:proofErr w:type="spellStart"/>
      <w:r>
        <w:t>Coordinates</w:t>
      </w:r>
      <w:proofErr w:type="spellEnd"/>
      <w:r>
        <w:t xml:space="preserve"> </w:t>
      </w:r>
      <w:proofErr w:type="spellStart"/>
      <w:r>
        <w:t>have</w:t>
      </w:r>
      <w:proofErr w:type="spellEnd"/>
      <w:r>
        <w:t xml:space="preserve"> </w:t>
      </w:r>
      <w:proofErr w:type="spellStart"/>
      <w:r>
        <w:t>no</w:t>
      </w:r>
      <w:proofErr w:type="spellEnd"/>
      <w:r>
        <w:t xml:space="preserve"> </w:t>
      </w:r>
      <w:proofErr w:type="spellStart"/>
      <w:r>
        <w:t>independent</w:t>
      </w:r>
      <w:proofErr w:type="spellEnd"/>
      <w:r>
        <w:t xml:space="preserve"> </w:t>
      </w:r>
      <w:proofErr w:type="spellStart"/>
      <w:r>
        <w:t>meaning</w:t>
      </w:r>
      <w:proofErr w:type="spellEnd"/>
      <w:r>
        <w:t xml:space="preserve">; </w:t>
      </w:r>
      <w:proofErr w:type="spellStart"/>
      <w:r>
        <w:t>only</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events</w:t>
      </w:r>
      <w:proofErr w:type="spellEnd"/>
      <w:r>
        <w:t xml:space="preserve"> </w:t>
      </w:r>
      <w:proofErr w:type="spellStart"/>
      <w:r>
        <w:t>are</w:t>
      </w:r>
      <w:proofErr w:type="spellEnd"/>
      <w:r>
        <w:t xml:space="preserve"> </w:t>
      </w:r>
      <w:proofErr w:type="spellStart"/>
      <w:r>
        <w:t>physically</w:t>
      </w:r>
      <w:proofErr w:type="spellEnd"/>
      <w:r>
        <w:t xml:space="preserve"> </w:t>
      </w:r>
      <w:proofErr w:type="spellStart"/>
      <w:r>
        <w:t>significant</w:t>
      </w:r>
      <w:proofErr w:type="spellEnd"/>
      <w:r>
        <w:t>“ (</w:t>
      </w:r>
      <w:proofErr w:type="spellStart"/>
      <w:r>
        <w:t>Misner</w:t>
      </w:r>
      <w:proofErr w:type="spellEnd"/>
      <w:r>
        <w:t>/Thorne/Wheeler 1973, S. 29).</w:t>
      </w:r>
    </w:p>
    <w:p w14:paraId="41F16F22" w14:textId="77777777" w:rsidR="000226B0" w:rsidRDefault="000226B0" w:rsidP="000226B0">
      <w:pPr>
        <w:pStyle w:val="StandardWeb"/>
      </w:pPr>
      <w:r>
        <w:t>Diese Sichtweise inspiriert mich stark. Raum und Zeit sind nicht unabhängig vorhanden, sondern entstehen aus Relationen. Übertragen auf mein Modell heißt das: Auch epistemische Orientierung entsteht nicht durch isolierte Punkte, sondern durch die Relationen, die zwischen ihnen gesetzt werden.</w:t>
      </w:r>
    </w:p>
    <w:p w14:paraId="6641348E" w14:textId="77777777" w:rsidR="000226B0" w:rsidRDefault="000226B0" w:rsidP="000226B0">
      <w:pPr>
        <w:pStyle w:val="StandardWeb"/>
      </w:pPr>
      <w:r>
        <w:t>Luhmann beschreibt diesen Gedanken systemtheoretisch:</w:t>
      </w:r>
    </w:p>
    <w:p w14:paraId="6E8A172E" w14:textId="77777777" w:rsidR="000226B0" w:rsidRDefault="000226B0" w:rsidP="000226B0">
      <w:pPr>
        <w:pStyle w:val="StandardWeb"/>
      </w:pPr>
      <w:r>
        <w:t>„Systeme bestehen nicht aus Substanzen, sondern aus Relationen“ (Luhmann 1984, S. 25).</w:t>
      </w:r>
    </w:p>
    <w:p w14:paraId="42A8399F" w14:textId="77777777" w:rsidR="000226B0" w:rsidRDefault="000226B0" w:rsidP="000226B0">
      <w:pPr>
        <w:pStyle w:val="StandardWeb"/>
      </w:pPr>
      <w:r>
        <w:t>Ich erkenne darin eine Bestätigung für das FRZK: Es ist nicht ein System von Dingen, sondern ein Geflecht von Relationen, das Orientierung stiftet.</w:t>
      </w:r>
    </w:p>
    <w:p w14:paraId="4AB7509E" w14:textId="77777777" w:rsidR="000226B0" w:rsidRDefault="000226B0" w:rsidP="000226B0">
      <w:pPr>
        <w:pStyle w:val="berschrift3"/>
      </w:pPr>
      <w:r>
        <w:t>3.3.3 Relationen in meiner didaktischen Praxis</w:t>
      </w:r>
    </w:p>
    <w:p w14:paraId="759C9EA7" w14:textId="77777777" w:rsidR="000226B0" w:rsidRDefault="000226B0" w:rsidP="000226B0">
      <w:pPr>
        <w:pStyle w:val="StandardWeb"/>
      </w:pPr>
      <w:r>
        <w:t>In meinem Unterricht habe ich unzählige Situationen erlebt, in denen ein Begriff erst dann verstanden wurde, wenn er in Relation zu einem anderen trat. Ein Schüler formulierte im Physikunterricht: „Das ist doch wie bei der Geschwindigkeit, nur eben mit Beschleunigung.“ Diese Aussage zeigte mir: Bedeutung entsteht im relationalen Vergleich, nicht in der isolierten Definition.</w:t>
      </w:r>
    </w:p>
    <w:p w14:paraId="147F6408" w14:textId="77777777" w:rsidR="000226B0" w:rsidRDefault="000226B0" w:rsidP="000226B0">
      <w:pPr>
        <w:pStyle w:val="StandardWeb"/>
      </w:pPr>
      <w:r>
        <w:t>Methodisch habe ich daraus gelernt, Relationen ins Zentrum meiner Didaktik zu stellen. Ich verzichte auf reine Inhaltsvermittlung. Stattdessen schaffe ich Aufgaben, die Differenzen sichtbar machen. Wenn ich die lineare Funktion einführe, frage ich: „Was verändert sich, wenn ich die Steigung verdopple? Was bleibt gleich, wenn ich den y-Achsenabschnitt verschiebe?“ Solche Aufgaben erzeugen Relationen – und damit Orientierung.</w:t>
      </w:r>
    </w:p>
    <w:p w14:paraId="762D4804" w14:textId="77777777" w:rsidR="000226B0" w:rsidRDefault="000226B0" w:rsidP="000226B0">
      <w:pPr>
        <w:pStyle w:val="berschrift3"/>
      </w:pPr>
      <w:r>
        <w:t>3.3.4 Vom Initialpunkt zum Adressierungssystem</w:t>
      </w:r>
    </w:p>
    <w:p w14:paraId="4230BBBC" w14:textId="77777777" w:rsidR="000226B0" w:rsidRDefault="000226B0" w:rsidP="000226B0">
      <w:pPr>
        <w:pStyle w:val="StandardWeb"/>
      </w:pPr>
      <w:r>
        <w:t xml:space="preserve">Die erste Relation </w:t>
      </w:r>
      <w:r>
        <w:rPr>
          <w:rStyle w:val="katex-mathml"/>
        </w:rPr>
        <w:t>R(</w:t>
      </w:r>
      <w:proofErr w:type="gramStart"/>
      <w:r>
        <w:rPr>
          <w:rStyle w:val="katex-mathml"/>
        </w:rPr>
        <w:t>I,</w:t>
      </w:r>
      <w:r>
        <w:rPr>
          <w:rStyle w:val="katex-mathml"/>
          <w:rFonts w:ascii="Cambria Math" w:hAnsi="Cambria Math" w:cs="Cambria Math"/>
        </w:rPr>
        <w:t>∅</w:t>
      </w:r>
      <w:proofErr w:type="gramEnd"/>
      <w:r>
        <w:rPr>
          <w:rStyle w:val="katex-mathml"/>
        </w:rPr>
        <w:t xml:space="preserve">)R(I, </w:t>
      </w:r>
      <w:r>
        <w:rPr>
          <w:rStyle w:val="katex-mathml"/>
          <w:rFonts w:ascii="Cambria Math" w:hAnsi="Cambria Math" w:cs="Cambria Math"/>
        </w:rPr>
        <w:t>∅</w:t>
      </w:r>
      <w:r>
        <w:rPr>
          <w:rStyle w:val="katex-mathml"/>
        </w:rPr>
        <w:t>)</w:t>
      </w:r>
      <w:r>
        <w:rPr>
          <w:rStyle w:val="mord"/>
        </w:rPr>
        <w:t>R</w:t>
      </w:r>
      <w:r>
        <w:rPr>
          <w:rStyle w:val="mopen"/>
        </w:rPr>
        <w:t>(</w:t>
      </w:r>
      <w:r>
        <w:rPr>
          <w:rStyle w:val="mord"/>
        </w:rPr>
        <w:t>I</w:t>
      </w:r>
      <w:r>
        <w:rPr>
          <w:rStyle w:val="mpunct"/>
        </w:rPr>
        <w:t>,</w:t>
      </w:r>
      <w:r>
        <w:rPr>
          <w:rStyle w:val="mord"/>
          <w:rFonts w:ascii="Cambria Math" w:hAnsi="Cambria Math" w:cs="Cambria Math"/>
        </w:rPr>
        <w:t>∅</w:t>
      </w:r>
      <w:r>
        <w:rPr>
          <w:rStyle w:val="mclose"/>
          <w:rFonts w:eastAsia="Georgia"/>
        </w:rPr>
        <w:t>)</w:t>
      </w:r>
      <w:r>
        <w:t xml:space="preserve"> ist für mich mehr als nur ein technischer Schritt. Sie eröffnet ein Adressierungssystem. Sobald eine Differenz gesetzt ist, können weitere Punkte verknüpft werden. Ich verstehe diesen Moment als Übergang von Existenz zu Orientierung: Der Initialpunkt existiert, aber erst die Relation ermöglicht Positionierung im entstehenden Raum.</w:t>
      </w:r>
    </w:p>
    <w:p w14:paraId="629F05EB" w14:textId="77777777" w:rsidR="000226B0" w:rsidRDefault="000226B0" w:rsidP="000226B0">
      <w:pPr>
        <w:pStyle w:val="StandardWeb"/>
      </w:pPr>
      <w:r>
        <w:t>Philosophisch bedeutet das: Bedeutung ist relational verfasst. Didaktisch heißt es: Lernende bauen ihr Wissen nicht als Sammlung auf, sondern als Netz. Jeder neue Begriff gewinnt erst Sinn, wenn er in Relation zu anderen gesetzt wird.</w:t>
      </w:r>
    </w:p>
    <w:p w14:paraId="09B2F46C" w14:textId="77777777" w:rsidR="000226B0" w:rsidRDefault="000226B0" w:rsidP="000226B0">
      <w:pPr>
        <w:pStyle w:val="berschrift3"/>
      </w:pPr>
      <w:r>
        <w:t>3.3.5 Zusammenführung: Relation als Beginn von Orientierung</w:t>
      </w:r>
    </w:p>
    <w:p w14:paraId="315783DD" w14:textId="77777777" w:rsidR="000226B0" w:rsidRDefault="000226B0" w:rsidP="000226B0">
      <w:pPr>
        <w:pStyle w:val="StandardWeb"/>
      </w:pPr>
      <w:r>
        <w:t>Für mein FRZK ist die erste Relation der entscheidende Schritt: Aus der bloßen Setzung eines Initialpunkts wird ein funktionales System. Batesons Einsicht, dass Information eine „</w:t>
      </w:r>
      <w:proofErr w:type="spellStart"/>
      <w:r>
        <w:t>difference</w:t>
      </w:r>
      <w:proofErr w:type="spellEnd"/>
      <w:r>
        <w:t xml:space="preserve"> </w:t>
      </w:r>
      <w:proofErr w:type="spellStart"/>
      <w:r>
        <w:t>that</w:t>
      </w:r>
      <w:proofErr w:type="spellEnd"/>
      <w:r>
        <w:t xml:space="preserve"> </w:t>
      </w:r>
      <w:proofErr w:type="spellStart"/>
      <w:r>
        <w:t>makes</w:t>
      </w:r>
      <w:proofErr w:type="spellEnd"/>
      <w:r>
        <w:t xml:space="preserve"> a </w:t>
      </w:r>
      <w:proofErr w:type="spellStart"/>
      <w:r>
        <w:t>difference</w:t>
      </w:r>
      <w:proofErr w:type="spellEnd"/>
      <w:r>
        <w:t>“ ist, findet hier ihre didaktische Entsprechung.</w:t>
      </w:r>
    </w:p>
    <w:p w14:paraId="056A8AB5" w14:textId="77777777" w:rsidR="000226B0" w:rsidRDefault="000226B0" w:rsidP="000226B0">
      <w:pPr>
        <w:pStyle w:val="StandardWeb"/>
      </w:pPr>
      <w:r>
        <w:t>Ich begreife Relationen als die eigentlichen Träger von Bedeutung – im Modell wie im Unterricht. Vom Initialpunkt zur Relation zu gehen, bedeutet, den Übergang von Existenz zu Orientierung zu vollziehen. Ohne Relationen gibt es keine Ordnung, keine Bewegung, kein Lernen.</w:t>
      </w:r>
    </w:p>
    <w:p w14:paraId="6357F7ED" w14:textId="77777777" w:rsidR="000226B0" w:rsidRDefault="000226B0" w:rsidP="000226B0">
      <w:r>
        <w:pict w14:anchorId="62E659CB">
          <v:rect id="_x0000_i1046" style="width:0;height:1.5pt" o:hralign="center" o:hrstd="t" o:hr="t" fillcolor="#a0a0a0" stroked="f"/>
        </w:pict>
      </w:r>
    </w:p>
    <w:p w14:paraId="40CF2573" w14:textId="77777777" w:rsidR="000226B0" w:rsidRDefault="000226B0" w:rsidP="000226B0">
      <w:pPr>
        <w:pStyle w:val="StandardWeb"/>
      </w:pPr>
      <w:r>
        <w:rPr>
          <w:rFonts w:ascii="Segoe UI Emoji" w:hAnsi="Segoe UI Emoji" w:cs="Segoe UI Emoji"/>
        </w:rPr>
        <w:t>📚</w:t>
      </w:r>
      <w:r>
        <w:t xml:space="preserve"> </w:t>
      </w:r>
      <w:r>
        <w:rPr>
          <w:rStyle w:val="Fett"/>
        </w:rPr>
        <w:t>Quellen (mit Zitaten)</w:t>
      </w:r>
    </w:p>
    <w:p w14:paraId="65DC8B43" w14:textId="77777777" w:rsidR="000226B0" w:rsidRDefault="000226B0" w:rsidP="000226B0">
      <w:pPr>
        <w:pStyle w:val="StandardWeb"/>
        <w:numPr>
          <w:ilvl w:val="0"/>
          <w:numId w:val="11"/>
        </w:numPr>
      </w:pPr>
      <w:r>
        <w:t xml:space="preserve">Bateson, G.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San Francisco: Chandler.</w:t>
      </w:r>
    </w:p>
    <w:p w14:paraId="58D7650D" w14:textId="77777777" w:rsidR="000226B0" w:rsidRDefault="000226B0" w:rsidP="000226B0">
      <w:pPr>
        <w:pStyle w:val="StandardWeb"/>
        <w:numPr>
          <w:ilvl w:val="0"/>
          <w:numId w:val="11"/>
        </w:numPr>
      </w:pPr>
      <w:proofErr w:type="spellStart"/>
      <w:r>
        <w:t>Misner</w:t>
      </w:r>
      <w:proofErr w:type="spellEnd"/>
      <w:r>
        <w:t xml:space="preserve">, C. W., Thorne, K. S., &amp; Wheeler, J. A. (1973). </w:t>
      </w:r>
      <w:r>
        <w:rPr>
          <w:rStyle w:val="Hervorhebung"/>
        </w:rPr>
        <w:t>Gravitation</w:t>
      </w:r>
      <w:r>
        <w:t>. San Francisco: Freeman.</w:t>
      </w:r>
    </w:p>
    <w:p w14:paraId="5A4C8A26" w14:textId="77777777" w:rsidR="000226B0" w:rsidRDefault="000226B0" w:rsidP="000226B0">
      <w:pPr>
        <w:pStyle w:val="StandardWeb"/>
        <w:numPr>
          <w:ilvl w:val="0"/>
          <w:numId w:val="11"/>
        </w:numPr>
      </w:pPr>
      <w:r>
        <w:t xml:space="preserve">Luhmann, N. (1984).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Frankfurt a.M.: Suhrkamp.</w:t>
      </w:r>
    </w:p>
    <w:p w14:paraId="10A1C75E"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919D2"/>
    <w:multiLevelType w:val="multilevel"/>
    <w:tmpl w:val="6796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A1B41"/>
    <w:multiLevelType w:val="multilevel"/>
    <w:tmpl w:val="A60E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166011"/>
    <w:multiLevelType w:val="multilevel"/>
    <w:tmpl w:val="644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401ED"/>
    <w:multiLevelType w:val="multilevel"/>
    <w:tmpl w:val="214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F2C19"/>
    <w:multiLevelType w:val="multilevel"/>
    <w:tmpl w:val="F89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8784F"/>
    <w:multiLevelType w:val="multilevel"/>
    <w:tmpl w:val="8240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C49D0"/>
    <w:multiLevelType w:val="multilevel"/>
    <w:tmpl w:val="C9A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81798"/>
    <w:multiLevelType w:val="multilevel"/>
    <w:tmpl w:val="9B0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6"/>
  </w:num>
  <w:num w:numId="5">
    <w:abstractNumId w:val="8"/>
  </w:num>
  <w:num w:numId="6">
    <w:abstractNumId w:val="10"/>
  </w:num>
  <w:num w:numId="7">
    <w:abstractNumId w:val="1"/>
  </w:num>
  <w:num w:numId="8">
    <w:abstractNumId w:val="5"/>
  </w:num>
  <w:num w:numId="9">
    <w:abstractNumId w:val="2"/>
  </w:num>
  <w:num w:numId="10">
    <w:abstractNumId w:val="9"/>
  </w:num>
  <w:num w:numId="1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E7"/>
    <w:rsid w:val="000226B0"/>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C3C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F8FA"/>
  <w15:chartTrackingRefBased/>
  <w15:docId w15:val="{B693EE74-CDE0-4064-94C0-823FEDA1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3CE7"/>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7C3CE7"/>
    <w:rPr>
      <w:i/>
      <w:iCs/>
    </w:rPr>
  </w:style>
  <w:style w:type="character" w:customStyle="1" w:styleId="katex-mathml">
    <w:name w:val="katex-mathml"/>
    <w:basedOn w:val="Absatz-Standardschriftart"/>
    <w:rsid w:val="007C3CE7"/>
  </w:style>
  <w:style w:type="character" w:customStyle="1" w:styleId="mord">
    <w:name w:val="mord"/>
    <w:basedOn w:val="Absatz-Standardschriftart"/>
    <w:rsid w:val="007C3CE7"/>
  </w:style>
  <w:style w:type="character" w:customStyle="1" w:styleId="mopen">
    <w:name w:val="mopen"/>
    <w:basedOn w:val="Absatz-Standardschriftart"/>
    <w:rsid w:val="007C3CE7"/>
  </w:style>
  <w:style w:type="character" w:customStyle="1" w:styleId="mpunct">
    <w:name w:val="mpunct"/>
    <w:basedOn w:val="Absatz-Standardschriftart"/>
    <w:rsid w:val="007C3CE7"/>
  </w:style>
  <w:style w:type="character" w:customStyle="1" w:styleId="mclose">
    <w:name w:val="mclose"/>
    <w:basedOn w:val="Absatz-Standardschriftart"/>
    <w:rsid w:val="007C3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3652782">
      <w:bodyDiv w:val="1"/>
      <w:marLeft w:val="0"/>
      <w:marRight w:val="0"/>
      <w:marTop w:val="0"/>
      <w:marBottom w:val="0"/>
      <w:divBdr>
        <w:top w:val="none" w:sz="0" w:space="0" w:color="auto"/>
        <w:left w:val="none" w:sz="0" w:space="0" w:color="auto"/>
        <w:bottom w:val="none" w:sz="0" w:space="0" w:color="auto"/>
        <w:right w:val="none" w:sz="0" w:space="0" w:color="auto"/>
      </w:divBdr>
      <w:divsChild>
        <w:div w:id="12969063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4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490497">
          <w:blockQuote w:val="1"/>
          <w:marLeft w:val="720"/>
          <w:marRight w:val="720"/>
          <w:marTop w:val="100"/>
          <w:marBottom w:val="100"/>
          <w:divBdr>
            <w:top w:val="none" w:sz="0" w:space="0" w:color="auto"/>
            <w:left w:val="none" w:sz="0" w:space="0" w:color="auto"/>
            <w:bottom w:val="none" w:sz="0" w:space="0" w:color="auto"/>
            <w:right w:val="none" w:sz="0" w:space="0" w:color="auto"/>
          </w:divBdr>
        </w:div>
        <w:div w:id="952051545">
          <w:blockQuote w:val="1"/>
          <w:marLeft w:val="720"/>
          <w:marRight w:val="720"/>
          <w:marTop w:val="100"/>
          <w:marBottom w:val="100"/>
          <w:divBdr>
            <w:top w:val="none" w:sz="0" w:space="0" w:color="auto"/>
            <w:left w:val="none" w:sz="0" w:space="0" w:color="auto"/>
            <w:bottom w:val="none" w:sz="0" w:space="0" w:color="auto"/>
            <w:right w:val="none" w:sz="0" w:space="0" w:color="auto"/>
          </w:divBdr>
        </w:div>
        <w:div w:id="262151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017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284090">
      <w:bodyDiv w:val="1"/>
      <w:marLeft w:val="0"/>
      <w:marRight w:val="0"/>
      <w:marTop w:val="0"/>
      <w:marBottom w:val="0"/>
      <w:divBdr>
        <w:top w:val="none" w:sz="0" w:space="0" w:color="auto"/>
        <w:left w:val="none" w:sz="0" w:space="0" w:color="auto"/>
        <w:bottom w:val="none" w:sz="0" w:space="0" w:color="auto"/>
        <w:right w:val="none" w:sz="0" w:space="0" w:color="auto"/>
      </w:divBdr>
      <w:divsChild>
        <w:div w:id="1084497426">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03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97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77490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6658526">
      <w:bodyDiv w:val="1"/>
      <w:marLeft w:val="0"/>
      <w:marRight w:val="0"/>
      <w:marTop w:val="0"/>
      <w:marBottom w:val="0"/>
      <w:divBdr>
        <w:top w:val="none" w:sz="0" w:space="0" w:color="auto"/>
        <w:left w:val="none" w:sz="0" w:space="0" w:color="auto"/>
        <w:bottom w:val="none" w:sz="0" w:space="0" w:color="auto"/>
        <w:right w:val="none" w:sz="0" w:space="0" w:color="auto"/>
      </w:divBdr>
      <w:divsChild>
        <w:div w:id="1151942352">
          <w:marLeft w:val="0"/>
          <w:marRight w:val="0"/>
          <w:marTop w:val="0"/>
          <w:marBottom w:val="0"/>
          <w:divBdr>
            <w:top w:val="none" w:sz="0" w:space="0" w:color="auto"/>
            <w:left w:val="none" w:sz="0" w:space="0" w:color="auto"/>
            <w:bottom w:val="none" w:sz="0" w:space="0" w:color="auto"/>
            <w:right w:val="none" w:sz="0" w:space="0" w:color="auto"/>
          </w:divBdr>
          <w:divsChild>
            <w:div w:id="342825170">
              <w:marLeft w:val="0"/>
              <w:marRight w:val="0"/>
              <w:marTop w:val="0"/>
              <w:marBottom w:val="0"/>
              <w:divBdr>
                <w:top w:val="none" w:sz="0" w:space="0" w:color="auto"/>
                <w:left w:val="none" w:sz="0" w:space="0" w:color="auto"/>
                <w:bottom w:val="none" w:sz="0" w:space="0" w:color="auto"/>
                <w:right w:val="none" w:sz="0" w:space="0" w:color="auto"/>
              </w:divBdr>
              <w:divsChild>
                <w:div w:id="1416050299">
                  <w:marLeft w:val="0"/>
                  <w:marRight w:val="0"/>
                  <w:marTop w:val="0"/>
                  <w:marBottom w:val="0"/>
                  <w:divBdr>
                    <w:top w:val="none" w:sz="0" w:space="0" w:color="auto"/>
                    <w:left w:val="none" w:sz="0" w:space="0" w:color="auto"/>
                    <w:bottom w:val="none" w:sz="0" w:space="0" w:color="auto"/>
                    <w:right w:val="none" w:sz="0" w:space="0" w:color="auto"/>
                  </w:divBdr>
                  <w:divsChild>
                    <w:div w:id="1315524265">
                      <w:marLeft w:val="0"/>
                      <w:marRight w:val="0"/>
                      <w:marTop w:val="0"/>
                      <w:marBottom w:val="0"/>
                      <w:divBdr>
                        <w:top w:val="none" w:sz="0" w:space="0" w:color="auto"/>
                        <w:left w:val="none" w:sz="0" w:space="0" w:color="auto"/>
                        <w:bottom w:val="none" w:sz="0" w:space="0" w:color="auto"/>
                        <w:right w:val="none" w:sz="0" w:space="0" w:color="auto"/>
                      </w:divBdr>
                      <w:divsChild>
                        <w:div w:id="952177447">
                          <w:marLeft w:val="0"/>
                          <w:marRight w:val="0"/>
                          <w:marTop w:val="0"/>
                          <w:marBottom w:val="0"/>
                          <w:divBdr>
                            <w:top w:val="none" w:sz="0" w:space="0" w:color="auto"/>
                            <w:left w:val="none" w:sz="0" w:space="0" w:color="auto"/>
                            <w:bottom w:val="none" w:sz="0" w:space="0" w:color="auto"/>
                            <w:right w:val="none" w:sz="0" w:space="0" w:color="auto"/>
                          </w:divBdr>
                          <w:divsChild>
                            <w:div w:id="115791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4047">
          <w:marLeft w:val="0"/>
          <w:marRight w:val="0"/>
          <w:marTop w:val="0"/>
          <w:marBottom w:val="0"/>
          <w:divBdr>
            <w:top w:val="none" w:sz="0" w:space="0" w:color="auto"/>
            <w:left w:val="none" w:sz="0" w:space="0" w:color="auto"/>
            <w:bottom w:val="none" w:sz="0" w:space="0" w:color="auto"/>
            <w:right w:val="none" w:sz="0" w:space="0" w:color="auto"/>
          </w:divBdr>
          <w:divsChild>
            <w:div w:id="111824914">
              <w:marLeft w:val="0"/>
              <w:marRight w:val="0"/>
              <w:marTop w:val="0"/>
              <w:marBottom w:val="0"/>
              <w:divBdr>
                <w:top w:val="none" w:sz="0" w:space="0" w:color="auto"/>
                <w:left w:val="none" w:sz="0" w:space="0" w:color="auto"/>
                <w:bottom w:val="none" w:sz="0" w:space="0" w:color="auto"/>
                <w:right w:val="none" w:sz="0" w:space="0" w:color="auto"/>
              </w:divBdr>
              <w:divsChild>
                <w:div w:id="2072073249">
                  <w:marLeft w:val="0"/>
                  <w:marRight w:val="0"/>
                  <w:marTop w:val="0"/>
                  <w:marBottom w:val="0"/>
                  <w:divBdr>
                    <w:top w:val="none" w:sz="0" w:space="0" w:color="auto"/>
                    <w:left w:val="none" w:sz="0" w:space="0" w:color="auto"/>
                    <w:bottom w:val="none" w:sz="0" w:space="0" w:color="auto"/>
                    <w:right w:val="none" w:sz="0" w:space="0" w:color="auto"/>
                  </w:divBdr>
                  <w:divsChild>
                    <w:div w:id="1680235406">
                      <w:marLeft w:val="0"/>
                      <w:marRight w:val="0"/>
                      <w:marTop w:val="0"/>
                      <w:marBottom w:val="0"/>
                      <w:divBdr>
                        <w:top w:val="none" w:sz="0" w:space="0" w:color="auto"/>
                        <w:left w:val="none" w:sz="0" w:space="0" w:color="auto"/>
                        <w:bottom w:val="none" w:sz="0" w:space="0" w:color="auto"/>
                        <w:right w:val="none" w:sz="0" w:space="0" w:color="auto"/>
                      </w:divBdr>
                      <w:divsChild>
                        <w:div w:id="58138015">
                          <w:marLeft w:val="0"/>
                          <w:marRight w:val="0"/>
                          <w:marTop w:val="0"/>
                          <w:marBottom w:val="0"/>
                          <w:divBdr>
                            <w:top w:val="none" w:sz="0" w:space="0" w:color="auto"/>
                            <w:left w:val="none" w:sz="0" w:space="0" w:color="auto"/>
                            <w:bottom w:val="none" w:sz="0" w:space="0" w:color="auto"/>
                            <w:right w:val="none" w:sz="0" w:space="0" w:color="auto"/>
                          </w:divBdr>
                          <w:divsChild>
                            <w:div w:id="1748070912">
                              <w:marLeft w:val="0"/>
                              <w:marRight w:val="0"/>
                              <w:marTop w:val="0"/>
                              <w:marBottom w:val="0"/>
                              <w:divBdr>
                                <w:top w:val="none" w:sz="0" w:space="0" w:color="auto"/>
                                <w:left w:val="none" w:sz="0" w:space="0" w:color="auto"/>
                                <w:bottom w:val="none" w:sz="0" w:space="0" w:color="auto"/>
                                <w:right w:val="none" w:sz="0" w:space="0" w:color="auto"/>
                              </w:divBdr>
                              <w:divsChild>
                                <w:div w:id="10688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380001">
          <w:marLeft w:val="0"/>
          <w:marRight w:val="0"/>
          <w:marTop w:val="0"/>
          <w:marBottom w:val="0"/>
          <w:divBdr>
            <w:top w:val="none" w:sz="0" w:space="0" w:color="auto"/>
            <w:left w:val="none" w:sz="0" w:space="0" w:color="auto"/>
            <w:bottom w:val="none" w:sz="0" w:space="0" w:color="auto"/>
            <w:right w:val="none" w:sz="0" w:space="0" w:color="auto"/>
          </w:divBdr>
          <w:divsChild>
            <w:div w:id="770665904">
              <w:marLeft w:val="0"/>
              <w:marRight w:val="0"/>
              <w:marTop w:val="0"/>
              <w:marBottom w:val="0"/>
              <w:divBdr>
                <w:top w:val="none" w:sz="0" w:space="0" w:color="auto"/>
                <w:left w:val="none" w:sz="0" w:space="0" w:color="auto"/>
                <w:bottom w:val="none" w:sz="0" w:space="0" w:color="auto"/>
                <w:right w:val="none" w:sz="0" w:space="0" w:color="auto"/>
              </w:divBdr>
              <w:divsChild>
                <w:div w:id="2022317289">
                  <w:marLeft w:val="0"/>
                  <w:marRight w:val="0"/>
                  <w:marTop w:val="0"/>
                  <w:marBottom w:val="0"/>
                  <w:divBdr>
                    <w:top w:val="none" w:sz="0" w:space="0" w:color="auto"/>
                    <w:left w:val="none" w:sz="0" w:space="0" w:color="auto"/>
                    <w:bottom w:val="none" w:sz="0" w:space="0" w:color="auto"/>
                    <w:right w:val="none" w:sz="0" w:space="0" w:color="auto"/>
                  </w:divBdr>
                  <w:divsChild>
                    <w:div w:id="2063364524">
                      <w:marLeft w:val="0"/>
                      <w:marRight w:val="0"/>
                      <w:marTop w:val="0"/>
                      <w:marBottom w:val="0"/>
                      <w:divBdr>
                        <w:top w:val="none" w:sz="0" w:space="0" w:color="auto"/>
                        <w:left w:val="none" w:sz="0" w:space="0" w:color="auto"/>
                        <w:bottom w:val="none" w:sz="0" w:space="0" w:color="auto"/>
                        <w:right w:val="none" w:sz="0" w:space="0" w:color="auto"/>
                      </w:divBdr>
                      <w:divsChild>
                        <w:div w:id="755515723">
                          <w:marLeft w:val="0"/>
                          <w:marRight w:val="0"/>
                          <w:marTop w:val="0"/>
                          <w:marBottom w:val="0"/>
                          <w:divBdr>
                            <w:top w:val="none" w:sz="0" w:space="0" w:color="auto"/>
                            <w:left w:val="none" w:sz="0" w:space="0" w:color="auto"/>
                            <w:bottom w:val="none" w:sz="0" w:space="0" w:color="auto"/>
                            <w:right w:val="none" w:sz="0" w:space="0" w:color="auto"/>
                          </w:divBdr>
                          <w:divsChild>
                            <w:div w:id="8973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821277">
          <w:marLeft w:val="0"/>
          <w:marRight w:val="0"/>
          <w:marTop w:val="0"/>
          <w:marBottom w:val="0"/>
          <w:divBdr>
            <w:top w:val="none" w:sz="0" w:space="0" w:color="auto"/>
            <w:left w:val="none" w:sz="0" w:space="0" w:color="auto"/>
            <w:bottom w:val="none" w:sz="0" w:space="0" w:color="auto"/>
            <w:right w:val="none" w:sz="0" w:space="0" w:color="auto"/>
          </w:divBdr>
          <w:divsChild>
            <w:div w:id="76828640">
              <w:marLeft w:val="0"/>
              <w:marRight w:val="0"/>
              <w:marTop w:val="0"/>
              <w:marBottom w:val="0"/>
              <w:divBdr>
                <w:top w:val="none" w:sz="0" w:space="0" w:color="auto"/>
                <w:left w:val="none" w:sz="0" w:space="0" w:color="auto"/>
                <w:bottom w:val="none" w:sz="0" w:space="0" w:color="auto"/>
                <w:right w:val="none" w:sz="0" w:space="0" w:color="auto"/>
              </w:divBdr>
              <w:divsChild>
                <w:div w:id="1745879967">
                  <w:marLeft w:val="0"/>
                  <w:marRight w:val="0"/>
                  <w:marTop w:val="0"/>
                  <w:marBottom w:val="0"/>
                  <w:divBdr>
                    <w:top w:val="none" w:sz="0" w:space="0" w:color="auto"/>
                    <w:left w:val="none" w:sz="0" w:space="0" w:color="auto"/>
                    <w:bottom w:val="none" w:sz="0" w:space="0" w:color="auto"/>
                    <w:right w:val="none" w:sz="0" w:space="0" w:color="auto"/>
                  </w:divBdr>
                  <w:divsChild>
                    <w:div w:id="1309213899">
                      <w:marLeft w:val="0"/>
                      <w:marRight w:val="0"/>
                      <w:marTop w:val="0"/>
                      <w:marBottom w:val="0"/>
                      <w:divBdr>
                        <w:top w:val="none" w:sz="0" w:space="0" w:color="auto"/>
                        <w:left w:val="none" w:sz="0" w:space="0" w:color="auto"/>
                        <w:bottom w:val="none" w:sz="0" w:space="0" w:color="auto"/>
                        <w:right w:val="none" w:sz="0" w:space="0" w:color="auto"/>
                      </w:divBdr>
                      <w:divsChild>
                        <w:div w:id="1613899270">
                          <w:marLeft w:val="0"/>
                          <w:marRight w:val="0"/>
                          <w:marTop w:val="0"/>
                          <w:marBottom w:val="0"/>
                          <w:divBdr>
                            <w:top w:val="none" w:sz="0" w:space="0" w:color="auto"/>
                            <w:left w:val="none" w:sz="0" w:space="0" w:color="auto"/>
                            <w:bottom w:val="none" w:sz="0" w:space="0" w:color="auto"/>
                            <w:right w:val="none" w:sz="0" w:space="0" w:color="auto"/>
                          </w:divBdr>
                          <w:divsChild>
                            <w:div w:id="408164049">
                              <w:marLeft w:val="0"/>
                              <w:marRight w:val="0"/>
                              <w:marTop w:val="0"/>
                              <w:marBottom w:val="0"/>
                              <w:divBdr>
                                <w:top w:val="none" w:sz="0" w:space="0" w:color="auto"/>
                                <w:left w:val="none" w:sz="0" w:space="0" w:color="auto"/>
                                <w:bottom w:val="none" w:sz="0" w:space="0" w:color="auto"/>
                                <w:right w:val="none" w:sz="0" w:space="0" w:color="auto"/>
                              </w:divBdr>
                              <w:divsChild>
                                <w:div w:id="8805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63724">
          <w:marLeft w:val="0"/>
          <w:marRight w:val="0"/>
          <w:marTop w:val="0"/>
          <w:marBottom w:val="0"/>
          <w:divBdr>
            <w:top w:val="none" w:sz="0" w:space="0" w:color="auto"/>
            <w:left w:val="none" w:sz="0" w:space="0" w:color="auto"/>
            <w:bottom w:val="none" w:sz="0" w:space="0" w:color="auto"/>
            <w:right w:val="none" w:sz="0" w:space="0" w:color="auto"/>
          </w:divBdr>
          <w:divsChild>
            <w:div w:id="787699630">
              <w:marLeft w:val="0"/>
              <w:marRight w:val="0"/>
              <w:marTop w:val="0"/>
              <w:marBottom w:val="0"/>
              <w:divBdr>
                <w:top w:val="none" w:sz="0" w:space="0" w:color="auto"/>
                <w:left w:val="none" w:sz="0" w:space="0" w:color="auto"/>
                <w:bottom w:val="none" w:sz="0" w:space="0" w:color="auto"/>
                <w:right w:val="none" w:sz="0" w:space="0" w:color="auto"/>
              </w:divBdr>
              <w:divsChild>
                <w:div w:id="1316107943">
                  <w:marLeft w:val="0"/>
                  <w:marRight w:val="0"/>
                  <w:marTop w:val="0"/>
                  <w:marBottom w:val="0"/>
                  <w:divBdr>
                    <w:top w:val="none" w:sz="0" w:space="0" w:color="auto"/>
                    <w:left w:val="none" w:sz="0" w:space="0" w:color="auto"/>
                    <w:bottom w:val="none" w:sz="0" w:space="0" w:color="auto"/>
                    <w:right w:val="none" w:sz="0" w:space="0" w:color="auto"/>
                  </w:divBdr>
                  <w:divsChild>
                    <w:div w:id="1362242301">
                      <w:marLeft w:val="0"/>
                      <w:marRight w:val="0"/>
                      <w:marTop w:val="0"/>
                      <w:marBottom w:val="0"/>
                      <w:divBdr>
                        <w:top w:val="none" w:sz="0" w:space="0" w:color="auto"/>
                        <w:left w:val="none" w:sz="0" w:space="0" w:color="auto"/>
                        <w:bottom w:val="none" w:sz="0" w:space="0" w:color="auto"/>
                        <w:right w:val="none" w:sz="0" w:space="0" w:color="auto"/>
                      </w:divBdr>
                      <w:divsChild>
                        <w:div w:id="1291327899">
                          <w:marLeft w:val="0"/>
                          <w:marRight w:val="0"/>
                          <w:marTop w:val="0"/>
                          <w:marBottom w:val="0"/>
                          <w:divBdr>
                            <w:top w:val="none" w:sz="0" w:space="0" w:color="auto"/>
                            <w:left w:val="none" w:sz="0" w:space="0" w:color="auto"/>
                            <w:bottom w:val="none" w:sz="0" w:space="0" w:color="auto"/>
                            <w:right w:val="none" w:sz="0" w:space="0" w:color="auto"/>
                          </w:divBdr>
                          <w:divsChild>
                            <w:div w:id="1962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355122">
      <w:bodyDiv w:val="1"/>
      <w:marLeft w:val="0"/>
      <w:marRight w:val="0"/>
      <w:marTop w:val="0"/>
      <w:marBottom w:val="0"/>
      <w:divBdr>
        <w:top w:val="none" w:sz="0" w:space="0" w:color="auto"/>
        <w:left w:val="none" w:sz="0" w:space="0" w:color="auto"/>
        <w:bottom w:val="none" w:sz="0" w:space="0" w:color="auto"/>
        <w:right w:val="none" w:sz="0" w:space="0" w:color="auto"/>
      </w:divBdr>
      <w:divsChild>
        <w:div w:id="146762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75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631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Pages>
  <Words>1849</Words>
  <Characters>11654</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2025-09-19T18:30:00Z</dcterms:created>
  <dcterms:modified xsi:type="dcterms:W3CDTF">2025-09-20T04:56:00Z</dcterms:modified>
</cp:coreProperties>
</file>