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4095" w14:textId="5CCBA91E" w:rsidR="00BA2242" w:rsidRDefault="00BA2242" w:rsidP="00BA2242">
      <w:pPr>
        <w:pStyle w:val="berschrift2"/>
        <w:rPr>
          <w:rStyle w:val="Fett"/>
          <w:b/>
          <w:bCs w:val="0"/>
        </w:rPr>
      </w:pPr>
      <w:bookmarkStart w:id="0" w:name="_Hlk202081557"/>
      <w:r>
        <w:rPr>
          <w:rStyle w:val="Fett"/>
          <w:b/>
          <w:bCs w:val="0"/>
        </w:rPr>
        <w:t>Anlage 4.A – Übersicht der modelllogischen Vorhersagen des FRZK</w:t>
      </w:r>
    </w:p>
    <w:p w14:paraId="7B8CB46F" w14:textId="77777777" w:rsidR="00426474" w:rsidRDefault="00426474" w:rsidP="00426474">
      <w:r>
        <w:pict w14:anchorId="555D68DC">
          <v:rect id="_x0000_i1029" style="width:0;height:1.5pt" o:hralign="center" o:hrstd="t" o:hr="t" fillcolor="#a0a0a0" stroked="f"/>
        </w:pict>
      </w:r>
    </w:p>
    <w:p w14:paraId="0C23D2DF" w14:textId="77777777" w:rsidR="00426474" w:rsidRPr="00426474" w:rsidRDefault="00426474" w:rsidP="00426474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70"/>
        <w:gridCol w:w="2624"/>
        <w:gridCol w:w="3648"/>
        <w:gridCol w:w="3017"/>
        <w:gridCol w:w="3818"/>
      </w:tblGrid>
      <w:tr w:rsidR="00BA2242" w14:paraId="68CC8400" w14:textId="77777777" w:rsidTr="00426474">
        <w:tc>
          <w:tcPr>
            <w:tcW w:w="0" w:type="auto"/>
            <w:hideMark/>
          </w:tcPr>
          <w:p w14:paraId="6DA06DF7" w14:textId="77777777" w:rsidR="00BA2242" w:rsidRDefault="00BA2242" w:rsidP="00426474">
            <w:pPr>
              <w:pStyle w:val="Tabelleninhalt"/>
            </w:pPr>
            <w:r>
              <w:rPr>
                <w:rStyle w:val="Fett"/>
              </w:rPr>
              <w:t>Abschnitt</w:t>
            </w:r>
          </w:p>
        </w:tc>
        <w:tc>
          <w:tcPr>
            <w:tcW w:w="0" w:type="auto"/>
            <w:hideMark/>
          </w:tcPr>
          <w:p w14:paraId="3EA794C4" w14:textId="77777777" w:rsidR="00BA2242" w:rsidRDefault="00BA2242" w:rsidP="00426474">
            <w:pPr>
              <w:pStyle w:val="Tabelleninhalt"/>
            </w:pPr>
            <w:r>
              <w:rPr>
                <w:rStyle w:val="Fett"/>
              </w:rPr>
              <w:t>Vorhersage (Kurzbezeichnung)</w:t>
            </w:r>
          </w:p>
        </w:tc>
        <w:tc>
          <w:tcPr>
            <w:tcW w:w="0" w:type="auto"/>
            <w:hideMark/>
          </w:tcPr>
          <w:p w14:paraId="3E02FCBE" w14:textId="77777777" w:rsidR="00BA2242" w:rsidRDefault="00BA2242" w:rsidP="00426474">
            <w:pPr>
              <w:pStyle w:val="Tabelleninhalt"/>
            </w:pPr>
            <w:r>
              <w:rPr>
                <w:rStyle w:val="Fett"/>
              </w:rPr>
              <w:t>Kurzbeschreibung</w:t>
            </w:r>
          </w:p>
        </w:tc>
        <w:tc>
          <w:tcPr>
            <w:tcW w:w="0" w:type="auto"/>
            <w:hideMark/>
          </w:tcPr>
          <w:p w14:paraId="13A6E130" w14:textId="77777777" w:rsidR="00BA2242" w:rsidRDefault="00BA2242" w:rsidP="00426474">
            <w:pPr>
              <w:pStyle w:val="Tabelleninhalt"/>
            </w:pPr>
            <w:r>
              <w:rPr>
                <w:rStyle w:val="Fett"/>
              </w:rPr>
              <w:t>Forschungsbezug</w:t>
            </w:r>
          </w:p>
        </w:tc>
        <w:tc>
          <w:tcPr>
            <w:tcW w:w="0" w:type="auto"/>
            <w:hideMark/>
          </w:tcPr>
          <w:p w14:paraId="0419B1F4" w14:textId="77777777" w:rsidR="00BA2242" w:rsidRDefault="00BA2242" w:rsidP="00426474">
            <w:pPr>
              <w:pStyle w:val="Tabelleninhalt"/>
            </w:pPr>
            <w:r>
              <w:rPr>
                <w:rStyle w:val="Fett"/>
              </w:rPr>
              <w:t>Zu erwartende Effekte / Ergebnisse</w:t>
            </w:r>
          </w:p>
        </w:tc>
      </w:tr>
      <w:tr w:rsidR="00BA2242" w14:paraId="471C3938" w14:textId="77777777" w:rsidTr="00426474">
        <w:tc>
          <w:tcPr>
            <w:tcW w:w="0" w:type="auto"/>
            <w:hideMark/>
          </w:tcPr>
          <w:p w14:paraId="08F0F435" w14:textId="77777777" w:rsidR="00BA2242" w:rsidRDefault="00BA2242" w:rsidP="00426474">
            <w:pPr>
              <w:pStyle w:val="Tabelleninhalt"/>
            </w:pPr>
            <w:r>
              <w:t>4.1</w:t>
            </w:r>
          </w:p>
        </w:tc>
        <w:tc>
          <w:tcPr>
            <w:tcW w:w="0" w:type="auto"/>
            <w:hideMark/>
          </w:tcPr>
          <w:p w14:paraId="1ED54091" w14:textId="77777777" w:rsidR="00BA2242" w:rsidRDefault="00BA2242" w:rsidP="00426474">
            <w:pPr>
              <w:pStyle w:val="Tabelleninhalt"/>
            </w:pPr>
            <w:r>
              <w:t>Emergenz durch funktionale Zuweisung</w:t>
            </w:r>
          </w:p>
        </w:tc>
        <w:tc>
          <w:tcPr>
            <w:tcW w:w="0" w:type="auto"/>
            <w:hideMark/>
          </w:tcPr>
          <w:p w14:paraId="761AADB3" w14:textId="77777777" w:rsidR="00BA2242" w:rsidRDefault="00BA2242" w:rsidP="00426474">
            <w:pPr>
              <w:pStyle w:val="Tabelleninhalt"/>
            </w:pPr>
            <w:r>
              <w:t>Realität entsteht nicht aus Gegebenem, sondern aus rekursiver Funktionszuweisung.</w:t>
            </w:r>
          </w:p>
        </w:tc>
        <w:tc>
          <w:tcPr>
            <w:tcW w:w="0" w:type="auto"/>
            <w:hideMark/>
          </w:tcPr>
          <w:p w14:paraId="7886A09D" w14:textId="77777777" w:rsidR="00BA2242" w:rsidRDefault="00BA2242" w:rsidP="00426474">
            <w:pPr>
              <w:pStyle w:val="Tabelleninhalt"/>
            </w:pPr>
            <w:r>
              <w:t>Konstruktivismus, Systemtheorie, relationale Physik</w:t>
            </w:r>
          </w:p>
        </w:tc>
        <w:tc>
          <w:tcPr>
            <w:tcW w:w="0" w:type="auto"/>
            <w:hideMark/>
          </w:tcPr>
          <w:p w14:paraId="5FCC9926" w14:textId="77777777" w:rsidR="00BA2242" w:rsidRDefault="00BA2242" w:rsidP="00426474">
            <w:pPr>
              <w:pStyle w:val="Tabelleninhalt"/>
            </w:pPr>
            <w:r>
              <w:t>Formal rekonstruierbare Bedingungen für Raum, Zeit, Objektivität und Bedeutung.</w:t>
            </w:r>
          </w:p>
        </w:tc>
      </w:tr>
      <w:tr w:rsidR="00BA2242" w14:paraId="1C677B06" w14:textId="77777777" w:rsidTr="00426474">
        <w:tc>
          <w:tcPr>
            <w:tcW w:w="0" w:type="auto"/>
            <w:hideMark/>
          </w:tcPr>
          <w:p w14:paraId="20CC0132" w14:textId="77777777" w:rsidR="00BA2242" w:rsidRDefault="00BA2242" w:rsidP="00426474">
            <w:pPr>
              <w:pStyle w:val="Tabelleninhalt"/>
            </w:pPr>
            <w:r>
              <w:t>4.2</w:t>
            </w:r>
          </w:p>
        </w:tc>
        <w:tc>
          <w:tcPr>
            <w:tcW w:w="0" w:type="auto"/>
            <w:hideMark/>
          </w:tcPr>
          <w:p w14:paraId="4D56AB90" w14:textId="77777777" w:rsidR="00BA2242" w:rsidRDefault="00BA2242" w:rsidP="00426474">
            <w:pPr>
              <w:pStyle w:val="Tabelleninhalt"/>
            </w:pPr>
            <w:r>
              <w:t>Hierarchie funktionaler Gleichungstypen</w:t>
            </w:r>
          </w:p>
        </w:tc>
        <w:tc>
          <w:tcPr>
            <w:tcW w:w="0" w:type="auto"/>
            <w:hideMark/>
          </w:tcPr>
          <w:p w14:paraId="11008955" w14:textId="77777777" w:rsidR="00BA2242" w:rsidRDefault="00BA2242" w:rsidP="00426474">
            <w:pPr>
              <w:pStyle w:val="Tabelleninhalt"/>
            </w:pPr>
            <w:r>
              <w:t>Gleichungsebenen sind logisch gestuft und emergieren iterativ aus vorangehenden Operatoren.</w:t>
            </w:r>
          </w:p>
        </w:tc>
        <w:tc>
          <w:tcPr>
            <w:tcW w:w="0" w:type="auto"/>
            <w:hideMark/>
          </w:tcPr>
          <w:p w14:paraId="5CA1496F" w14:textId="77777777" w:rsidR="00BA2242" w:rsidRDefault="00BA2242" w:rsidP="00426474">
            <w:pPr>
              <w:pStyle w:val="Tabelleninhalt"/>
            </w:pPr>
            <w:r>
              <w:t xml:space="preserve">Mathematische Systemtheorie, </w:t>
            </w:r>
            <w:proofErr w:type="spellStart"/>
            <w:r>
              <w:t>Topostheorie</w:t>
            </w:r>
            <w:proofErr w:type="spellEnd"/>
          </w:p>
        </w:tc>
        <w:tc>
          <w:tcPr>
            <w:tcW w:w="0" w:type="auto"/>
            <w:hideMark/>
          </w:tcPr>
          <w:p w14:paraId="328B1312" w14:textId="77777777" w:rsidR="00BA2242" w:rsidRDefault="00BA2242" w:rsidP="00426474">
            <w:pPr>
              <w:pStyle w:val="Tabelleninhalt"/>
            </w:pPr>
            <w:r>
              <w:t>Systematisch ableitbare Operatorfolgen zur Modellierung komplexer Dynamik.</w:t>
            </w:r>
          </w:p>
        </w:tc>
      </w:tr>
      <w:tr w:rsidR="00BA2242" w14:paraId="23E28042" w14:textId="77777777" w:rsidTr="00426474">
        <w:tc>
          <w:tcPr>
            <w:tcW w:w="0" w:type="auto"/>
            <w:hideMark/>
          </w:tcPr>
          <w:p w14:paraId="48E754B8" w14:textId="77777777" w:rsidR="00BA2242" w:rsidRDefault="00BA2242" w:rsidP="00426474">
            <w:pPr>
              <w:pStyle w:val="Tabelleninhalt"/>
            </w:pPr>
            <w:r>
              <w:t>4.3</w:t>
            </w:r>
          </w:p>
        </w:tc>
        <w:tc>
          <w:tcPr>
            <w:tcW w:w="0" w:type="auto"/>
            <w:hideMark/>
          </w:tcPr>
          <w:p w14:paraId="6DA9F1E1" w14:textId="77777777" w:rsidR="00BA2242" w:rsidRDefault="00BA2242" w:rsidP="00426474">
            <w:pPr>
              <w:pStyle w:val="Tabelleninhalt"/>
            </w:pPr>
            <w:r>
              <w:t>Beobachtung als rekursive Struktur</w:t>
            </w:r>
          </w:p>
        </w:tc>
        <w:tc>
          <w:tcPr>
            <w:tcW w:w="0" w:type="auto"/>
            <w:hideMark/>
          </w:tcPr>
          <w:p w14:paraId="2BB1392E" w14:textId="77777777" w:rsidR="00BA2242" w:rsidRDefault="00BA2242" w:rsidP="00426474">
            <w:pPr>
              <w:pStyle w:val="Tabelleninhalt"/>
            </w:pPr>
            <w:r>
              <w:t>Beobachtung erzeugt Realität und kann sich selbst beobachten (zweite Ordnung).</w:t>
            </w:r>
          </w:p>
        </w:tc>
        <w:tc>
          <w:tcPr>
            <w:tcW w:w="0" w:type="auto"/>
            <w:hideMark/>
          </w:tcPr>
          <w:p w14:paraId="48EB57AD" w14:textId="77777777" w:rsidR="00BA2242" w:rsidRDefault="00BA2242" w:rsidP="00426474">
            <w:pPr>
              <w:pStyle w:val="Tabelleninhalt"/>
            </w:pPr>
            <w:r>
              <w:t>Kybernetik 2. Ordnung, Kognitionswissenschaft</w:t>
            </w:r>
          </w:p>
        </w:tc>
        <w:tc>
          <w:tcPr>
            <w:tcW w:w="0" w:type="auto"/>
            <w:hideMark/>
          </w:tcPr>
          <w:p w14:paraId="078F6A02" w14:textId="77777777" w:rsidR="00BA2242" w:rsidRDefault="00BA2242" w:rsidP="00426474">
            <w:pPr>
              <w:pStyle w:val="Tabelleninhalt"/>
            </w:pPr>
            <w:proofErr w:type="spellStart"/>
            <w:r>
              <w:t>Formalisierbare</w:t>
            </w:r>
            <w:proofErr w:type="spellEnd"/>
            <w:r>
              <w:t xml:space="preserve"> Reflexionslogik; differenzierbare Beobachtungs- und Metaebenen.</w:t>
            </w:r>
          </w:p>
        </w:tc>
      </w:tr>
      <w:tr w:rsidR="00BA2242" w14:paraId="4BA47B4F" w14:textId="77777777" w:rsidTr="00426474">
        <w:tc>
          <w:tcPr>
            <w:tcW w:w="0" w:type="auto"/>
            <w:hideMark/>
          </w:tcPr>
          <w:p w14:paraId="435F19ED" w14:textId="77777777" w:rsidR="00BA2242" w:rsidRDefault="00BA2242" w:rsidP="00426474">
            <w:pPr>
              <w:pStyle w:val="Tabelleninhalt"/>
            </w:pPr>
            <w:r>
              <w:t>4.4</w:t>
            </w:r>
          </w:p>
        </w:tc>
        <w:tc>
          <w:tcPr>
            <w:tcW w:w="0" w:type="auto"/>
            <w:hideMark/>
          </w:tcPr>
          <w:p w14:paraId="32726A8C" w14:textId="77777777" w:rsidR="00BA2242" w:rsidRDefault="00BA2242" w:rsidP="00426474">
            <w:pPr>
              <w:pStyle w:val="Tabelleninhalt"/>
            </w:pPr>
            <w:r>
              <w:t>Kausalität und Energie als emergente Funktionen</w:t>
            </w:r>
          </w:p>
        </w:tc>
        <w:tc>
          <w:tcPr>
            <w:tcW w:w="0" w:type="auto"/>
            <w:hideMark/>
          </w:tcPr>
          <w:p w14:paraId="6A6E4157" w14:textId="77777777" w:rsidR="00BA2242" w:rsidRDefault="00BA2242" w:rsidP="00426474">
            <w:pPr>
              <w:pStyle w:val="Tabelleninhalt"/>
            </w:pPr>
            <w:r>
              <w:t>Kausalität/Energie entstehen aus feldabhängigen Operatorwirkungen – nicht ontologisch.</w:t>
            </w:r>
          </w:p>
        </w:tc>
        <w:tc>
          <w:tcPr>
            <w:tcW w:w="0" w:type="auto"/>
            <w:hideMark/>
          </w:tcPr>
          <w:p w14:paraId="22CDA78F" w14:textId="77777777" w:rsidR="00BA2242" w:rsidRDefault="00BA2242" w:rsidP="00426474">
            <w:pPr>
              <w:pStyle w:val="Tabelleninhalt"/>
            </w:pPr>
            <w:r>
              <w:t>Feldtheorie, Quantenphysik, Noether-Theorie</w:t>
            </w:r>
          </w:p>
        </w:tc>
        <w:tc>
          <w:tcPr>
            <w:tcW w:w="0" w:type="auto"/>
            <w:hideMark/>
          </w:tcPr>
          <w:p w14:paraId="46A1E394" w14:textId="77777777" w:rsidR="00BA2242" w:rsidRDefault="00BA2242" w:rsidP="00426474">
            <w:pPr>
              <w:pStyle w:val="Tabelleninhalt"/>
            </w:pPr>
            <w:r>
              <w:t>Ableitbarkeit physikalischer Begriffe aus rein funktionalem Bezugssystem.</w:t>
            </w:r>
          </w:p>
        </w:tc>
      </w:tr>
      <w:tr w:rsidR="00BA2242" w14:paraId="0D86B999" w14:textId="77777777" w:rsidTr="00426474">
        <w:tc>
          <w:tcPr>
            <w:tcW w:w="0" w:type="auto"/>
            <w:hideMark/>
          </w:tcPr>
          <w:p w14:paraId="001B57AD" w14:textId="77777777" w:rsidR="00BA2242" w:rsidRDefault="00BA2242" w:rsidP="00426474">
            <w:pPr>
              <w:pStyle w:val="Tabelleninhalt"/>
            </w:pPr>
            <w:r>
              <w:lastRenderedPageBreak/>
              <w:t>4.5</w:t>
            </w:r>
          </w:p>
        </w:tc>
        <w:tc>
          <w:tcPr>
            <w:tcW w:w="0" w:type="auto"/>
            <w:hideMark/>
          </w:tcPr>
          <w:p w14:paraId="33FF3063" w14:textId="77777777" w:rsidR="00BA2242" w:rsidRDefault="00BA2242" w:rsidP="00426474">
            <w:pPr>
              <w:pStyle w:val="Tabelleninhalt"/>
            </w:pPr>
            <w:r>
              <w:t>Dynamik von Bedeutungsfeldern</w:t>
            </w:r>
          </w:p>
        </w:tc>
        <w:tc>
          <w:tcPr>
            <w:tcW w:w="0" w:type="auto"/>
            <w:hideMark/>
          </w:tcPr>
          <w:p w14:paraId="5FF003B5" w14:textId="77777777" w:rsidR="00BA2242" w:rsidRDefault="00BA2242" w:rsidP="00426474">
            <w:pPr>
              <w:pStyle w:val="Tabelleninhalt"/>
            </w:pPr>
            <w:r>
              <w:t>Bedeutung ist systemisch erzeugt, durch semantische Attraktoren stabilisiert und veränderbar.</w:t>
            </w:r>
          </w:p>
        </w:tc>
        <w:tc>
          <w:tcPr>
            <w:tcW w:w="0" w:type="auto"/>
            <w:hideMark/>
          </w:tcPr>
          <w:p w14:paraId="15CB1265" w14:textId="77777777" w:rsidR="00BA2242" w:rsidRDefault="00BA2242" w:rsidP="00426474">
            <w:pPr>
              <w:pStyle w:val="Tabelleninhalt"/>
            </w:pPr>
            <w:r>
              <w:t>Kognitive Semantik, Kultursemiotik, Diskurstheorie</w:t>
            </w:r>
          </w:p>
        </w:tc>
        <w:tc>
          <w:tcPr>
            <w:tcW w:w="0" w:type="auto"/>
            <w:hideMark/>
          </w:tcPr>
          <w:p w14:paraId="2A8D65CA" w14:textId="77777777" w:rsidR="00BA2242" w:rsidRDefault="00BA2242" w:rsidP="00426474">
            <w:pPr>
              <w:pStyle w:val="Tabelleninhalt"/>
            </w:pPr>
            <w:r>
              <w:t>Prognose und Analyse diskursiver Bedeutungsverschiebung möglich.</w:t>
            </w:r>
          </w:p>
        </w:tc>
      </w:tr>
      <w:tr w:rsidR="00BA2242" w14:paraId="6E4DFF2A" w14:textId="77777777" w:rsidTr="00426474">
        <w:tc>
          <w:tcPr>
            <w:tcW w:w="0" w:type="auto"/>
            <w:hideMark/>
          </w:tcPr>
          <w:p w14:paraId="048AD370" w14:textId="77777777" w:rsidR="00BA2242" w:rsidRDefault="00BA2242" w:rsidP="00426474">
            <w:pPr>
              <w:pStyle w:val="Tabelleninhalt"/>
            </w:pPr>
            <w:r>
              <w:t>4.6</w:t>
            </w:r>
          </w:p>
        </w:tc>
        <w:tc>
          <w:tcPr>
            <w:tcW w:w="0" w:type="auto"/>
            <w:hideMark/>
          </w:tcPr>
          <w:p w14:paraId="5CDE33A5" w14:textId="77777777" w:rsidR="00BA2242" w:rsidRDefault="00BA2242" w:rsidP="00426474">
            <w:pPr>
              <w:pStyle w:val="Tabelleninhalt"/>
            </w:pPr>
            <w:r>
              <w:t>Reflexive Transformation symbolischer Ordnung</w:t>
            </w:r>
          </w:p>
        </w:tc>
        <w:tc>
          <w:tcPr>
            <w:tcW w:w="0" w:type="auto"/>
            <w:hideMark/>
          </w:tcPr>
          <w:p w14:paraId="5370377A" w14:textId="77777777" w:rsidR="00BA2242" w:rsidRDefault="00BA2242" w:rsidP="00426474">
            <w:pPr>
              <w:pStyle w:val="Tabelleninhalt"/>
            </w:pPr>
            <w:r>
              <w:t>Symbolische Systeme können durch Meta-Operatoren systemintern umkodiert werden.</w:t>
            </w:r>
          </w:p>
        </w:tc>
        <w:tc>
          <w:tcPr>
            <w:tcW w:w="0" w:type="auto"/>
            <w:hideMark/>
          </w:tcPr>
          <w:p w14:paraId="130D2ACD" w14:textId="77777777" w:rsidR="00BA2242" w:rsidRDefault="00BA2242" w:rsidP="00426474">
            <w:pPr>
              <w:pStyle w:val="Tabelleninhalt"/>
            </w:pPr>
            <w:r>
              <w:t>Diskursanalyse, Metakognition, Bildungspsychologie</w:t>
            </w:r>
          </w:p>
        </w:tc>
        <w:tc>
          <w:tcPr>
            <w:tcW w:w="0" w:type="auto"/>
            <w:hideMark/>
          </w:tcPr>
          <w:p w14:paraId="7B2FA807" w14:textId="77777777" w:rsidR="00BA2242" w:rsidRDefault="00BA2242" w:rsidP="00426474">
            <w:pPr>
              <w:pStyle w:val="Tabelleninhalt"/>
            </w:pPr>
            <w:r>
              <w:t>Formal nachvollziehbare Rekonfiguration kultureller Semantik und Normen.</w:t>
            </w:r>
          </w:p>
        </w:tc>
      </w:tr>
      <w:tr w:rsidR="00BA2242" w14:paraId="35382CB1" w14:textId="77777777" w:rsidTr="00426474">
        <w:tc>
          <w:tcPr>
            <w:tcW w:w="0" w:type="auto"/>
            <w:hideMark/>
          </w:tcPr>
          <w:p w14:paraId="4142DA61" w14:textId="77777777" w:rsidR="00BA2242" w:rsidRDefault="00BA2242" w:rsidP="00426474">
            <w:pPr>
              <w:pStyle w:val="Tabelleninhalt"/>
            </w:pPr>
            <w:r>
              <w:t>4.7</w:t>
            </w:r>
          </w:p>
        </w:tc>
        <w:tc>
          <w:tcPr>
            <w:tcW w:w="0" w:type="auto"/>
            <w:hideMark/>
          </w:tcPr>
          <w:p w14:paraId="3CC09946" w14:textId="77777777" w:rsidR="00BA2242" w:rsidRDefault="00BA2242" w:rsidP="00426474">
            <w:pPr>
              <w:pStyle w:val="Tabelleninhalt"/>
            </w:pPr>
            <w:r>
              <w:t>Ko-Evolution von Semantik und Kultur</w:t>
            </w:r>
          </w:p>
        </w:tc>
        <w:tc>
          <w:tcPr>
            <w:tcW w:w="0" w:type="auto"/>
            <w:hideMark/>
          </w:tcPr>
          <w:p w14:paraId="43C4EAB2" w14:textId="77777777" w:rsidR="00BA2242" w:rsidRDefault="00BA2242" w:rsidP="00426474">
            <w:pPr>
              <w:pStyle w:val="Tabelleninhalt"/>
            </w:pPr>
            <w:r>
              <w:t>Bedeutungs- und Handlungssysteme entwickeln sich rekursiv gekoppelt.</w:t>
            </w:r>
          </w:p>
        </w:tc>
        <w:tc>
          <w:tcPr>
            <w:tcW w:w="0" w:type="auto"/>
            <w:hideMark/>
          </w:tcPr>
          <w:p w14:paraId="746C8774" w14:textId="77777777" w:rsidR="00BA2242" w:rsidRDefault="00BA2242" w:rsidP="00426474">
            <w:pPr>
              <w:pStyle w:val="Tabelleninhalt"/>
            </w:pPr>
            <w:r>
              <w:t>Techniksoziologie, Evolutionsökonomik, STS</w:t>
            </w:r>
          </w:p>
        </w:tc>
        <w:tc>
          <w:tcPr>
            <w:tcW w:w="0" w:type="auto"/>
            <w:hideMark/>
          </w:tcPr>
          <w:p w14:paraId="0295505A" w14:textId="77777777" w:rsidR="00BA2242" w:rsidRDefault="00BA2242" w:rsidP="00426474">
            <w:pPr>
              <w:pStyle w:val="Tabelleninhalt"/>
            </w:pPr>
            <w:r>
              <w:t>Modellierbarkeit kultureller Wandlung durch semantische Veränderung und umgekehrt.</w:t>
            </w:r>
          </w:p>
        </w:tc>
      </w:tr>
      <w:tr w:rsidR="00BA2242" w14:paraId="6B25EA7B" w14:textId="77777777" w:rsidTr="00426474">
        <w:tc>
          <w:tcPr>
            <w:tcW w:w="0" w:type="auto"/>
            <w:hideMark/>
          </w:tcPr>
          <w:p w14:paraId="47174B48" w14:textId="77777777" w:rsidR="00BA2242" w:rsidRDefault="00BA2242" w:rsidP="00426474">
            <w:pPr>
              <w:pStyle w:val="Tabelleninhalt"/>
            </w:pPr>
            <w:r>
              <w:t>4.8</w:t>
            </w:r>
          </w:p>
        </w:tc>
        <w:tc>
          <w:tcPr>
            <w:tcW w:w="0" w:type="auto"/>
            <w:hideMark/>
          </w:tcPr>
          <w:p w14:paraId="63AFF6D9" w14:textId="77777777" w:rsidR="00BA2242" w:rsidRDefault="00BA2242" w:rsidP="00426474">
            <w:pPr>
              <w:pStyle w:val="Tabelleninhalt"/>
            </w:pPr>
            <w:r>
              <w:t>Ethik als strukturinterner Operator</w:t>
            </w:r>
          </w:p>
        </w:tc>
        <w:tc>
          <w:tcPr>
            <w:tcW w:w="0" w:type="auto"/>
            <w:hideMark/>
          </w:tcPr>
          <w:p w14:paraId="709DE009" w14:textId="77777777" w:rsidR="00BA2242" w:rsidRDefault="00BA2242" w:rsidP="00426474">
            <w:pPr>
              <w:pStyle w:val="Tabelleninhalt"/>
            </w:pPr>
            <w:r>
              <w:t>Ethische Prinzipien sind im System als bewertbare Operatoren realisierbar.</w:t>
            </w:r>
          </w:p>
        </w:tc>
        <w:tc>
          <w:tcPr>
            <w:tcW w:w="0" w:type="auto"/>
            <w:hideMark/>
          </w:tcPr>
          <w:p w14:paraId="73A8A71D" w14:textId="77777777" w:rsidR="00BA2242" w:rsidRDefault="00BA2242" w:rsidP="00426474">
            <w:pPr>
              <w:pStyle w:val="Tabelleninhalt"/>
            </w:pPr>
            <w:r>
              <w:t>Technikethik, KI-Ethik, normative Modelltheorie</w:t>
            </w:r>
          </w:p>
        </w:tc>
        <w:tc>
          <w:tcPr>
            <w:tcW w:w="0" w:type="auto"/>
            <w:hideMark/>
          </w:tcPr>
          <w:p w14:paraId="281FE877" w14:textId="77777777" w:rsidR="00BA2242" w:rsidRDefault="00BA2242" w:rsidP="00426474">
            <w:pPr>
              <w:pStyle w:val="Tabelleninhalt"/>
            </w:pPr>
            <w:proofErr w:type="spellStart"/>
            <w:r>
              <w:t>Auditierbare</w:t>
            </w:r>
            <w:proofErr w:type="spellEnd"/>
            <w:r>
              <w:t>, modellinterne Ethiklogik – nicht externalisiert, sondern systemintegriert.</w:t>
            </w:r>
          </w:p>
        </w:tc>
      </w:tr>
      <w:tr w:rsidR="00BA2242" w14:paraId="77445DCA" w14:textId="77777777" w:rsidTr="00426474">
        <w:tc>
          <w:tcPr>
            <w:tcW w:w="0" w:type="auto"/>
            <w:hideMark/>
          </w:tcPr>
          <w:p w14:paraId="28A154F0" w14:textId="77777777" w:rsidR="00BA2242" w:rsidRDefault="00BA2242" w:rsidP="00426474">
            <w:pPr>
              <w:pStyle w:val="Tabelleninhalt"/>
            </w:pPr>
            <w:r>
              <w:t>4.9</w:t>
            </w:r>
          </w:p>
        </w:tc>
        <w:tc>
          <w:tcPr>
            <w:tcW w:w="0" w:type="auto"/>
            <w:hideMark/>
          </w:tcPr>
          <w:p w14:paraId="50445686" w14:textId="77777777" w:rsidR="00BA2242" w:rsidRDefault="00BA2242" w:rsidP="00426474">
            <w:pPr>
              <w:pStyle w:val="Tabelleninhalt"/>
            </w:pPr>
            <w:r>
              <w:t>Strukturgeleitete Prognosefähigkeit</w:t>
            </w:r>
          </w:p>
        </w:tc>
        <w:tc>
          <w:tcPr>
            <w:tcW w:w="0" w:type="auto"/>
            <w:hideMark/>
          </w:tcPr>
          <w:p w14:paraId="68B83CA0" w14:textId="77777777" w:rsidR="00BA2242" w:rsidRDefault="00BA2242" w:rsidP="00426474">
            <w:pPr>
              <w:pStyle w:val="Tabelleninhalt"/>
            </w:pPr>
            <w:r>
              <w:t>Prognosen basieren nicht auf Datenfortschreibung, sondern auf Operatorfolgen und Emergenz.</w:t>
            </w:r>
          </w:p>
        </w:tc>
        <w:tc>
          <w:tcPr>
            <w:tcW w:w="0" w:type="auto"/>
            <w:hideMark/>
          </w:tcPr>
          <w:p w14:paraId="7EFAC02E" w14:textId="77777777" w:rsidR="00BA2242" w:rsidRDefault="00BA2242" w:rsidP="00426474">
            <w:pPr>
              <w:pStyle w:val="Tabelleninhalt"/>
            </w:pPr>
            <w:r>
              <w:t>Wissenschaftstheorie, Zukunftsforschung</w:t>
            </w:r>
          </w:p>
        </w:tc>
        <w:tc>
          <w:tcPr>
            <w:tcW w:w="0" w:type="auto"/>
            <w:hideMark/>
          </w:tcPr>
          <w:p w14:paraId="74ABA0CA" w14:textId="77777777" w:rsidR="00BA2242" w:rsidRDefault="00BA2242" w:rsidP="00426474">
            <w:pPr>
              <w:pStyle w:val="Tabelleninhalt"/>
            </w:pPr>
            <w:r>
              <w:t>Theoretisch abgeleitete Szenarien ohne empirische Trendabhängigkeit möglich.</w:t>
            </w:r>
          </w:p>
        </w:tc>
      </w:tr>
    </w:tbl>
    <w:p w14:paraId="14CF0AB1" w14:textId="77777777" w:rsidR="00BA2242" w:rsidRDefault="00426474" w:rsidP="00BA2242">
      <w:r>
        <w:pict w14:anchorId="1932EF97">
          <v:rect id="_x0000_i1025" style="width:0;height:1.5pt" o:hralign="center" o:hrstd="t" o:hr="t" fillcolor="#a0a0a0" stroked="f"/>
        </w:pict>
      </w:r>
    </w:p>
    <w:p w14:paraId="5282FEE4" w14:textId="77777777" w:rsidR="00426474" w:rsidRDefault="00426474">
      <w:pPr>
        <w:spacing w:after="0"/>
      </w:pPr>
      <w:r>
        <w:br w:type="page"/>
      </w:r>
    </w:p>
    <w:p w14:paraId="5205D3E0" w14:textId="48647FAE" w:rsidR="00BA2242" w:rsidRDefault="00BA2242" w:rsidP="00426474">
      <w:r>
        <w:t>Diese Übersicht dient als:</w:t>
      </w:r>
    </w:p>
    <w:p w14:paraId="449E2240" w14:textId="77777777" w:rsidR="00BA2242" w:rsidRPr="00426474" w:rsidRDefault="00BA2242" w:rsidP="00426474">
      <w:pPr>
        <w:pStyle w:val="Aufzhlung"/>
      </w:pPr>
      <w:r w:rsidRPr="00426474">
        <w:t>strukturierende Zusammenfassung für Lesende,</w:t>
      </w:r>
    </w:p>
    <w:p w14:paraId="0194BDFB" w14:textId="77777777" w:rsidR="00BA2242" w:rsidRPr="00426474" w:rsidRDefault="00BA2242" w:rsidP="00426474">
      <w:pPr>
        <w:pStyle w:val="Aufzhlung"/>
      </w:pPr>
      <w:r w:rsidRPr="00426474">
        <w:t>Referenzrahmen für Evaluation und Anschlussforschung,</w:t>
      </w:r>
    </w:p>
    <w:p w14:paraId="4248F9A9" w14:textId="77777777" w:rsidR="00BA2242" w:rsidRPr="00426474" w:rsidRDefault="00BA2242" w:rsidP="00426474">
      <w:pPr>
        <w:pStyle w:val="Aufzhlung"/>
      </w:pPr>
      <w:r w:rsidRPr="00426474">
        <w:t>Vorlage für interdisziplinäre Diskussionen zur Modellanwendung.</w:t>
      </w:r>
    </w:p>
    <w:bookmarkEnd w:id="0"/>
    <w:p w14:paraId="3311A540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 w:rsidSect="00426474">
      <w:pgSz w:w="16838" w:h="11906" w:orient="landscape"/>
      <w:pgMar w:top="1417" w:right="1417" w:bottom="1417" w:left="1134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D94"/>
    <w:multiLevelType w:val="multilevel"/>
    <w:tmpl w:val="4F68DD76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44419E"/>
    <w:multiLevelType w:val="multilevel"/>
    <w:tmpl w:val="FD9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42"/>
    <w:rsid w:val="000467F2"/>
    <w:rsid w:val="00082214"/>
    <w:rsid w:val="00106528"/>
    <w:rsid w:val="001830F2"/>
    <w:rsid w:val="0019229D"/>
    <w:rsid w:val="002B03D4"/>
    <w:rsid w:val="002D4202"/>
    <w:rsid w:val="00324306"/>
    <w:rsid w:val="00426474"/>
    <w:rsid w:val="00433ECB"/>
    <w:rsid w:val="00436FC4"/>
    <w:rsid w:val="00446557"/>
    <w:rsid w:val="00500020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873C2"/>
    <w:rsid w:val="00BA224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CBCCE"/>
  <w15:chartTrackingRefBased/>
  <w15:docId w15:val="{8986BE93-BA14-4722-8D2B-C3FC6D4E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26474"/>
    <w:pPr>
      <w:spacing w:after="120"/>
    </w:pPr>
    <w:rPr>
      <w:rFonts w:asciiTheme="minorHAnsi" w:eastAsia="Times New Roman" w:hAnsiTheme="minorHAnsi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5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BA2242"/>
    <w:rPr>
      <w:i/>
      <w:iCs/>
    </w:rPr>
  </w:style>
  <w:style w:type="table" w:styleId="Tabellenraster">
    <w:name w:val="Table Grid"/>
    <w:basedOn w:val="NormaleTabelle"/>
    <w:uiPriority w:val="39"/>
    <w:rsid w:val="004264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359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2025-06-27T05:51:00Z</dcterms:created>
  <dcterms:modified xsi:type="dcterms:W3CDTF">2025-06-29T07:29:00Z</dcterms:modified>
</cp:coreProperties>
</file>