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3F533" w14:textId="77777777" w:rsidR="00DF726C" w:rsidRDefault="00DF726C" w:rsidP="001B0BD3">
      <w:pPr>
        <w:pStyle w:val="berschrift1"/>
        <w:rPr>
          <w:sz w:val="27"/>
          <w:szCs w:val="27"/>
        </w:rPr>
      </w:pPr>
      <w:r>
        <w:t>4. Vorhersagen des Funktionalen Raum-Zeit-Kohärenzsystems (FRZK)</w:t>
      </w:r>
    </w:p>
    <w:p w14:paraId="5A628596" w14:textId="681C81BE" w:rsidR="00DF726C" w:rsidRDefault="00DF726C" w:rsidP="00F57C02">
      <w:r>
        <w:t xml:space="preserve">Ich formuliere in diesem Kapitel keine Vorhersagen im Sinn klassischer empirischer Theorien. Es geht mir nicht um Aussagen über zukünftige Einzelereignisse mit probabilistischer Absicherung, wie sie etwa in der Naturwissenschaft üblich sind. Stattdessen verstehe ich Vorhersagen als modelllogische Konsequenzen – Aussagen, die sich notwendig aus der inneren Struktur des Funktionalen Raum-Zeit-Kohärenzsystems (FRZK) ableiten lassen (Martin Carrier, </w:t>
      </w:r>
      <w:r>
        <w:rPr>
          <w:rStyle w:val="Hervorhebung"/>
        </w:rPr>
        <w:t>Vorhersage und Erklärung</w:t>
      </w:r>
      <w:r>
        <w:t xml:space="preserve">, in: Hübner, Carrier &amp; Reutlinger (Hrsg.), </w:t>
      </w:r>
      <w:r>
        <w:rPr>
          <w:rStyle w:val="Hervorhebung"/>
        </w:rPr>
        <w:t>Philosophie der Physik</w:t>
      </w:r>
      <w:r>
        <w:t>, Frankfurt a. M.: Suhrkamp, 2004, S. 95) [1].</w:t>
      </w:r>
    </w:p>
    <w:p w14:paraId="10ABA017" w14:textId="28844EB6" w:rsidR="00DF726C" w:rsidRDefault="00DF726C" w:rsidP="00F57C02">
      <w:r>
        <w:t xml:space="preserve">Diese Form der Vorhersage basiert auf einer erkenntnistheoretischen Strategie, die auf ontologische Setzungen verzichtet. Ich gehe nicht davon aus, dass Begriffe wie Raum, Zeit, Objektivität oder Kausalität schon vorhanden sind. Stattdessen konstruiere ich sie aus der wiederholten Anwendung funktionaler Operationen – ausgehend von der Unterscheidung eines Initialpunkts I innerhalb eines strukturlosen Anfangszustands, formal repräsentiert durch die leere Menge </w:t>
      </w:r>
      <w:r>
        <w:rPr>
          <w:rFonts w:ascii="Cambria Math" w:hAnsi="Cambria Math" w:cs="Cambria Math"/>
        </w:rPr>
        <w:t>∅</w:t>
      </w:r>
      <w:r>
        <w:t xml:space="preserve"> (Georg Cantor, </w:t>
      </w:r>
      <w:r>
        <w:rPr>
          <w:rStyle w:val="Hervorhebung"/>
        </w:rPr>
        <w:t>Beiträge zur Begründung der transfiniten Mengenlehre</w:t>
      </w:r>
      <w:r>
        <w:t xml:space="preserve">, in: </w:t>
      </w:r>
      <w:r>
        <w:rPr>
          <w:rStyle w:val="Hervorhebung"/>
        </w:rPr>
        <w:t>Mathematische Annalen</w:t>
      </w:r>
      <w:r>
        <w:t xml:space="preserve"> 46(4), 1895, S. 481–512) [2].</w:t>
      </w:r>
    </w:p>
    <w:p w14:paraId="2329489B" w14:textId="77777777" w:rsidR="00DF726C" w:rsidRDefault="00DF726C" w:rsidP="00F57C02">
      <w:r>
        <w:t xml:space="preserve">Diese Modellbildung erzeugt nicht nur eine Beschreibung von Welt – sie erzeugt selbst die konzeptuellen Bedingungen, unter denen sinnvoll von Welt, Beobachtung, Ordnung oder Bedeutung gesprochen werden kann (Michel Bitbol, </w:t>
      </w:r>
      <w:r>
        <w:rPr>
          <w:rStyle w:val="Hervorhebung"/>
        </w:rPr>
        <w:t>Some Steps Toward a Transcendental Deduction of Quantum Mechanics</w:t>
      </w:r>
      <w:r>
        <w:t xml:space="preserve">, in: </w:t>
      </w:r>
      <w:r>
        <w:rPr>
          <w:rStyle w:val="Hervorhebung"/>
        </w:rPr>
        <w:t>Erkenntnis</w:t>
      </w:r>
      <w:r>
        <w:t xml:space="preserve"> 48(2–3), 1998, S. 181–208) [3].</w:t>
      </w:r>
    </w:p>
    <w:p w14:paraId="01D32945" w14:textId="77777777" w:rsidR="00DF726C" w:rsidRDefault="00DF726C" w:rsidP="00F57C02">
      <w:r>
        <w:t>Ich orientiere mich bei dieser Denkweise an methodischen Prinzipien wie Fixpunktverfahren, Operatorlogiken und rekursiven Konstruktionen, wie sie in der mathematischen Systemtheorie oder funktionalen Physik vorkommen – aber auch in der konstruktiven Erkenntnistheorie, etwa bei George Spencer-Brown (</w:t>
      </w:r>
      <w:r>
        <w:rPr>
          <w:rStyle w:val="Hervorhebung"/>
        </w:rPr>
        <w:t>Laws of Form</w:t>
      </w:r>
      <w:r>
        <w:t>, London: Allen &amp; Unwin, 1972, Kap. 1), Francisco Varela (</w:t>
      </w:r>
      <w:r>
        <w:rPr>
          <w:rStyle w:val="Hervorhebung"/>
        </w:rPr>
        <w:t>Principles of Biological Autonomy</w:t>
      </w:r>
      <w:r>
        <w:t>, North Holland, 1979, S. 50–60) und Heinz von Foerster (</w:t>
      </w:r>
      <w:r>
        <w:rPr>
          <w:rStyle w:val="Hervorhebung"/>
        </w:rPr>
        <w:t>Observing Systems</w:t>
      </w:r>
      <w:r>
        <w:t>, Seaside, CA: Intersystems Publications, 1981, insb. Kap. 3 und S. 213) [4][5][6].</w:t>
      </w:r>
    </w:p>
    <w:p w14:paraId="1CE2F012" w14:textId="77777777" w:rsidR="00DF726C" w:rsidRDefault="00DF726C" w:rsidP="00F57C02">
      <w:r>
        <w:t>Was ich als „Vorhersage“ bezeichne, sind strukturgenerierende Aussagen über die Bedingungen, unter denen sich Form, Differenz oder Dynamik konstituieren. Solche Aussagen beziehen sich auf das Modell selbst – nicht auf externe Phänomene. Sie sind also nicht empirisch verifizierbar, sondern epistemologisch notwendig innerhalb eines geschlossenen, reflexiv anschlussfähigen Systems.</w:t>
      </w:r>
    </w:p>
    <w:p w14:paraId="49209844" w14:textId="77777777" w:rsidR="00DF726C" w:rsidRDefault="00DF726C" w:rsidP="00F57C02">
      <w:r>
        <w:t>Ich verstehe das Modellieren in diesem Kapitel daher als eine konstruierende Praxis: Die Welt wird hier nicht erklärt, sondern als Emergenz funktionaler Relationen erzeugt. Das FRZK liefert dafür die Architektur – eine Struktur, aus der sich jene Phänomene rekonstruieren lassen, die in klassischen Theorien oft stillschweigend vorausgesetzt werden. Dazu gehören Raumzeit, Kausalität, Beobachtung und Bedeutung – allesamt emergente Größen innerhalb eines funktionalen Bezugssystems.</w:t>
      </w:r>
    </w:p>
    <w:p w14:paraId="3FDA2B08" w14:textId="5DAAA54D" w:rsidR="00DF726C" w:rsidRDefault="00DF726C" w:rsidP="00F57C02">
      <w:r w:rsidRPr="00722323">
        <w:t>Die nachfolgenden Abschnitte systematisieren diese modelllogischen Konsequenzen: Sie zeigen, wie und warum diese Phänomene im Modell auftreten, welche Operationen sie hervorbringen, und welche Bedeutung sie interdisziplinär entfalten können. Die erste Konsequenz betrifft die strukturelle Emergenz von Raum, Zeit, Objektivität und Kausalität – und sie bildet den Ausgangspunkt der weiteren Entfaltung.</w:t>
      </w:r>
      <w:r w:rsidR="00722323" w:rsidRPr="00722323">
        <w:t xml:space="preserve"> Eine vollständige Übersicht der in </w:t>
      </w:r>
      <w:r w:rsidR="00722323" w:rsidRPr="00722323">
        <w:lastRenderedPageBreak/>
        <w:t>Kapitel 4 formulierten modelllogischen Vorhersagen bietet Anlage 4.A.</w:t>
      </w:r>
      <w:r w:rsidR="00000000">
        <w:pict w14:anchorId="02B150DE">
          <v:rect id="_x0000_i1025" style="width:0;height:1.5pt" o:hralign="center" o:hrstd="t" o:hr="t" fillcolor="#a0a0a0" stroked="f"/>
        </w:pict>
      </w:r>
    </w:p>
    <w:p w14:paraId="2FB1AC33" w14:textId="77777777" w:rsidR="00DF726C" w:rsidRDefault="00DF726C" w:rsidP="001B0BD3">
      <w:pPr>
        <w:pStyle w:val="berschrift2"/>
      </w:pPr>
      <w:r>
        <w:t>4.1 Emergenz von Realität durch funktionale Zuweisungen</w:t>
      </w:r>
    </w:p>
    <w:p w14:paraId="6BBA5C7A" w14:textId="6CF33C25" w:rsidR="00DF726C" w:rsidRDefault="00DF726C" w:rsidP="001B0BD3">
      <w:pPr>
        <w:pStyle w:val="StandardWeb"/>
      </w:pPr>
      <w:r w:rsidRPr="00F57C02">
        <w:t>Ich vertrete in diesem Kapitel die modelllogische These, dass Begriffe wie Raum, Zeit, Objektivität, Kausalität und letztlich auch „Realität“ keine vorgegebenen Konstanten sind – sondern emergente Effekte funktionaler Zuweisungen. Das Funktionale Raum-Zeit-Kohärenzsystem (FRZK), das ich entwickle, generiert diese Konzepte nicht aus Beobachtung oder Empirie, sondern aus seiner inneren, rekursiv aufgebauten Strukturlogik. Dabei werden Differenzierungen und Beobachterperspektiven nicht vorausgesetzt, sondern schrittweise konstruiert – ausgehend von einem strukturlosen Anfangszustand.</w:t>
      </w:r>
      <w:r w:rsidR="00000000">
        <w:pict w14:anchorId="6777FFE1">
          <v:rect id="_x0000_i1026" style="width:0;height:1.5pt" o:hralign="center" o:hrstd="t" o:hr="t" fillcolor="#a0a0a0" stroked="f"/>
        </w:pict>
      </w:r>
    </w:p>
    <w:p w14:paraId="677AABFB" w14:textId="77777777" w:rsidR="00DF726C" w:rsidRDefault="00DF726C" w:rsidP="001B0BD3">
      <w:pPr>
        <w:pStyle w:val="berschrift3"/>
      </w:pPr>
      <w:r>
        <w:t>4.1.1 Ontologische Zurückhaltung als Modellprinzip</w:t>
      </w:r>
    </w:p>
    <w:p w14:paraId="6824992B" w14:textId="77777777" w:rsidR="00DF726C" w:rsidRDefault="00DF726C" w:rsidP="00F57C02">
      <w:r>
        <w:t>Ich beginne nicht mit Annahmen über das, was existiert. Das FRZK basiert auf einer radikalen ontologischen Zurückhaltung: Weder Raum, Zeit noch Objekte oder Kausalitäten sind zu Beginn des Modells gegeben. Vielmehr gilt: Nur was aus der Struktur ableitbar ist, besitzt Gültigkeit im System (Carrier 2004) [1]. Diese Haltung folgt einem konstruktivistischen Paradigma, das sich auch in der transzendental-funktionalen Modellbildung wiederfindet – etwa bei Heinz von Foerster oder Michel Bitbol, die die Rolle des Beobachters und der Operationen in den Mittelpunkt rücken (Bitbol 1998) [3].</w:t>
      </w:r>
    </w:p>
    <w:p w14:paraId="3A1428AE" w14:textId="77777777" w:rsidR="00F57C02" w:rsidRDefault="00DF726C" w:rsidP="00F57C02">
      <w:r>
        <w:t>Ich schließe mich damit einer erkenntnistheoretischen Linie an, in der Modelle keine Abbilder von Wirklichkeit sind, sondern Systeme zur Generierung von Geltung – konstruierend, nicht repräsentierend.</w:t>
      </w:r>
    </w:p>
    <w:p w14:paraId="415824FE" w14:textId="107A2CC5" w:rsidR="00DF726C" w:rsidRDefault="00000000" w:rsidP="00F57C02">
      <w:r>
        <w:pict w14:anchorId="01A05387">
          <v:rect id="_x0000_i1027" style="width:0;height:1.5pt" o:hralign="center" o:hrstd="t" o:hr="t" fillcolor="#a0a0a0" stroked="f"/>
        </w:pict>
      </w:r>
    </w:p>
    <w:p w14:paraId="6D90023B" w14:textId="77777777" w:rsidR="00DF726C" w:rsidRDefault="00DF726C" w:rsidP="001B0BD3">
      <w:pPr>
        <w:pStyle w:val="berschrift3"/>
      </w:pPr>
      <w:r>
        <w:t>4.1.2 Initialpunkt und strukturloser Zustand (</w:t>
      </w:r>
      <w:r>
        <w:rPr>
          <w:rFonts w:ascii="Cambria Math" w:hAnsi="Cambria Math" w:cs="Cambria Math"/>
        </w:rPr>
        <w:t>∅</w:t>
      </w:r>
      <w:r>
        <w:t>)</w:t>
      </w:r>
    </w:p>
    <w:p w14:paraId="48B28918" w14:textId="77777777" w:rsidR="00DF726C" w:rsidRDefault="00DF726C" w:rsidP="00F57C02">
      <w:r>
        <w:t xml:space="preserve">Jede Modellierung im FRZK beginnt mit dem strukturlosen Zustand, formal als </w:t>
      </w:r>
      <w:r>
        <w:rPr>
          <w:rFonts w:ascii="Cambria Math" w:hAnsi="Cambria Math" w:cs="Cambria Math"/>
        </w:rPr>
        <w:t>∅</w:t>
      </w:r>
      <w:r>
        <w:t xml:space="preserve"> notiert. Daraus hebe ich – durch die erste funktionale Operation – einen Initialpunkt (I) hervor. Diese erste Unterscheidung konstituiert die Möglichkeit, überhaupt Koordinaten, Relationen oder Felder zu erzeugen. Der Initialpunkt ist dabei kein Ort, sondern ein Funktionsträger der ersten Differenz – die symbolische Operation, aus der alle weiteren Funktionen emergieren.</w:t>
      </w:r>
    </w:p>
    <w:p w14:paraId="7CC6897A" w14:textId="77777777" w:rsidR="00F57C02" w:rsidRDefault="00DF726C" w:rsidP="00F57C02">
      <w:r>
        <w:t>Ich knüpfe hier an die Logik von George Spencer-Brown an, der die Konstitution von Form durch Unterscheidung beschreibt (Spencer-Brown 1972) [4], sowie an Francisco Varelas Konzept der operativen Geschlossenheit biologischer Systeme (Varela 1979) [5]. Die strukturelle Grundidee: Bezug entsteht durch Differenz – nicht durch Abbildung.</w:t>
      </w:r>
    </w:p>
    <w:p w14:paraId="1359F6DD" w14:textId="75ED0835" w:rsidR="00552B58" w:rsidRDefault="00552B58" w:rsidP="00F57C02">
      <w:r>
        <w:sym w:font="Wingdings" w:char="F0DF"/>
      </w:r>
    </w:p>
    <w:p w14:paraId="57269AB2" w14:textId="77777777" w:rsidR="00552B58" w:rsidRPr="00552B58" w:rsidRDefault="00552B58" w:rsidP="00552B58">
      <w:pPr>
        <w:rPr>
          <w:b/>
          <w:bCs/>
        </w:rPr>
      </w:pPr>
      <w:r w:rsidRPr="00552B58">
        <w:rPr>
          <w:b/>
          <w:bCs/>
        </w:rPr>
        <w:t>4.1.2 Initialpunkt und strukturloser Zustand (</w:t>
      </w:r>
      <w:r w:rsidRPr="00552B58">
        <w:rPr>
          <w:rFonts w:ascii="Cambria Math" w:hAnsi="Cambria Math" w:cs="Cambria Math"/>
          <w:b/>
          <w:bCs/>
        </w:rPr>
        <w:t>∅</w:t>
      </w:r>
      <w:r w:rsidRPr="00552B58">
        <w:rPr>
          <w:b/>
          <w:bCs/>
        </w:rPr>
        <w:t xml:space="preserve">) </w:t>
      </w:r>
      <w:r w:rsidRPr="00552B58">
        <w:rPr>
          <w:rFonts w:ascii="Calibri" w:hAnsi="Calibri" w:cs="Calibri"/>
          <w:b/>
          <w:bCs/>
        </w:rPr>
        <w:t>–</w:t>
      </w:r>
      <w:r w:rsidRPr="00552B58">
        <w:rPr>
          <w:b/>
          <w:bCs/>
        </w:rPr>
        <w:t xml:space="preserve"> Ausgangspunkt f</w:t>
      </w:r>
      <w:r w:rsidRPr="00552B58">
        <w:rPr>
          <w:rFonts w:ascii="Calibri" w:hAnsi="Calibri" w:cs="Calibri"/>
          <w:b/>
          <w:bCs/>
        </w:rPr>
        <w:t>ü</w:t>
      </w:r>
      <w:r w:rsidRPr="00552B58">
        <w:rPr>
          <w:b/>
          <w:bCs/>
        </w:rPr>
        <w:t>r modelllogische Vorhersagen</w:t>
      </w:r>
    </w:p>
    <w:p w14:paraId="7F097640" w14:textId="77777777" w:rsidR="00552B58" w:rsidRPr="00552B58" w:rsidRDefault="00552B58" w:rsidP="00552B58">
      <w:r w:rsidRPr="00552B58">
        <w:rPr>
          <w:b/>
          <w:bCs/>
        </w:rPr>
        <w:t>4.1.2.1 Strukturloser Zustand als Ausgangspunkt</w:t>
      </w:r>
      <w:r w:rsidRPr="00552B58">
        <w:br/>
        <w:t xml:space="preserve">Die Vorhersagen des Funktionalen Raum-Zeit-Kohärenzsystems (FRZK) basieren auf einem </w:t>
      </w:r>
      <w:r w:rsidRPr="00552B58">
        <w:rPr>
          <w:b/>
          <w:bCs/>
        </w:rPr>
        <w:t>klar definierten, strukturlosen Zustand</w:t>
      </w:r>
      <w:r w:rsidRPr="00552B58">
        <w:t xml:space="preserve">, formal als </w:t>
      </w:r>
      <w:r w:rsidRPr="00552B58">
        <w:rPr>
          <w:rFonts w:ascii="Cambria Math" w:hAnsi="Cambria Math" w:cs="Cambria Math"/>
        </w:rPr>
        <w:t>∅</w:t>
      </w:r>
      <w:r w:rsidRPr="00552B58">
        <w:t xml:space="preserve"> notiert (vgl. Kapitel 3.1). Dieser Zustand dient als </w:t>
      </w:r>
      <w:r w:rsidRPr="00552B58">
        <w:rPr>
          <w:b/>
          <w:bCs/>
        </w:rPr>
        <w:t>Nullpunkt aller Modellbildung</w:t>
      </w:r>
      <w:r w:rsidRPr="00552B58">
        <w:t xml:space="preserve">: Er setzt weder Raum noch Zeit, Objekte oder Kausalität voraus. Die leere Menge </w:t>
      </w:r>
      <w:r w:rsidRPr="00552B58">
        <w:rPr>
          <w:rFonts w:ascii="Cambria Math" w:hAnsi="Cambria Math" w:cs="Cambria Math"/>
        </w:rPr>
        <w:t>∅</w:t>
      </w:r>
      <w:r w:rsidRPr="00552B58">
        <w:t xml:space="preserve"> bildet die minimal notwendige Struktur, aus der alle weiteren Operationen abgeleitet werden k</w:t>
      </w:r>
      <w:r w:rsidRPr="00552B58">
        <w:rPr>
          <w:rFonts w:ascii="Calibri" w:hAnsi="Calibri" w:cs="Calibri"/>
        </w:rPr>
        <w:t>ö</w:t>
      </w:r>
      <w:r w:rsidRPr="00552B58">
        <w:t>nnen (Cantor 1895 [2]; Suppes 1972 [14]).</w:t>
      </w:r>
    </w:p>
    <w:p w14:paraId="290A826B" w14:textId="77777777" w:rsidR="00552B58" w:rsidRPr="00552B58" w:rsidRDefault="00552B58" w:rsidP="00552B58">
      <w:r w:rsidRPr="00552B58">
        <w:t xml:space="preserve">Innerhalb der Vorhersagelogik ist dieser Zustand entscheidend: Nur aus einem </w:t>
      </w:r>
      <w:r w:rsidRPr="00552B58">
        <w:rPr>
          <w:b/>
          <w:bCs/>
        </w:rPr>
        <w:t>vollständig unbestimmten Ausgangspunkt</w:t>
      </w:r>
      <w:r w:rsidRPr="00552B58">
        <w:t xml:space="preserve"> lassen sich die </w:t>
      </w:r>
      <w:r w:rsidRPr="00552B58">
        <w:rPr>
          <w:b/>
          <w:bCs/>
        </w:rPr>
        <w:t>notwendigen inneren Konsequenzen</w:t>
      </w:r>
      <w:r w:rsidRPr="00552B58">
        <w:t xml:space="preserve"> des Systems ableiten, ohne auf externe Annahmen zurückzugreifen.</w:t>
      </w:r>
    </w:p>
    <w:p w14:paraId="1339FE71" w14:textId="77777777" w:rsidR="00552B58" w:rsidRPr="00552B58" w:rsidRDefault="00552B58" w:rsidP="00552B58">
      <w:r w:rsidRPr="00552B58">
        <w:rPr>
          <w:b/>
          <w:bCs/>
        </w:rPr>
        <w:t>4.1.2.2 Definition des Initialpunkts (I)</w:t>
      </w:r>
      <w:r w:rsidRPr="00552B58">
        <w:br/>
        <w:t xml:space="preserve">Aus dem strukturlosen Zustand wird durch die </w:t>
      </w:r>
      <w:r w:rsidRPr="00552B58">
        <w:rPr>
          <w:b/>
          <w:bCs/>
        </w:rPr>
        <w:t>erste funktionale Operation</w:t>
      </w:r>
      <w:r w:rsidRPr="00552B58">
        <w:t xml:space="preserve"> ein </w:t>
      </w:r>
      <w:r w:rsidRPr="00552B58">
        <w:rPr>
          <w:b/>
          <w:bCs/>
        </w:rPr>
        <w:t>Initialpunkt I</w:t>
      </w:r>
      <w:r w:rsidRPr="00552B58">
        <w:t xml:space="preserve"> hervorgehoben (Kapitel 3.2). Dieser Initialpunkt ist </w:t>
      </w:r>
      <w:r w:rsidRPr="00552B58">
        <w:rPr>
          <w:b/>
          <w:bCs/>
        </w:rPr>
        <w:t>kein Ort</w:t>
      </w:r>
      <w:r w:rsidRPr="00552B58">
        <w:t xml:space="preserve">, sondern ein </w:t>
      </w:r>
      <w:r w:rsidRPr="00552B58">
        <w:rPr>
          <w:b/>
          <w:bCs/>
        </w:rPr>
        <w:t>Funktionsträger der ersten Differenz</w:t>
      </w:r>
      <w:r w:rsidRPr="00552B58">
        <w:t>. Er markiert die allererste Unterscheidung, die die Emergenz von Raum, Zeit und relationalen Strukturen ermöglicht. Formal:</w:t>
      </w:r>
    </w:p>
    <w:p w14:paraId="32E2F80A" w14:textId="77777777" w:rsidR="00552B58" w:rsidRPr="00552B58" w:rsidRDefault="00552B58" w:rsidP="00552B58">
      <w:r w:rsidRPr="00552B58">
        <w:t>I=o(</w:t>
      </w:r>
      <w:r w:rsidRPr="00552B58">
        <w:rPr>
          <w:rFonts w:ascii="Cambria Math" w:hAnsi="Cambria Math" w:cs="Cambria Math"/>
        </w:rPr>
        <w:t>∅</w:t>
      </w:r>
      <w:r w:rsidRPr="00552B58">
        <w:t>),o</w:t>
      </w:r>
      <w:r w:rsidRPr="00552B58">
        <w:rPr>
          <w:rFonts w:ascii="Cambria Math" w:hAnsi="Cambria Math" w:cs="Cambria Math"/>
        </w:rPr>
        <w:t>∈</w:t>
      </w:r>
      <w:r w:rsidRPr="00552B58">
        <w:t>OI = o(\emptyset), \quad o \in OI=o(</w:t>
      </w:r>
      <w:r w:rsidRPr="00552B58">
        <w:rPr>
          <w:rFonts w:ascii="Cambria Math" w:hAnsi="Cambria Math" w:cs="Cambria Math"/>
        </w:rPr>
        <w:t>∅</w:t>
      </w:r>
      <w:r w:rsidRPr="00552B58">
        <w:t>),o</w:t>
      </w:r>
      <w:r w:rsidRPr="00552B58">
        <w:rPr>
          <w:rFonts w:ascii="Cambria Math" w:hAnsi="Cambria Math" w:cs="Cambria Math"/>
        </w:rPr>
        <w:t>∈</w:t>
      </w:r>
      <w:r w:rsidRPr="00552B58">
        <w:t xml:space="preserve">O </w:t>
      </w:r>
    </w:p>
    <w:p w14:paraId="485259F2" w14:textId="77777777" w:rsidR="00552B58" w:rsidRPr="00552B58" w:rsidRDefault="00552B58" w:rsidP="00552B58">
      <w:r w:rsidRPr="00552B58">
        <w:t>wobei OOO die Menge aller Operatoren darstellt, deren wiederholte Anwendung im Kapitel 3 die Strukturen erzeugt, die im FRZK als „Raum“, „Zeit“ oder „Objekt“ erkannt werden.</w:t>
      </w:r>
    </w:p>
    <w:p w14:paraId="1A51693D" w14:textId="77777777" w:rsidR="00552B58" w:rsidRPr="00552B58" w:rsidRDefault="00552B58" w:rsidP="00552B58">
      <w:r w:rsidRPr="00552B58">
        <w:rPr>
          <w:b/>
          <w:bCs/>
        </w:rPr>
        <w:t>4.1.2.3 Initialpunkt als Grundlage modelllogischer Vorhersagen</w:t>
      </w:r>
      <w:r w:rsidRPr="00552B58">
        <w:br/>
        <w:t xml:space="preserve">Die Vorhersagen des FRZK sind </w:t>
      </w:r>
      <w:r w:rsidRPr="00552B58">
        <w:rPr>
          <w:b/>
          <w:bCs/>
        </w:rPr>
        <w:t>nicht empirisch</w:t>
      </w:r>
      <w:r w:rsidRPr="00552B58">
        <w:t xml:space="preserve">, sondern </w:t>
      </w:r>
      <w:r w:rsidRPr="00552B58">
        <w:rPr>
          <w:b/>
          <w:bCs/>
        </w:rPr>
        <w:t>modelllogisch</w:t>
      </w:r>
      <w:r w:rsidRPr="00552B58">
        <w:t xml:space="preserve">: Sie ergeben sich notwendig aus der inneren Architektur des Systems. Der Initialpunkt I ist dabei die </w:t>
      </w:r>
      <w:r w:rsidRPr="00552B58">
        <w:rPr>
          <w:b/>
          <w:bCs/>
        </w:rPr>
        <w:t>erste Bedingung</w:t>
      </w:r>
      <w:r w:rsidRPr="00552B58">
        <w:t>, die alle folgenden Konsequenzen determiniert.</w:t>
      </w:r>
    </w:p>
    <w:p w14:paraId="403F1836" w14:textId="77777777" w:rsidR="00552B58" w:rsidRPr="00552B58" w:rsidRDefault="00552B58" w:rsidP="00552B58">
      <w:r w:rsidRPr="00552B58">
        <w:t>Beispielhafte Vorhersagen, die sich aus der Hervorhebung von I ableiten, sind:</w:t>
      </w:r>
    </w:p>
    <w:p w14:paraId="4F909B4B" w14:textId="77777777" w:rsidR="00552B58" w:rsidRPr="00552B58" w:rsidRDefault="00552B58" w:rsidP="00552B58">
      <w:pPr>
        <w:numPr>
          <w:ilvl w:val="0"/>
          <w:numId w:val="27"/>
        </w:numPr>
      </w:pPr>
      <w:r w:rsidRPr="00552B58">
        <w:rPr>
          <w:b/>
          <w:bCs/>
        </w:rPr>
        <w:t>Emergenz relationaler Strukturen</w:t>
      </w:r>
      <w:r w:rsidRPr="00552B58">
        <w:t>: Ohne Initialpunkt entstehen keine Koordinaten, keine Differenzen und keine Felder.</w:t>
      </w:r>
    </w:p>
    <w:p w14:paraId="79A2779D" w14:textId="77777777" w:rsidR="00552B58" w:rsidRPr="00552B58" w:rsidRDefault="00552B58" w:rsidP="00552B58">
      <w:pPr>
        <w:numPr>
          <w:ilvl w:val="0"/>
          <w:numId w:val="27"/>
        </w:numPr>
      </w:pPr>
      <w:r w:rsidRPr="00552B58">
        <w:rPr>
          <w:b/>
          <w:bCs/>
        </w:rPr>
        <w:t>Hierarchische Ableitbarkeit</w:t>
      </w:r>
      <w:r w:rsidRPr="00552B58">
        <w:t>: Raumfunktionen, Brane-Funktionen, Metrik und Dynamik folgen iterativ aus der Differenz I.</w:t>
      </w:r>
    </w:p>
    <w:p w14:paraId="68D3CD66" w14:textId="77777777" w:rsidR="00552B58" w:rsidRPr="00552B58" w:rsidRDefault="00552B58" w:rsidP="00552B58">
      <w:pPr>
        <w:numPr>
          <w:ilvl w:val="0"/>
          <w:numId w:val="27"/>
        </w:numPr>
      </w:pPr>
      <w:r w:rsidRPr="00552B58">
        <w:rPr>
          <w:b/>
          <w:bCs/>
        </w:rPr>
        <w:t>Notwendigkeit funktionaler Operatoren</w:t>
      </w:r>
      <w:r w:rsidRPr="00552B58">
        <w:t>: Jede weitere Struktur ist nur im Kontext der Operatoren OOO sinnvoll – die Modellarchitektur legt die Reihenfolge und Bedingungen der Emergenz fest.</w:t>
      </w:r>
    </w:p>
    <w:p w14:paraId="207BBC91" w14:textId="77777777" w:rsidR="00552B58" w:rsidRPr="00552B58" w:rsidRDefault="00552B58" w:rsidP="00552B58">
      <w:r w:rsidRPr="00552B58">
        <w:t xml:space="preserve">Damit wird deutlich: Die Vorhersagen des FRZK sind </w:t>
      </w:r>
      <w:r w:rsidRPr="00552B58">
        <w:rPr>
          <w:b/>
          <w:bCs/>
        </w:rPr>
        <w:t>operatorisch determiniert</w:t>
      </w:r>
      <w:r w:rsidRPr="00552B58">
        <w:t xml:space="preserve"> und </w:t>
      </w:r>
      <w:r w:rsidRPr="00552B58">
        <w:rPr>
          <w:b/>
          <w:bCs/>
        </w:rPr>
        <w:t>epistemologisch notwendig</w:t>
      </w:r>
      <w:r w:rsidRPr="00552B58">
        <w:t>, nicht zufällig oder empirisch abgeleitet.</w:t>
      </w:r>
    </w:p>
    <w:p w14:paraId="45FDB97A" w14:textId="77777777" w:rsidR="00552B58" w:rsidRPr="00552B58" w:rsidRDefault="00552B58" w:rsidP="00552B58">
      <w:r w:rsidRPr="00552B58">
        <w:rPr>
          <w:b/>
          <w:bCs/>
        </w:rPr>
        <w:t>4.1.2.4 Theoretische Anbindung</w:t>
      </w:r>
      <w:r w:rsidRPr="00552B58">
        <w:br/>
        <w:t xml:space="preserve">Die Konstruktion knüpft an George Spencer-Brown (1972 [4]) an, der </w:t>
      </w:r>
      <w:r w:rsidRPr="00552B58">
        <w:rPr>
          <w:b/>
          <w:bCs/>
        </w:rPr>
        <w:t>Form durch Unterscheidung</w:t>
      </w:r>
      <w:r w:rsidRPr="00552B58">
        <w:t xml:space="preserve"> beschreibt, und an Francisco Varelas Konzept der </w:t>
      </w:r>
      <w:r w:rsidRPr="00552B58">
        <w:rPr>
          <w:b/>
          <w:bCs/>
        </w:rPr>
        <w:t>operativen Geschlossenheit</w:t>
      </w:r>
      <w:r w:rsidRPr="00552B58">
        <w:t xml:space="preserve"> (1979 [5]). Grundidee: </w:t>
      </w:r>
      <w:r w:rsidRPr="00552B58">
        <w:rPr>
          <w:b/>
          <w:bCs/>
        </w:rPr>
        <w:t>Bezug entsteht durch Differenz – nicht durch Abbildung</w:t>
      </w:r>
      <w:r w:rsidRPr="00552B58">
        <w:t xml:space="preserve">. Der Initialpunkt operationalisiert diese Differenz und legt damit die Grundlage für </w:t>
      </w:r>
      <w:r w:rsidRPr="00552B58">
        <w:rPr>
          <w:b/>
          <w:bCs/>
        </w:rPr>
        <w:t>alle modelllogischen Vorhersagen des FRZK</w:t>
      </w:r>
      <w:r w:rsidRPr="00552B58">
        <w:t>.</w:t>
      </w:r>
    </w:p>
    <w:p w14:paraId="31C15D01" w14:textId="77777777" w:rsidR="00552B58" w:rsidRPr="00552B58" w:rsidRDefault="00552B58" w:rsidP="00552B58">
      <w:r w:rsidRPr="00552B58">
        <w:rPr>
          <w:b/>
          <w:bCs/>
        </w:rPr>
        <w:t>4.1.2.5 Didaktische Perspektive und Bezug zu Kapitel 3</w:t>
      </w:r>
      <w:r w:rsidRPr="00552B58">
        <w:br/>
        <w:t xml:space="preserve">Kapitel 3 demonstriert die </w:t>
      </w:r>
      <w:r w:rsidRPr="00552B58">
        <w:rPr>
          <w:b/>
          <w:bCs/>
        </w:rPr>
        <w:t>mathematische und didaktische Konstruktion</w:t>
      </w:r>
      <w:r w:rsidRPr="00552B58">
        <w:t xml:space="preserve"> des Initialpunkts. Kapitel 4 überträgt diese Konstruktion in die </w:t>
      </w:r>
      <w:r w:rsidRPr="00552B58">
        <w:rPr>
          <w:b/>
          <w:bCs/>
        </w:rPr>
        <w:t>Vorhersagelogik</w:t>
      </w:r>
      <w:r w:rsidRPr="00552B58">
        <w:t>: Aus dem Initialpunkt lassen sich alle konsistenten Folgen des Systems ableiten, die Emergenz von Raum, Zeit, Kausalität und Objektivität modellieren und die Struktur der Operatorenketten (Kapitel 3.7) bestimmen.</w:t>
      </w:r>
    </w:p>
    <w:p w14:paraId="6219C77A" w14:textId="77777777" w:rsidR="00552B58" w:rsidRPr="00552B58" w:rsidRDefault="00552B58" w:rsidP="00552B58">
      <w:r w:rsidRPr="00552B58">
        <w:t xml:space="preserve">Didaktisch zeigt sich: Lernende oder Modellierer können die Entstehung dieser Strukturen nachvollziehen, indem sie von </w:t>
      </w:r>
      <w:r w:rsidRPr="00552B58">
        <w:rPr>
          <w:rFonts w:ascii="Cambria Math" w:hAnsi="Cambria Math" w:cs="Cambria Math"/>
        </w:rPr>
        <w:t>∅</w:t>
      </w:r>
      <w:r w:rsidRPr="00552B58">
        <w:t xml:space="preserve"> aus Schritt f</w:t>
      </w:r>
      <w:r w:rsidRPr="00552B58">
        <w:rPr>
          <w:rFonts w:ascii="Calibri" w:hAnsi="Calibri" w:cs="Calibri"/>
        </w:rPr>
        <w:t>ü</w:t>
      </w:r>
      <w:r w:rsidRPr="00552B58">
        <w:t xml:space="preserve">r Schritt Operatoren anwenden. Die Vorhersagekraft des FRZK ist damit direkt aus </w:t>
      </w:r>
      <w:r w:rsidRPr="00552B58">
        <w:rPr>
          <w:b/>
          <w:bCs/>
        </w:rPr>
        <w:t>Kapitel 3 (formale Grundlagen und Operatorenkaskade)</w:t>
      </w:r>
      <w:r w:rsidRPr="00552B58">
        <w:t xml:space="preserve"> ableitbar.</w:t>
      </w:r>
    </w:p>
    <w:p w14:paraId="110EAF27" w14:textId="6BE676F4" w:rsidR="00552B58" w:rsidRDefault="00552B58" w:rsidP="00F57C02">
      <w:r>
        <w:sym w:font="Wingdings" w:char="F0E0"/>
      </w:r>
    </w:p>
    <w:p w14:paraId="7BD2F530" w14:textId="09DCF598" w:rsidR="00DF726C" w:rsidRDefault="00000000" w:rsidP="00F57C02">
      <w:r>
        <w:pict w14:anchorId="7EB12506">
          <v:rect id="_x0000_i1028" style="width:0;height:1.5pt" o:hralign="center" o:hrstd="t" o:hr="t" fillcolor="#a0a0a0" stroked="f"/>
        </w:pict>
      </w:r>
    </w:p>
    <w:p w14:paraId="67151E8F" w14:textId="77777777" w:rsidR="00DF726C" w:rsidRDefault="00DF726C" w:rsidP="001B0BD3">
      <w:pPr>
        <w:pStyle w:val="berschrift3"/>
      </w:pPr>
      <w:r>
        <w:t>4.1.3 Funktionale Entstehung von Raum und Zeit</w:t>
      </w:r>
    </w:p>
    <w:p w14:paraId="304231FC" w14:textId="77777777" w:rsidR="00DF726C" w:rsidRDefault="00DF726C" w:rsidP="00F57C02">
      <w:r>
        <w:t>Ich konstruiere Raum und Zeit nicht als ontologische Fundamente, sondern als Funktionen, die sich aus strukturierter Zuweisung ergeben. Der Raum ist dabei eine stabile Koordinierung relativer Differenzen zum Initialpunkt, während Zeit als gerichtete Reihung funktionaler Übergänge entsteht.</w:t>
      </w:r>
    </w:p>
    <w:p w14:paraId="768468CF" w14:textId="77777777" w:rsidR="00DF726C" w:rsidRDefault="00DF726C" w:rsidP="00F57C02">
      <w:r>
        <w:t xml:space="preserve">Diese Sichtweise steht in enger Beziehung zu relationalen Raumzeitkonzepten in der modernen Physik – insbesondere in der Allgemeinen Relativitätstheorie, wo Gravitation nicht Wirkung in Raum und Zeit ist, sondern die Struktur von Raumzeit selbst beschreibt (Albert Einstein, </w:t>
      </w:r>
      <w:r>
        <w:rPr>
          <w:rStyle w:val="Hervorhebung"/>
        </w:rPr>
        <w:t>The Meaning of Relativity</w:t>
      </w:r>
      <w:r>
        <w:t xml:space="preserve">, Princeton: Princeton University Press, 1922, Kap. 3) [7]. Auch in dynamischen Geometrien und der Quantengravitation wird Raumzeit zunehmend als emergente Struktur interpretiert (Lee Smolin, </w:t>
      </w:r>
      <w:r>
        <w:rPr>
          <w:rStyle w:val="Hervorhebung"/>
        </w:rPr>
        <w:t>Three Roads to Quantum Gravity</w:t>
      </w:r>
      <w:r>
        <w:t>, New York: Basic Books, 2001, Kap. 4–5) [8].</w:t>
      </w:r>
    </w:p>
    <w:p w14:paraId="5D6831A9" w14:textId="77777777" w:rsidR="00F57C02" w:rsidRDefault="00DF726C" w:rsidP="00F57C02">
      <w:r>
        <w:t>Das FRZK übersetzt diese Perspektive erkenntnistheoretisch: Zeit ist nicht das, was vergeht – sondern das, was entsteht, wenn Transformation relational kohärent wird.</w:t>
      </w:r>
    </w:p>
    <w:p w14:paraId="696D7BF9" w14:textId="6795158A" w:rsidR="00DF726C" w:rsidRDefault="00000000" w:rsidP="00F57C02">
      <w:r>
        <w:pict w14:anchorId="6CE66637">
          <v:rect id="_x0000_i1029" style="width:0;height:1.5pt" o:hralign="center" o:hrstd="t" o:hr="t" fillcolor="#a0a0a0" stroked="f"/>
        </w:pict>
      </w:r>
    </w:p>
    <w:p w14:paraId="2839F326" w14:textId="77777777" w:rsidR="00DF726C" w:rsidRDefault="00DF726C" w:rsidP="001B0BD3">
      <w:pPr>
        <w:pStyle w:val="berschrift3"/>
      </w:pPr>
      <w:r>
        <w:t>4.1.4 Konsistenz mit physikalischen Emergenztheorien</w:t>
      </w:r>
    </w:p>
    <w:p w14:paraId="5231BDAA" w14:textId="77777777" w:rsidR="00DF726C" w:rsidRDefault="00DF726C" w:rsidP="00F57C02">
      <w:r>
        <w:t xml:space="preserve">Die funktionale Emergenzstruktur, wie ich sie im FRZK beschreibe, ist anschlussfähig an mehrere theoretische Richtungen in der aktuellen Physik. So postuliert die Stringtheorie, dass Raumzeit nicht fundamental ist, sondern aus Verschränkungen und Interaktionen auf subraumzeitlicher Ebene hervorgeht (Edward Witten, </w:t>
      </w:r>
      <w:r>
        <w:rPr>
          <w:rStyle w:val="Hervorhebung"/>
        </w:rPr>
        <w:t>Reflections on the Fate of Spacetime</w:t>
      </w:r>
      <w:r>
        <w:t xml:space="preserve">, in: </w:t>
      </w:r>
      <w:r>
        <w:rPr>
          <w:rStyle w:val="Hervorhebung"/>
        </w:rPr>
        <w:t>Physics Today</w:t>
      </w:r>
      <w:r>
        <w:t>, 49(4), 1996, S. 24–30) [9]. Auch in der holografischen Gravitation (Maldacena) und der Loop-Quantengravitation (Rovelli) wird Raumzeit als sekundäre Struktur behandelt.</w:t>
      </w:r>
    </w:p>
    <w:p w14:paraId="798B88B1" w14:textId="77777777" w:rsidR="00F57C02" w:rsidRDefault="00DF726C" w:rsidP="00F57C02">
      <w:r>
        <w:t xml:space="preserve">Diese Ansätze zeigen: Auch in der Physik verschiebt sich der Status von Raumzeit – von einer ontologischen Basis zu einer emergenten Beschreibungsebene, was die Modelllogik des FRZK empirisch motiviert (Carlo Rovelli, </w:t>
      </w:r>
      <w:r>
        <w:rPr>
          <w:rStyle w:val="Hervorhebung"/>
        </w:rPr>
        <w:t>Helgoland: Making Sense of the Quantum Revolution</w:t>
      </w:r>
      <w:r>
        <w:t>, London: Penguin Books, 2021, Kap. „Relations“) [10].</w:t>
      </w:r>
    </w:p>
    <w:p w14:paraId="6C8DF009" w14:textId="01461B22" w:rsidR="00DF726C" w:rsidRDefault="00000000" w:rsidP="00F57C02">
      <w:r>
        <w:pict w14:anchorId="5DEC4E47">
          <v:rect id="_x0000_i1030" style="width:0;height:1.5pt" o:hralign="center" o:hrstd="t" o:hr="t" fillcolor="#a0a0a0" stroked="f"/>
        </w:pict>
      </w:r>
    </w:p>
    <w:p w14:paraId="1C3E880D" w14:textId="77777777" w:rsidR="00DF726C" w:rsidRPr="001B0BD3" w:rsidRDefault="00DF726C" w:rsidP="00F57C02">
      <w:pPr>
        <w:pStyle w:val="berschrift3"/>
      </w:pPr>
      <w:r w:rsidRPr="001B0BD3">
        <w:t>4.1.5 Epistemische Position der Vorhersage</w:t>
      </w:r>
    </w:p>
    <w:p w14:paraId="25F61B17" w14:textId="77777777" w:rsidR="00DF726C" w:rsidRDefault="00DF726C" w:rsidP="00F57C02">
      <w:r>
        <w:t>Die Aussage, dass Kategorien wie Raum, Zeit, Objektivität und Kausalität im FRZK nicht vorausgesetzt, sondern strukturell erzeugt werden, ist nicht experimentell verifizierbar. Ihr Geltungsanspruch liegt woanders: in der internen Konsistenz und Generativität des Modells.</w:t>
      </w:r>
    </w:p>
    <w:p w14:paraId="6D79F5F4" w14:textId="77777777" w:rsidR="00DF726C" w:rsidRDefault="00DF726C" w:rsidP="00F57C02">
      <w:r>
        <w:t xml:space="preserve">Ich kann zeigen, wie innerhalb eines geschlossenen, aber anschlussfähigen Systems Bedingungen entstehen, unter denen überhaupt sinnvoll von Realität gesprochen werden kann. Das ist mehr als eine theoretische Konstruktion – es ist ein epistemischer Fortschritt gegenüber Theorien, die ihre Grundbegriffe ontologisch fixieren (James Ladyman &amp; Don Ross, </w:t>
      </w:r>
      <w:r>
        <w:rPr>
          <w:rStyle w:val="Hervorhebung"/>
        </w:rPr>
        <w:t>Every Thing Must Go: Metaphysics Naturalized</w:t>
      </w:r>
      <w:r>
        <w:t>, Oxford: Oxford University Press, 2007, Kap. 5) [11].</w:t>
      </w:r>
    </w:p>
    <w:p w14:paraId="3F5B9353" w14:textId="77777777" w:rsidR="00F57C02" w:rsidRDefault="00DF726C" w:rsidP="00F57C02">
      <w:r>
        <w:t>Im Unterschied zu statischen Systemtheorien erlaubt das FRZK, die Bedingungen von Struktur, Dynamik und Beobachtung im Vollzug funktionaler Operationen nachzuvollziehen – und genau darin liegt seine erklärende Kraft.</w:t>
      </w:r>
    </w:p>
    <w:p w14:paraId="49487548" w14:textId="7907E7FB" w:rsidR="00DF726C" w:rsidRDefault="00000000" w:rsidP="00F57C02">
      <w:pPr>
        <w:rPr>
          <w:rStyle w:val="Fett"/>
          <w:b w:val="0"/>
          <w:bCs w:val="0"/>
        </w:rPr>
      </w:pPr>
      <w:r>
        <w:pict w14:anchorId="6642611F">
          <v:rect id="_x0000_i1031" style="width:0;height:1.5pt" o:hralign="center" o:hrstd="t" o:hr="t" fillcolor="#a0a0a0" stroked="f"/>
        </w:pict>
      </w:r>
    </w:p>
    <w:p w14:paraId="00AD9863" w14:textId="77777777" w:rsidR="00E340C5" w:rsidRPr="001B0BD3" w:rsidRDefault="00E340C5" w:rsidP="001B0BD3">
      <w:pPr>
        <w:pStyle w:val="berschrift2"/>
      </w:pPr>
      <w:r w:rsidRPr="001B0BD3">
        <w:t>4.2 Hierarchische und emergente Struktur von Gleichungstypen</w:t>
      </w:r>
    </w:p>
    <w:p w14:paraId="1EBBAFC3" w14:textId="77777777" w:rsidR="00E340C5" w:rsidRDefault="00E340C5" w:rsidP="00F57C02">
      <w:r>
        <w:t>Ich gehe im Rahmen des FRZK davon aus, dass sich zentrale Strukturelemente wie Raum, Dynamik, Handlung oder Reflexion nicht unabhängig voneinander formulieren lassen. Vielmehr folgt aus der Architektur des Modells die strukturelle Notwendigkeit, diese Elemente als funktional geschichtete Gleichungstypen zu modellieren. Jeder dieser Typen erzeugt systemisch die Voraussetzung für die nächste Ebene – vergleichbar mit einer rekursiv generierten mathematischen Ontologie, in der Differenzierungs- und Reflexionsgrade nicht additiv, sondern emergent entstehen.</w:t>
      </w:r>
    </w:p>
    <w:p w14:paraId="3D6BFD83" w14:textId="4ECB0B50" w:rsidR="00F57C02" w:rsidRDefault="00E340C5" w:rsidP="00E340C5">
      <w:r>
        <w:t>Was ich hier vorschlage, ist keine Formelsammlung, sondern eine strukturierte Operatorlogik, die beschreibt, wie sich komplexe Systeme aus einfachen Anfangsbedingungen heraus stabil aufbauen können – eine Struktur, die nicht nur symbolisch ist, sondern funktional generativ.</w:t>
      </w:r>
    </w:p>
    <w:p w14:paraId="5E7DD0F4" w14:textId="688554F2" w:rsidR="00A42634" w:rsidRPr="00A42634" w:rsidRDefault="00A42634" w:rsidP="00E340C5">
      <w:r w:rsidRPr="00A42634">
        <w:t>Eine vollständige Darstellung der Ableitungsstruktur der funktionalen Gleichungstypen findet sich in Anlage 4.C.</w:t>
      </w:r>
    </w:p>
    <w:p w14:paraId="747548E6" w14:textId="372FBCD5" w:rsidR="00E340C5" w:rsidRDefault="00000000" w:rsidP="00E340C5">
      <w:r>
        <w:pict w14:anchorId="4B333B4F">
          <v:rect id="_x0000_i1032" style="width:0;height:1.5pt" o:hralign="center" o:hrstd="t" o:hr="t" fillcolor="#a0a0a0" stroked="f"/>
        </w:pict>
      </w:r>
    </w:p>
    <w:p w14:paraId="527A971A" w14:textId="77777777" w:rsidR="00E340C5" w:rsidRDefault="00E340C5" w:rsidP="00E340C5">
      <w:pPr>
        <w:pStyle w:val="berschrift3"/>
      </w:pPr>
      <w:r>
        <w:t>4.2.1 Gleichungstypen als funktionale Ebenen</w:t>
      </w:r>
    </w:p>
    <w:p w14:paraId="4403A620" w14:textId="77777777" w:rsidR="00E340C5" w:rsidRDefault="00E340C5" w:rsidP="00F57C02">
      <w:r>
        <w:t>Im FRZK beschreibe ich Gleichungstypen nicht als Ausdruck gegebener Verhältnisse, sondern als aktive Funktionszuweisungen, die Realität erzeugen. Diese Gleichungen sind Operatoren auf Operatoren – sie kodieren systemische Übergänge, nicht Zustände. Die Reihenfolge ist dabei zentral: Initialpunkt, Raumfunktion, Brane-Funktion, Metrik, Dynamik, Akteur-Funktion und Meta-Funktion sind strukturell gestuft – jede neue Funktion ergibt sich aus der strukturellen Freiheitsgrad-Expansion der vorangegangenen.</w:t>
      </w:r>
    </w:p>
    <w:p w14:paraId="7ED5A098" w14:textId="77777777" w:rsidR="00F57C02" w:rsidRDefault="00E340C5" w:rsidP="00E340C5">
      <w:r>
        <w:t xml:space="preserve">Diese Logik erinnert an kategoriale Typentheorien, bei denen morphismische Strukturen höherer Ordnung emergieren – wie sie Robert Goldblatt in </w:t>
      </w:r>
      <w:r>
        <w:rPr>
          <w:rStyle w:val="Hervorhebung"/>
        </w:rPr>
        <w:t>Topoi: The Categorial Analysis of Logic</w:t>
      </w:r>
      <w:r>
        <w:t xml:space="preserve"> (Dover, 2006, Kap. 2) [12] entfaltet. Auch Jon Barwise und Lawrence Moss zeigen in </w:t>
      </w:r>
      <w:r>
        <w:rPr>
          <w:rStyle w:val="Hervorhebung"/>
        </w:rPr>
        <w:t>Vicious Circles: On the Mathematics of Non-Wellfounded Phenomena</w:t>
      </w:r>
      <w:r>
        <w:t xml:space="preserve"> (Stanford: CSLI, 1996, S. 10–25) [13], dass Operatoren nicht nur beschreiben, sondern Bedingungen der Referenz schaffen.</w:t>
      </w:r>
    </w:p>
    <w:p w14:paraId="7E7CEFE9" w14:textId="72E96507" w:rsidR="00E340C5" w:rsidRDefault="00000000" w:rsidP="00E340C5">
      <w:r>
        <w:pict w14:anchorId="07771773">
          <v:rect id="_x0000_i1033" style="width:0;height:1.5pt" o:hralign="center" o:hrstd="t" o:hr="t" fillcolor="#a0a0a0" stroked="f"/>
        </w:pict>
      </w:r>
    </w:p>
    <w:p w14:paraId="1A0CC711" w14:textId="77777777" w:rsidR="00E340C5" w:rsidRDefault="00E340C5" w:rsidP="00E340C5">
      <w:pPr>
        <w:pStyle w:val="berschrift3"/>
      </w:pPr>
      <w:r>
        <w:t>4.2.2 Iterative Ableitbarkeit und funktionale Emergenz</w:t>
      </w:r>
    </w:p>
    <w:p w14:paraId="773D8FBE" w14:textId="77777777" w:rsidR="00E340C5" w:rsidRDefault="00E340C5" w:rsidP="00966E8C">
      <w:r>
        <w:t>Der Übergang zwischen diesen Ebenen erfolgt nicht sprunghaft, sondern iterativ. Ich beginne mit einem strukturlosen Zustand (</w:t>
      </w:r>
      <w:r>
        <w:rPr>
          <w:rFonts w:ascii="Cambria Math" w:hAnsi="Cambria Math" w:cs="Cambria Math"/>
        </w:rPr>
        <w:t>∅</w:t>
      </w:r>
      <w:r>
        <w:t>), aus dem durch die erste funktionale Unterscheidung ein Initialpunkt I hervorgeht. Daraus lässt sich eine Raumfunktion als relationale Koordinierungsstruktur definieren. Die folgende Brane-Funktion beschreibt interne Felddifferenzierungen – vergleichbar mit topologischen Mannigfaltigkeiten in der theoretischen Physik (Witten, 1996) [9].</w:t>
      </w:r>
    </w:p>
    <w:p w14:paraId="0FC0718D" w14:textId="77777777" w:rsidR="00E340C5" w:rsidRDefault="00E340C5" w:rsidP="00966E8C">
      <w:r>
        <w:t>Die darauf aufbauende Metrik operationalisiert strukturelle Konzepte wie Entfernung, Richtung oder Krümmung. Erst diese Kombination erlaubt es mir, funktionale Dynamiken – also Wechselwirkungen, Bewegungen oder Transformationen – zu modellieren. Handlungsfunktionen setzen dann die Differenz von Akteur und Umwelt voraus, während die Meta-Funktion eine Reflexionsstruktur einführt, in der das System auf sich selbst Bezug nehmen kann.</w:t>
      </w:r>
    </w:p>
    <w:p w14:paraId="7444632F" w14:textId="77777777" w:rsidR="00F57C02" w:rsidRDefault="00E340C5" w:rsidP="00966E8C">
      <w:r>
        <w:t>Diese Ableitung entspricht einem emergenten Funktionsgefüge, wie es auch in Fixpunktverfahren nichtlinearer Gleichungssysteme auftritt (</w:t>
      </w:r>
      <w:r>
        <w:rPr>
          <w:rStyle w:val="Hervorhebung"/>
        </w:rPr>
        <w:t>Ortega, J. M. / Rheinboldt, W. C., Iterative Solution of Nonlinear Equations in Several Variables</w:t>
      </w:r>
      <w:r>
        <w:t>, SIAM, 2000, Kap. I, S. 9–34) [14].</w:t>
      </w:r>
    </w:p>
    <w:p w14:paraId="3AA37664" w14:textId="647EEC84" w:rsidR="00E340C5" w:rsidRDefault="00000000" w:rsidP="00966E8C">
      <w:r>
        <w:pict w14:anchorId="7ECB50C5">
          <v:rect id="_x0000_i1034" style="width:0;height:1.5pt" o:hralign="center" o:hrstd="t" o:hr="t" fillcolor="#a0a0a0" stroked="f"/>
        </w:pict>
      </w:r>
    </w:p>
    <w:p w14:paraId="2C01BAEA" w14:textId="77777777" w:rsidR="00E340C5" w:rsidRDefault="00E340C5" w:rsidP="00E340C5">
      <w:pPr>
        <w:pStyle w:val="berschrift3"/>
      </w:pPr>
      <w:r>
        <w:t>4.2.3 Formale Kohärenz und interne Beweisbarkeit</w:t>
      </w:r>
    </w:p>
    <w:p w14:paraId="596C5BA7" w14:textId="77777777" w:rsidR="00E340C5" w:rsidRPr="00A42634" w:rsidRDefault="00E340C5" w:rsidP="00A42634">
      <w:r w:rsidRPr="00A42634">
        <w:t xml:space="preserve">Die Validität dieses Schichtmodells basiert nicht auf Empirie, sondern auf formaler Selbstkohärenz. Jeder Übergang lässt sich im Modell als definierter Operator formulieren – als Abbildung von Funktionen auf Funktionen. Die Geltung ergibt sich nicht durch Messung, sondern durch interne Beweisbarkeit. Ein vergleichbares Prinzip bildet die Grundlage der konstruktiven Logik, wie sie in </w:t>
      </w:r>
      <w:r w:rsidRPr="00A42634">
        <w:rPr>
          <w:rStyle w:val="Hervorhebung"/>
          <w:i w:val="0"/>
          <w:iCs w:val="0"/>
        </w:rPr>
        <w:t>Constructivism in Mathematics</w:t>
      </w:r>
      <w:r w:rsidRPr="00A42634">
        <w:t xml:space="preserve"> von A. S. Troelstra und D. van Dalen (North-Holland, 1988, S. 10–50) [15] entfaltet wird.</w:t>
      </w:r>
    </w:p>
    <w:p w14:paraId="333C8AB1" w14:textId="529B59FD" w:rsidR="00E340C5" w:rsidRDefault="00E340C5" w:rsidP="00A42634">
      <w:r w:rsidRPr="00A42634">
        <w:t>Ich nutze also strukturinterne Kriterien der Gültigkeit: Konsistenz, generative Schlüssigkeit und funktionale Rekonstruierbarkeit.</w:t>
      </w:r>
      <w:r w:rsidR="00000000">
        <w:pict w14:anchorId="58E68608">
          <v:rect id="_x0000_i1035" style="width:0;height:1.5pt" o:hralign="center" o:hrstd="t" o:hr="t" fillcolor="#a0a0a0" stroked="f"/>
        </w:pict>
      </w:r>
    </w:p>
    <w:p w14:paraId="34A16A04" w14:textId="77777777" w:rsidR="00E340C5" w:rsidRDefault="00E340C5" w:rsidP="00E340C5">
      <w:pPr>
        <w:pStyle w:val="berschrift3"/>
      </w:pPr>
      <w:r>
        <w:t>4.2.4 Rekursive Strukturlogik und Reflexion</w:t>
      </w:r>
    </w:p>
    <w:p w14:paraId="2F6CDA65" w14:textId="77777777" w:rsidR="00E340C5" w:rsidRDefault="00E340C5" w:rsidP="00966E8C">
      <w:r>
        <w:t>Mit der Einführung der Akteur-Funktion und insbesondere der Meta-Funktion wird das System reflexiv anschlussfähig. Es kann nun nicht nur mit sich selbst, sondern über sich selbst operieren. Die Meta-Funktion ist ein Operator zweiter Ordnung: Sie nimmt nicht nur Input, sondern bewertet Beobachtungs- und Zuweisungsprozesse selbst. Damit erreicht das Modell eine Qualität, die in selbstreferenziellen Systemen wie Luhmanns „Beobachtung zweiter Ordnung“ eine zentrale Rolle spielt (</w:t>
      </w:r>
      <w:r>
        <w:rPr>
          <w:rStyle w:val="Hervorhebung"/>
        </w:rPr>
        <w:t>Luhmann, Die Wissenschaft der Gesellschaft</w:t>
      </w:r>
      <w:r>
        <w:t>, Frankfurt am Main: Suhrkamp, 1990, S. 45–60) [18].</w:t>
      </w:r>
    </w:p>
    <w:p w14:paraId="7E031E58" w14:textId="77777777" w:rsidR="00E340C5" w:rsidRDefault="00E340C5" w:rsidP="00966E8C">
      <w:r>
        <w:t xml:space="preserve">Diese rekursive Struktur ist nicht Selbstbezüglichkeit im trivialen Sinn, sondern eine systemische Form der Reflexion – vergleichbar mit dem „strange loop“, wie ihn Douglas R. Hofstadter in </w:t>
      </w:r>
      <w:r>
        <w:rPr>
          <w:rStyle w:val="Hervorhebung"/>
        </w:rPr>
        <w:t>Gödel, Escher, Bach: An Eternal Golden Braid</w:t>
      </w:r>
      <w:r>
        <w:t xml:space="preserve"> (Basic Books, 1979, Kap. XI) [19] beschreibt.</w:t>
      </w:r>
    </w:p>
    <w:p w14:paraId="58B00503" w14:textId="77777777" w:rsidR="00E340C5" w:rsidRDefault="00000000" w:rsidP="00966E8C">
      <w:r>
        <w:pict w14:anchorId="1EB0D379">
          <v:rect id="_x0000_i1036" style="width:0;height:1.5pt" o:hralign="center" o:hrstd="t" o:hr="t" fillcolor="#a0a0a0" stroked="f"/>
        </w:pict>
      </w:r>
    </w:p>
    <w:p w14:paraId="73BD256B" w14:textId="77777777" w:rsidR="00E340C5" w:rsidRDefault="00E340C5" w:rsidP="00E340C5">
      <w:pPr>
        <w:pStyle w:val="berschrift3"/>
      </w:pPr>
      <w:r>
        <w:t>4.2.5 Vergleich zu etablierten Systemtheorien</w:t>
      </w:r>
    </w:p>
    <w:p w14:paraId="3A517833" w14:textId="77777777" w:rsidR="00E340C5" w:rsidRDefault="00E340C5" w:rsidP="00A50849">
      <w:r>
        <w:t>Klassische Systemtheorien beschreiben häufig nur Input-Output-Schemata oder einfache Rückkopplungsmechanismen. Das FRZK dagegen modelliert funktionale Emergenz in geschichteter Operatorarchitektur. Es geht nicht um Steuerung oder Gleichgewicht, sondern um die systemische Entstehung von Sinn, Handlungsfähigkeit und Beobachtungslogik durch rekursive Zuweisung.</w:t>
      </w:r>
    </w:p>
    <w:p w14:paraId="627D1FF5" w14:textId="77777777" w:rsidR="00E340C5" w:rsidRDefault="00E340C5" w:rsidP="00A50849">
      <w:r>
        <w:t xml:space="preserve">Diese Perspektive hat strukturelle Ähnlichkeiten mit der situationsbasierten Semantik, wie sie in </w:t>
      </w:r>
      <w:r>
        <w:rPr>
          <w:rStyle w:val="Hervorhebung"/>
        </w:rPr>
        <w:t>Situations and Attitudes</w:t>
      </w:r>
      <w:r>
        <w:t xml:space="preserve"> von Jon Barwise und John Perry (MIT Press, 1983, S. 49–69) [16] entfaltet wird. Auch in </w:t>
      </w:r>
      <w:r>
        <w:rPr>
          <w:rStyle w:val="Hervorhebung"/>
        </w:rPr>
        <w:t>Self-Organization in Nonequilibrium Systems</w:t>
      </w:r>
      <w:r>
        <w:t xml:space="preserve"> von Gregoire Nicolis und Ilya Prigogine (Wiley, 1977, S. 26–49) [17] finden sich ähnliche Muster: Komplexe Ordnungen entstehen dort nicht aus Steuerung, sondern aus instabilen, dissipativen Dynamiken.</w:t>
      </w:r>
    </w:p>
    <w:p w14:paraId="753FD543" w14:textId="29D2B51F" w:rsidR="00E340C5" w:rsidRDefault="00E340C5" w:rsidP="00A50849">
      <w:r>
        <w:t>Das Besondere am FRZK ist: Ich mache diese Emergenz sichtbar und rekonstruierbar – nicht als Metapher, sondern als formal strukturierten Ableitungsvorgang.</w:t>
      </w:r>
    </w:p>
    <w:p w14:paraId="2740090A" w14:textId="77777777" w:rsidR="00B70960" w:rsidRPr="00F47DF6" w:rsidRDefault="00B70960" w:rsidP="00A50849">
      <w:r w:rsidRPr="00F47DF6">
        <w:t>Im FRZK betrachte ich die Systemstruktur als ein dynamisches Gefüge, in dem semantische und kulturelle Operatoren in einer funktionalen Kopplung miteinander interagieren. Diese Kopplung stellt sicher, dass Veränderungen in einem Subsystem Auswirkungen auf andere Teile des Systems haben und vice versa. Die Komplexität solcher Systeme wird durch ihre hierarchische Organisation und die Rückkopplungseffekte zwischen den verschiedenen Ebenen bestimmt, die eine kontinuierliche Transformation und Anpassung ermöglichen.</w:t>
      </w:r>
    </w:p>
    <w:p w14:paraId="5EA77AA8" w14:textId="4BAFD0F7" w:rsidR="00B70960" w:rsidRPr="00F47DF6" w:rsidRDefault="00B70960" w:rsidP="00F47DF6">
      <w:r w:rsidRPr="00F47DF6">
        <w:t>Die funktionale Kopplung beschreibt die wechselseitigen Einflüsse, die zwischen verschiedenen semantischen und kulturellen Elementen innerhalb des Systems bestehen. Dabei entstehen hierarchische Strukturen, in denen unterschiedliche Ebenen von Operatoren (z. B. semantische Zuweisungen, kulturelle Praktiken) miteinander verflochten sind und sich gegenseitig beeinflussen. Dies führt zu einer dynamischen Selbstorganisation, die die Grundlage für emergente Phänomene bildet.</w:t>
      </w:r>
    </w:p>
    <w:p w14:paraId="55C7E19E" w14:textId="2EA53BFF" w:rsidR="00B70960" w:rsidRPr="00F47DF6" w:rsidRDefault="00B70960" w:rsidP="00F47DF6">
      <w:pPr>
        <w:pStyle w:val="Abbildungsname"/>
      </w:pPr>
      <w:r w:rsidRPr="00F47DF6">
        <w:rPr>
          <w:noProof/>
        </w:rPr>
        <w:drawing>
          <wp:inline distT="0" distB="0" distL="0" distR="0" wp14:anchorId="13FB6C26" wp14:editId="2C5334AC">
            <wp:extent cx="5760720" cy="355155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5">
                      <a:extLst>
                        <a:ext uri="{28A0092B-C50C-407E-A947-70E740481C1C}">
                          <a14:useLocalDpi xmlns:a14="http://schemas.microsoft.com/office/drawing/2010/main" val="0"/>
                        </a:ext>
                      </a:extLst>
                    </a:blip>
                    <a:stretch>
                      <a:fillRect/>
                    </a:stretch>
                  </pic:blipFill>
                  <pic:spPr>
                    <a:xfrm>
                      <a:off x="0" y="0"/>
                      <a:ext cx="5760720" cy="3551555"/>
                    </a:xfrm>
                    <a:prstGeom prst="rect">
                      <a:avLst/>
                    </a:prstGeom>
                  </pic:spPr>
                </pic:pic>
              </a:graphicData>
            </a:graphic>
          </wp:inline>
        </w:drawing>
      </w:r>
    </w:p>
    <w:p w14:paraId="32F05E49" w14:textId="64B87716" w:rsidR="00B70960" w:rsidRPr="00F47DF6" w:rsidRDefault="00F47DF6" w:rsidP="00F47DF6">
      <w:pPr>
        <w:pStyle w:val="Abbildungsname"/>
      </w:pPr>
      <w:r>
        <w:t xml:space="preserve">Abb. - </w:t>
      </w:r>
      <w:r w:rsidR="00B70960" w:rsidRPr="00F47DF6">
        <w:t>Illustration der hierarchischen Struktur komplexer Systeme  (</w:t>
      </w:r>
      <w:r w:rsidRPr="00F47DF6">
        <w:t xml:space="preserve">Author  Oliver Baumann ; </w:t>
      </w:r>
      <w:r w:rsidR="00B70960" w:rsidRPr="00F47DF6">
        <w:t>https://www.researchgate.net/figure/The-hierarchical-structure-of-complex-product-systems_fig1_276896368</w:t>
      </w:r>
      <w:r w:rsidR="00A50849">
        <w:t>)</w:t>
      </w:r>
    </w:p>
    <w:p w14:paraId="5A195772" w14:textId="469F48A5" w:rsidR="00B70960" w:rsidRPr="00F47DF6" w:rsidRDefault="00B70960" w:rsidP="00B70960">
      <w:pPr>
        <w:pStyle w:val="StandardWeb"/>
      </w:pPr>
      <w:r w:rsidRPr="00F47DF6">
        <w:t>Zur Veranschaulichung dieser Systemstruktur habe ich eine</w:t>
      </w:r>
      <w:r w:rsidR="00F47DF6" w:rsidRPr="00F47DF6">
        <w:t xml:space="preserve"> passende</w:t>
      </w:r>
      <w:r w:rsidRPr="00F47DF6">
        <w:t xml:space="preserve"> Illustration der hierarchischen Struktur komplexer Systeme </w:t>
      </w:r>
      <w:r w:rsidR="00F47DF6" w:rsidRPr="00F47DF6">
        <w:t>verwendet</w:t>
      </w:r>
      <w:r w:rsidRPr="00F47DF6">
        <w:t>. Die Abbildung zeigt, wie mehrere Ebenen von Subsystemen innerhalb eines komplexen Systems miteinander verbunden sind und wie Rückkopplungseffekte die Entwicklung und das Verhalten des gesamten Systems beeinflussen. Diese Darstellung unterstützt das Verständnis der funktionalen Kopplung zwischen verschiedenen semantischen und kulturellen Operatoren, die das System in seiner Gesamtheit steuern</w:t>
      </w:r>
      <w:r w:rsidR="00F47DF6" w:rsidRPr="00F47DF6">
        <w:t xml:space="preserve"> und bietet eine wertvolle visuelle Unterstützung zur Analyse der dynamischen Kopplung und Selbstorganisation in komplexen Systemen.</w:t>
      </w:r>
    </w:p>
    <w:p w14:paraId="7D3513AB" w14:textId="77777777" w:rsidR="00966E8C" w:rsidRDefault="00000000" w:rsidP="00966E8C">
      <w:r>
        <w:pict w14:anchorId="3FFA37A2">
          <v:rect id="_x0000_i1037" style="width:0;height:1.5pt" o:hralign="center" o:hrstd="t" o:hr="t" fillcolor="#a0a0a0" stroked="f"/>
        </w:pict>
      </w:r>
    </w:p>
    <w:p w14:paraId="7059EBA2" w14:textId="77777777" w:rsidR="00AB54F3" w:rsidRDefault="00AB54F3" w:rsidP="00AB54F3">
      <w:pPr>
        <w:pStyle w:val="berschrift2"/>
        <w:rPr>
          <w:sz w:val="36"/>
          <w:szCs w:val="36"/>
        </w:rPr>
      </w:pPr>
      <w:r>
        <w:t>4.3 Rekursivität und Selbstbezüglichkeit von Beobachtung</w:t>
      </w:r>
    </w:p>
    <w:p w14:paraId="44B18DED" w14:textId="77777777" w:rsidR="00AB54F3" w:rsidRDefault="00AB54F3" w:rsidP="00A50849">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6A9EA279" w14:textId="77777777" w:rsidR="00AB54F3" w:rsidRDefault="00AB54F3" w:rsidP="00A50849">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62CBF2F1" w14:textId="77777777" w:rsidR="00AB54F3" w:rsidRDefault="00000000" w:rsidP="00AB54F3">
      <w:r>
        <w:pict w14:anchorId="73B3A4C9">
          <v:rect id="_x0000_i1038" style="width:0;height:1.5pt" o:hralign="center" o:hrstd="t" o:hr="t" fillcolor="#a0a0a0" stroked="f"/>
        </w:pict>
      </w:r>
    </w:p>
    <w:p w14:paraId="4533F279" w14:textId="77777777" w:rsidR="00AB54F3" w:rsidRDefault="00AB54F3" w:rsidP="00AB54F3">
      <w:pPr>
        <w:pStyle w:val="berschrift3"/>
      </w:pPr>
      <w:r>
        <w:t>4.3.1 Beobachtung als Systemfunktion</w:t>
      </w:r>
    </w:p>
    <w:p w14:paraId="74E9ED83" w14:textId="77777777" w:rsidR="00AB54F3" w:rsidRDefault="00AB54F3" w:rsidP="00A50849">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4D49A776" w14:textId="77777777" w:rsidR="00AB54F3" w:rsidRDefault="00AB54F3" w:rsidP="00A50849">
      <w:r>
        <w:t>Diese Auffassung findet Parallelen in der systemtheoretischen Soziologie, etwa bei Niklas Luhmann, der Beobachtung als Unterscheidung mit Bezeichnung beschreibt (</w:t>
      </w:r>
      <w:r>
        <w:rPr>
          <w:rStyle w:val="Hervorhebung"/>
        </w:rPr>
        <w:t>Niklas Luhmann, Die Wissenschaft der Gesellschaft</w:t>
      </w:r>
      <w:r>
        <w:t>, Frankfurt am Main: Suhrkamp, 1990, S. 45–60) [18]. Auch Francisco J. Varela spricht von „operative closure“, also einem geschlossenen System von Unterscheidungen, durch das sich Bedeutung im Akt der Differenzierung ergibt (</w:t>
      </w:r>
      <w:r>
        <w:rPr>
          <w:rStyle w:val="Hervorhebung"/>
        </w:rPr>
        <w:t>Francisco J. Varela, Principles of Biological Autonomy</w:t>
      </w:r>
      <w:r>
        <w:t>, Amsterdam: North Holland, 1979, Kap. 6) [5].</w:t>
      </w:r>
    </w:p>
    <w:p w14:paraId="1DAA30DD" w14:textId="77777777" w:rsidR="00AB54F3" w:rsidRDefault="00AB54F3" w:rsidP="00A50849">
      <w:r>
        <w:t>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Heinz von Foerster, Understanding Understanding: Essays on Cybernetics and Cognition</w:t>
      </w:r>
      <w:r>
        <w:t>, New York: Springer, 2003, S. 3–15) [20].</w:t>
      </w:r>
    </w:p>
    <w:p w14:paraId="25213D58" w14:textId="77777777" w:rsidR="00AB54F3" w:rsidRDefault="00000000" w:rsidP="00AB54F3">
      <w:r>
        <w:pict w14:anchorId="4DC596B6">
          <v:rect id="_x0000_i1039" style="width:0;height:1.5pt" o:hralign="center" o:hrstd="t" o:hr="t" fillcolor="#a0a0a0" stroked="f"/>
        </w:pict>
      </w:r>
    </w:p>
    <w:p w14:paraId="073B0F25" w14:textId="77777777" w:rsidR="00AB54F3" w:rsidRDefault="00AB54F3" w:rsidP="00AB54F3">
      <w:pPr>
        <w:pStyle w:val="berschrift3"/>
      </w:pPr>
      <w:r>
        <w:t>4.3.2 Rekursion und funktionale Selbstanwendung</w:t>
      </w:r>
    </w:p>
    <w:p w14:paraId="7FC0BE6D" w14:textId="77777777" w:rsidR="00AB54F3" w:rsidRDefault="00AB54F3" w:rsidP="00A50849">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20566073" w14:textId="77777777" w:rsidR="00AB54F3" w:rsidRDefault="00AB54F3" w:rsidP="00A50849">
      <w:r>
        <w:t>Diese Struktur ist vergleichbar mit Konzepten aus der theoretischen Informatik, etwa im Lambda-Kalkül, in dem Funktionen sich selbst als Argument übergeben können (</w:t>
      </w:r>
      <w:r>
        <w:rPr>
          <w:rStyle w:val="Hervorhebung"/>
        </w:rPr>
        <w:t>Alonzo Church, The Calculi of Lambda Conversion</w:t>
      </w:r>
      <w:r>
        <w:t>, Princeton: Princeton University Press, 1941, S. 10–25) [21], oder mit Gödels Selbstreferenzprinzip, das zeigt, wie Systeme Aussagen über sich selbst formulieren können (</w:t>
      </w:r>
      <w:r>
        <w:rPr>
          <w:rStyle w:val="Hervorhebung"/>
        </w:rPr>
        <w:t>Kurt Gödel, Über formal unentscheidbare Sätze der Principia Mathematica</w:t>
      </w:r>
      <w:r>
        <w:t xml:space="preserve">, in: </w:t>
      </w:r>
      <w:r>
        <w:rPr>
          <w:rStyle w:val="Hervorhebung"/>
        </w:rPr>
        <w:t>Monatshefte für Mathematik</w:t>
      </w:r>
      <w:r>
        <w:t>, 38(1), 1931, S. 173–198) [22].</w:t>
      </w:r>
    </w:p>
    <w:p w14:paraId="2CBED134" w14:textId="2F0AB368" w:rsidR="00AB54F3" w:rsidRDefault="00AB54F3" w:rsidP="00A50849">
      <w:r>
        <w:t>Solche Strukturen sind keine Spezialfälle, sondern notwendige Konsequenzen komplexer Informationsverarbeitung in geschlossenen Systemen.</w:t>
      </w:r>
    </w:p>
    <w:p w14:paraId="48916995" w14:textId="504D5634" w:rsidR="0084315F" w:rsidRPr="00F52866" w:rsidRDefault="0084315F" w:rsidP="00F52866">
      <w:pPr>
        <w:pStyle w:val="Abbildungsname"/>
      </w:pPr>
      <w:r w:rsidRPr="00F52866">
        <w:rPr>
          <w:noProof/>
        </w:rPr>
        <w:drawing>
          <wp:inline distT="0" distB="0" distL="0" distR="0" wp14:anchorId="60DF416C" wp14:editId="63E46BBC">
            <wp:extent cx="5715000" cy="4188758"/>
            <wp:effectExtent l="0" t="0" r="0" b="254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6">
                      <a:extLst>
                        <a:ext uri="{28A0092B-C50C-407E-A947-70E740481C1C}">
                          <a14:useLocalDpi xmlns:a14="http://schemas.microsoft.com/office/drawing/2010/main" val="0"/>
                        </a:ext>
                      </a:extLst>
                    </a:blip>
                    <a:stretch>
                      <a:fillRect/>
                    </a:stretch>
                  </pic:blipFill>
                  <pic:spPr>
                    <a:xfrm>
                      <a:off x="0" y="0"/>
                      <a:ext cx="5725610" cy="4196535"/>
                    </a:xfrm>
                    <a:prstGeom prst="rect">
                      <a:avLst/>
                    </a:prstGeom>
                  </pic:spPr>
                </pic:pic>
              </a:graphicData>
            </a:graphic>
          </wp:inline>
        </w:drawing>
      </w:r>
    </w:p>
    <w:p w14:paraId="41F0FB02" w14:textId="5FA074D8" w:rsidR="0084315F" w:rsidRPr="00F52866" w:rsidRDefault="0084315F" w:rsidP="00F52866">
      <w:pPr>
        <w:pStyle w:val="Abbildungsname"/>
      </w:pPr>
      <w:r w:rsidRPr="00F52866">
        <w:t xml:space="preserve">Abb. – Charakteristik komlpexer Systeme (Grafik von J. Yasha Kresh ; Quelle: </w:t>
      </w:r>
      <w:r w:rsidR="00F52866" w:rsidRPr="00F52866">
        <w:t>https://www.researchgate.net/figure/Abstract-representation-and-synthesis-of-Complex-Systems-including-their-constituent_fig1_225270803</w:t>
      </w:r>
      <w:r w:rsidRPr="00F52866">
        <w:t>)</w:t>
      </w:r>
    </w:p>
    <w:p w14:paraId="1CC138EB" w14:textId="77777777" w:rsidR="0084315F" w:rsidRPr="0084315F" w:rsidRDefault="0084315F" w:rsidP="0084315F">
      <w:pPr>
        <w:pStyle w:val="StandardWeb"/>
      </w:pPr>
      <w:r w:rsidRPr="0084315F">
        <w:t>Die Grafik visualisiert die hierarchische Struktur eines solchen Systems, wobei jede Ebene von operatorischen Prozessen durchdrungen ist, die sich gegenseitig beeinflussen und kontrollieren. Dies schafft eine dynamische Ordnung, in der sowohl die Selbstorganisation als auch die übergeordnete Kontrolle in einem ständigen Wechselspiel stehen.</w:t>
      </w:r>
    </w:p>
    <w:p w14:paraId="3BB144CC" w14:textId="77777777" w:rsidR="0084315F" w:rsidRPr="0084315F" w:rsidRDefault="0084315F" w:rsidP="0084315F">
      <w:pPr>
        <w:pStyle w:val="StandardWeb"/>
      </w:pPr>
      <w:r w:rsidRPr="0084315F">
        <w:t>Die rekursive Struktur dieser Systeme zeigt, dass die Systemelemente nicht isoliert betrachtet werden können. Stattdessen entsteht die Ordnung durch wechselseitige Beziehungen zwischen den verschiedenen Ebenen des Systems. Dies ist nicht nur ein theoretisches Konzept, sondern hat auch praktische Auswirkungen auf die Analyse von Systemen, die sich selbst regulieren, wie zum Beispiel soziale Netzwerke, biologische Systeme oder kognitive Strukturen.</w:t>
      </w:r>
    </w:p>
    <w:p w14:paraId="1AA90D25" w14:textId="77777777" w:rsidR="0084315F" w:rsidRPr="0084315F" w:rsidRDefault="0084315F" w:rsidP="0084315F">
      <w:pPr>
        <w:pStyle w:val="StandardWeb"/>
      </w:pPr>
      <w:r w:rsidRPr="0084315F">
        <w:t>In der dargestellten Grafik wird dies durch die Verwendung von verschiedenen Ebenen und Feedback-Loops veranschaulicht, die die dynamische Entwicklung von Systemen und deren Fähigkeit zur Selbstreferenz und Selbstregulation illustrieren.</w:t>
      </w:r>
    </w:p>
    <w:p w14:paraId="6554AA32" w14:textId="10C0D238" w:rsidR="0084315F" w:rsidRPr="0084315F" w:rsidRDefault="0084315F" w:rsidP="0084315F">
      <w:pPr>
        <w:pStyle w:val="StandardWeb"/>
      </w:pPr>
      <w:r w:rsidRPr="0084315F">
        <w:t>Die Abstrakte Hierarchie-Grafik bietet eine visuelle Unterstützung für das Verständnis der rekursiven Systemlogik und der Selbstorganisation in komplexen Systemen.</w:t>
      </w:r>
    </w:p>
    <w:p w14:paraId="2F6C7EED" w14:textId="77777777" w:rsidR="00AB54F3" w:rsidRDefault="00000000" w:rsidP="00AB54F3">
      <w:r>
        <w:pict w14:anchorId="3033A4B3">
          <v:rect id="_x0000_i1040" style="width:0;height:1.5pt" o:hralign="center" o:hrstd="t" o:hr="t" fillcolor="#a0a0a0" stroked="f"/>
        </w:pict>
      </w:r>
    </w:p>
    <w:p w14:paraId="704E0510" w14:textId="77777777" w:rsidR="00AB54F3" w:rsidRDefault="00AB54F3" w:rsidP="00AB54F3">
      <w:pPr>
        <w:pStyle w:val="berschrift3"/>
      </w:pPr>
      <w:r>
        <w:t>4.3.3 Beobachtung zweiter Ordnung als Modellprinzip</w:t>
      </w:r>
    </w:p>
    <w:p w14:paraId="7C253523" w14:textId="77777777" w:rsidR="00AB54F3" w:rsidRDefault="00AB54F3" w:rsidP="00A50849">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3A748982" w14:textId="77777777" w:rsidR="00AB54F3" w:rsidRDefault="00AB54F3" w:rsidP="00A50849">
      <w:r>
        <w:t>Ich schließe hier an die systemtheoretische Arbeit von Niklas Luhmann an, der diesen Übergang zur Beobachtung zweiter Ordnung als Voraussetzung für Reflexion und Theorie bezeichnet (</w:t>
      </w:r>
      <w:r>
        <w:rPr>
          <w:rStyle w:val="Hervorhebung"/>
        </w:rPr>
        <w:t>Niklas Luhmann, Soziale Systeme</w:t>
      </w:r>
      <w:r>
        <w:t>, Frankfurt am Main: Suhrkamp, 1984, Kap. 1) [23].</w:t>
      </w:r>
    </w:p>
    <w:p w14:paraId="23CC1B91" w14:textId="5223B97F" w:rsidR="00AB54F3" w:rsidRDefault="00AB54F3" w:rsidP="00A50849">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684A4D42" w14:textId="77777777" w:rsidR="00AB54F3" w:rsidRDefault="00000000" w:rsidP="00AB54F3">
      <w:r>
        <w:pict w14:anchorId="48424609">
          <v:rect id="_x0000_i1041" style="width:0;height:1.5pt" o:hralign="center" o:hrstd="t" o:hr="t" fillcolor="#a0a0a0" stroked="f"/>
        </w:pict>
      </w:r>
    </w:p>
    <w:p w14:paraId="0582D70A" w14:textId="77777777" w:rsidR="00AB54F3" w:rsidRDefault="00AB54F3" w:rsidP="00AB54F3">
      <w:pPr>
        <w:pStyle w:val="berschrift3"/>
      </w:pPr>
      <w:r>
        <w:t>4.3.4 Beobachtereffekte und strukturabhängige Erkenntnis</w:t>
      </w:r>
    </w:p>
    <w:p w14:paraId="078049FE" w14:textId="77777777" w:rsidR="00AB54F3" w:rsidRDefault="00AB54F3" w:rsidP="00A50849">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5FA340F4" w14:textId="77777777" w:rsidR="00AB54F3" w:rsidRDefault="00AB54F3" w:rsidP="00A50849">
      <w:r>
        <w:t>Niels Bohr sprach in diesem Zusammenhang von Komplementarität – der Notwendigkeit, dass Beschreibungskategorien vom Beobachtungssetup abhängig sind (</w:t>
      </w:r>
      <w:r>
        <w:rPr>
          <w:rStyle w:val="Hervorhebung"/>
        </w:rPr>
        <w:t>Niels Bohr, The Philosophical Writings of Niels Bohr</w:t>
      </w:r>
      <w:r>
        <w:t>, Vol. I, Oxford: Oxford University Press, 1934, Kap. 1) [24].</w:t>
      </w:r>
    </w:p>
    <w:p w14:paraId="14FFCCE0" w14:textId="77777777" w:rsidR="00AB54F3" w:rsidRDefault="00AB54F3" w:rsidP="00A50849">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346366FF" w14:textId="77777777" w:rsidR="00AB54F3" w:rsidRDefault="00000000" w:rsidP="00AB54F3">
      <w:r>
        <w:pict w14:anchorId="3185AD66">
          <v:rect id="_x0000_i1042" style="width:0;height:1.5pt" o:hralign="center" o:hrstd="t" o:hr="t" fillcolor="#a0a0a0" stroked="f"/>
        </w:pict>
      </w:r>
    </w:p>
    <w:p w14:paraId="64731243" w14:textId="77777777" w:rsidR="00AB54F3" w:rsidRDefault="00AB54F3" w:rsidP="00AB54F3">
      <w:pPr>
        <w:pStyle w:val="berschrift3"/>
      </w:pPr>
      <w:r>
        <w:t>4.3.5 Beobachtung als dynamische Steuergröße</w:t>
      </w:r>
    </w:p>
    <w:p w14:paraId="2D907513" w14:textId="77777777" w:rsidR="00AB54F3" w:rsidRDefault="00AB54F3" w:rsidP="00AB54F3">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19E8207D" w14:textId="77777777" w:rsidR="00AB54F3" w:rsidRDefault="00AB54F3" w:rsidP="00AB54F3">
      <w:pPr>
        <w:pStyle w:val="StandardWeb"/>
      </w:pPr>
      <w:r>
        <w:t>Diese Perspektive knüpft an Überlegungen aus der Kybernetik zweiter Ordnung an, wo Beobachtung nicht nur ein Mittel zur Beschreibung, sondern ein elementarer Teil systemischer Selbststeuerung ist (</w:t>
      </w:r>
      <w:r>
        <w:rPr>
          <w:rStyle w:val="Hervorhebung"/>
        </w:rPr>
        <w:t>Foerster, 2003</w:t>
      </w:r>
      <w:r>
        <w:t>) [20].</w:t>
      </w:r>
    </w:p>
    <w:p w14:paraId="29B7654B" w14:textId="77777777" w:rsidR="00A42634" w:rsidRDefault="00AB54F3" w:rsidP="00FD1390">
      <w:pPr>
        <w:pStyle w:val="StandardWeb"/>
      </w:pPr>
      <w:r>
        <w:t>Rekursivität, Differenzsensibilität und Selbstmodifikation machen Beobachtung zu einem adaptiven Motor, durch den das Modell nicht nur erkennt, sondern auch lernt, sich selbst zu verändern.</w:t>
      </w:r>
    </w:p>
    <w:p w14:paraId="4818D80C" w14:textId="3E29E507" w:rsidR="00A42634" w:rsidRPr="003120C5" w:rsidRDefault="00A42634" w:rsidP="003120C5">
      <w:pPr>
        <w:pStyle w:val="berschrift3"/>
      </w:pPr>
      <w:r w:rsidRPr="003120C5">
        <w:rPr>
          <w:rStyle w:val="Fett"/>
          <w:b/>
          <w:bCs w:val="0"/>
        </w:rPr>
        <w:t>4.3.6 Rekursion, Emergenz – Hierarchisch organisierte komplexe Systeme mit dynamischen Relationen</w:t>
      </w:r>
    </w:p>
    <w:p w14:paraId="7C25229E" w14:textId="77777777" w:rsidR="00A42634" w:rsidRPr="003120C5" w:rsidRDefault="00A42634" w:rsidP="00A42634">
      <w:pPr>
        <w:pStyle w:val="StandardWeb"/>
      </w:pPr>
      <w:r w:rsidRPr="003120C5">
        <w:t>In diesem Abschnitt des FRZK vertrete ich die Sichtweise, dass komplexe Systeme nicht nur durch einzelne, isolierte Elemente beschrieben werden können, sondern dass ihre Struktur und Dynamik das Ergebnis von rekursiven und emergenten Prozessen sind. Diese Prozesse entstehen durch dynamische Relationen zwischen den Systemelementen, die sich nicht linear, sondern in mehrfachen hierarchischen Ebenen organisieren. Jede Ebene innerhalb eines solchen Systems ist nicht nur von der vorhergehenden abhängig, sondern bringt durch ihre eigene Selbstorganisation neue Strukturen hervor.</w:t>
      </w:r>
    </w:p>
    <w:p w14:paraId="37ADF492" w14:textId="77777777" w:rsidR="00A42634" w:rsidRPr="003120C5" w:rsidRDefault="00A42634" w:rsidP="00A42634">
      <w:pPr>
        <w:pStyle w:val="StandardWeb"/>
      </w:pPr>
      <w:r w:rsidRPr="003120C5">
        <w:t>Die Rekursion beschreibt in diesem Kontext den Prozess, bei dem eine Systemebene auf die vorhergehende zurückgreift und diese weiter verändert. Diese Selbstbezüglichkeit von Systemen – etwa bei der Beobachtung, die sich auf sich selbst bezieht – zeigt, dass hierarchische Systeme nicht nur in ihrer Struktur, sondern auch in ihrer Funktion auf dynamische Wechselwirkungen angewiesen sind.</w:t>
      </w:r>
    </w:p>
    <w:p w14:paraId="0470A342" w14:textId="056B9BE4" w:rsidR="00A50849" w:rsidRDefault="00A42634" w:rsidP="00A50849">
      <w:pPr>
        <w:pStyle w:val="StandardWeb"/>
      </w:pPr>
      <w:r w:rsidRPr="003120C5">
        <w:t>Die Emergenz im FRZK bezieht sich auf die aufsteigende Entstehung von neuen, komplexeren Strukturen, die nicht vorhersehbar sind, wenn man nur die einzelnen Bestandteile betrachtet. Die Wechselwirkungen der Systemkomponenten führen zu neuen Funktionen und Dynamiken, die sich erst aus der Gesamtstruktur heraus manifestieren.</w:t>
      </w:r>
    </w:p>
    <w:p w14:paraId="598FEA02" w14:textId="19DBD005" w:rsidR="003120C5" w:rsidRPr="00EC181D" w:rsidRDefault="003120C5" w:rsidP="00EC181D">
      <w:pPr>
        <w:pStyle w:val="berschrift3"/>
      </w:pPr>
      <w:r w:rsidRPr="00EC181D">
        <w:rPr>
          <w:rStyle w:val="Fett"/>
          <w:b/>
          <w:bCs w:val="0"/>
        </w:rPr>
        <w:t>4.3.7 Rekursive Beobachtungsstrukturen und ihre Modellposition im FRZK</w:t>
      </w:r>
    </w:p>
    <w:p w14:paraId="01113B01" w14:textId="77777777" w:rsidR="003120C5" w:rsidRPr="00EC181D" w:rsidRDefault="003120C5" w:rsidP="00EC181D">
      <w:r w:rsidRPr="00EC181D">
        <w:t>Im Kontext des Funktionalen Raum-Zeit-Kohärenzsystems (FRZK) wird Beobachtung nicht als isolierter oder passiver Akt verstanden, sondern als funktionale Operation, die die Realität konstruiert. Dies bedeutet, dass Beobachtung nicht nur die äußere Welt widerspiegelt, sondern aktiv die Struktur und Dynamik der Welt beeinflusst. Das FRZK arbeitet mit einer rekursiven Beobachtungslogik, die es ermöglicht, Beobachtungen auf unterschiedlichen Ebenen durchzuführen, von der einfachen Wahrnehmung bis hin zur reflexiven Selbstbeobachtung.</w:t>
      </w:r>
    </w:p>
    <w:p w14:paraId="0D113489" w14:textId="77777777" w:rsidR="003120C5" w:rsidRPr="00EC181D" w:rsidRDefault="003120C5" w:rsidP="00EC181D">
      <w:r w:rsidRPr="00EC181D">
        <w:t>Die Beobachtungsstufen im FRZK sind differenziert und stellen ein hierarchisches System von Operatoren dar, die es ermöglichen, die Welt auf mehreren Ebenen zu reflektieren. Diese Differenzierung ist nicht nur funktional, sondern auch erkenntnistheoretisch bedeutend, da sie verschiedene Perspektiven und Komplexitätsgrade der Beobachtung abbildet.</w:t>
      </w:r>
    </w:p>
    <w:p w14:paraId="681934D3" w14:textId="77777777" w:rsidR="003120C5" w:rsidRPr="00EC181D" w:rsidRDefault="003120C5" w:rsidP="00EC181D">
      <w:pPr>
        <w:pStyle w:val="Aufzhlung"/>
      </w:pPr>
      <w:r w:rsidRPr="00EC181D">
        <w:t>Beobachtung erster Ordnung (Obs₁): Dies ist die Grundlage der modellen Konstruktion und dient als Referenzstruktur, durch die das System erste Zuweisungen und Unterscheidungen vornimmt. Diese erste Beobachtungsstufe bildet das Fundament für die anschließende Koordination und Systematisierung von Beobachtungen.</w:t>
      </w:r>
    </w:p>
    <w:p w14:paraId="2A0C6BD1" w14:textId="77777777" w:rsidR="003120C5" w:rsidRPr="00EC181D" w:rsidRDefault="003120C5" w:rsidP="00EC181D">
      <w:pPr>
        <w:pStyle w:val="Aufzhlung"/>
      </w:pPr>
      <w:r w:rsidRPr="00EC181D">
        <w:t>Beobachtung zweiter Ordnung (Obs₂): Auf dieser Ebene wird nicht nur das Objekt beobachtet, sondern auch der Beobachter selbst und dessen Perspektive. Diese Reflexion ermöglicht eine differenzierte Wahrnehmung und Kontextualisierung, die für die systemische Kognition und die Kybernetik zweiter Ordnung von entscheidender Bedeutung ist.</w:t>
      </w:r>
    </w:p>
    <w:p w14:paraId="3990F4F6" w14:textId="77777777" w:rsidR="003120C5" w:rsidRPr="00EC181D" w:rsidRDefault="003120C5" w:rsidP="00EC181D">
      <w:pPr>
        <w:pStyle w:val="Aufzhlung"/>
      </w:pPr>
      <w:r w:rsidRPr="00EC181D">
        <w:t>Meta-Beobachtung (Meta(Obs)): Diese Stufe geht noch einen Schritt weiter und ermöglicht eine rekursive Reflexion über die Beobachtungsprozesse selbst. Meta-Beobachtungen erlauben eine tiefere Semantik der Beobachtung, indem sie Diskursanalyse und Umcodierung ermöglichen. Sie bilden die Grundlage für die semantische Verschiebung und die Entwicklung von neuen Bedeutungen innerhalb des Modells.</w:t>
      </w:r>
    </w:p>
    <w:p w14:paraId="09125883" w14:textId="77777777" w:rsidR="003120C5" w:rsidRPr="00EC181D" w:rsidRDefault="003120C5" w:rsidP="00EC181D">
      <w:pPr>
        <w:pStyle w:val="Aufzhlung"/>
      </w:pPr>
      <w:r w:rsidRPr="00EC181D">
        <w:t>n-stufige Beobachtung (Obsⁿ): Diese Stufe beschreibt die iterierte Anwendung von Beobachtungsoperatoren und ist notwendig, um die Komplexität und Adaptivität von Systemen abzubilden, die auf mehreren Ebenen gleichzeitig agieren und sich weiterentwickeln. Sie spielt eine zentrale Rolle in der kognitiven Schleifenbildung (wie Reframing und Metakognition), die für adaptive Systeme wichtig ist.</w:t>
      </w:r>
    </w:p>
    <w:p w14:paraId="1FDA5695" w14:textId="77777777" w:rsidR="003120C5" w:rsidRPr="00EC181D" w:rsidRDefault="003120C5" w:rsidP="00EC181D">
      <w:r w:rsidRPr="00EC181D">
        <w:t>Diese Typologie der Beobachtungsoperatoren dient nicht nur der präzisen funktionalen Differenzierung von Beobachtungsstufen im FRZK, sondern auch der Verknüpfung des Modells mit erkenntnistheoretischen und systemischen Forschungstraditionen. Die verschiedenen Stufen der Beobachtung sind als rekursive Strukturen miteinander verbunden und ermöglichen die modellinterne Reflexivität und die Anpassungsfähigkeit des Systems.</w:t>
      </w:r>
    </w:p>
    <w:p w14:paraId="1638666D" w14:textId="29A6015F" w:rsidR="003120C5" w:rsidRDefault="003120C5" w:rsidP="00EC181D">
      <w:r w:rsidRPr="00EC181D">
        <w:t>Eine detaillierte Übersicht der verschiedenen Beobachtungsoperatoren ist in Anlage 4.D zu finden und liefert die Grundlage für die funktionale, systemische und erkenntnistheoretische Einordnung der Beobachtungsprozesse innerhalb des Modells. Sie kann als Referenz genutzt werden, um die dynamische Struktur der Beobachtung und ihre Wechselwirkungen zu verstehen.</w:t>
      </w:r>
    </w:p>
    <w:p w14:paraId="11323921" w14:textId="279C13FC" w:rsidR="00AB54F3" w:rsidRDefault="00000000" w:rsidP="00FD1390">
      <w:pPr>
        <w:pStyle w:val="StandardWeb"/>
      </w:pPr>
      <w:r>
        <w:pict w14:anchorId="04FCC8C8">
          <v:rect id="_x0000_i1043" style="width:0;height:1.5pt" o:hralign="center" o:hrstd="t" o:hr="t" fillcolor="#a0a0a0" stroked="f"/>
        </w:pict>
      </w:r>
    </w:p>
    <w:p w14:paraId="118EDFB7" w14:textId="77777777" w:rsidR="00F3084A" w:rsidRDefault="00F3084A" w:rsidP="00F3084A">
      <w:pPr>
        <w:pStyle w:val="berschrift2"/>
        <w:rPr>
          <w:sz w:val="36"/>
          <w:szCs w:val="36"/>
        </w:rPr>
      </w:pPr>
      <w:r>
        <w:t>4.4 Funktionale Abhängigkeit von Kausalität und Energie</w:t>
      </w:r>
    </w:p>
    <w:p w14:paraId="312937A4" w14:textId="77777777" w:rsidR="00F3084A" w:rsidRDefault="00F3084A" w:rsidP="00F3084A">
      <w:pPr>
        <w:pStyle w:val="StandardWeb"/>
      </w:pPr>
      <w:r>
        <w:t>Ich formuliere im Rahmen des FRZK die strukturelle Prognose, dass Begriffe wie Kausalität und Energie nicht als vorausgesetzte ontologische Konstanten verstanden werden müssen. Vielmehr treten sie im funktionalen Bezugssystem als emergente Effekte auf – erzeugt durch dynamische Feldstruktur und operatorische Zuweisungen. Kausalität entsteht hier nicht als lineare Ursache-Wirkung-Kette, sondern als interpretierbare Feldveränderung. Und Energie ist kein Stoffbegriff, sondern eine Rate struktureller Transformation im Zeitverlauf.</w:t>
      </w:r>
    </w:p>
    <w:p w14:paraId="15484A7C" w14:textId="77777777" w:rsidR="00F3084A" w:rsidRDefault="00F3084A" w:rsidP="00F3084A">
      <w:pPr>
        <w:pStyle w:val="StandardWeb"/>
      </w:pPr>
      <w:r>
        <w:t>Das bedeutet: Was klassisch als „gegeben“ gilt, ist im FRZK rekonstruktiv modellierbar – feldabhängig, kontextgebunden und funktional präzisierbar.</w:t>
      </w:r>
    </w:p>
    <w:p w14:paraId="115E4636" w14:textId="77777777" w:rsidR="00F3084A" w:rsidRDefault="00000000" w:rsidP="00F3084A">
      <w:r>
        <w:pict w14:anchorId="35DF2B3A">
          <v:rect id="_x0000_i1044" style="width:0;height:1.5pt" o:hralign="center" o:hrstd="t" o:hr="t" fillcolor="#a0a0a0" stroked="f"/>
        </w:pict>
      </w:r>
    </w:p>
    <w:p w14:paraId="68B84890" w14:textId="77777777" w:rsidR="00F3084A" w:rsidRDefault="00F3084A" w:rsidP="00F3084A">
      <w:pPr>
        <w:pStyle w:val="berschrift3"/>
      </w:pPr>
      <w:r>
        <w:t>4.4.1 Kausalität als strukturabhängige Funktion</w:t>
      </w:r>
    </w:p>
    <w:p w14:paraId="00C4B4B0" w14:textId="77777777" w:rsidR="00F3084A" w:rsidRDefault="00F3084A" w:rsidP="00F3084A">
      <w:pPr>
        <w:pStyle w:val="StandardWeb"/>
      </w:pPr>
      <w:r>
        <w:t xml:space="preserve">Im funktionalen Rahmen verstehe ich Kausalität als Differenzstruktur zwischen Feldwerten über Zeitfolgen. Sie ist nicht extern gesetzt, sondern ergibt sich aus metrischen Verschiebungen innerhalb einer dynamischen Raum-Zeit-Konfiguration. Ähnlich wie in der Allgemeinen Relativitätstheorie, in der Lichtkegel die kausalen Grenzen von Ereignissen festlegen, entsteht Kausalität auch im FRZK aus geometrischen und feldtheoretischen Operatorverhältnissen (Steven Weinberg, </w:t>
      </w:r>
      <w:r>
        <w:rPr>
          <w:rStyle w:val="Hervorhebung"/>
        </w:rPr>
        <w:t>The Quantum Theory of Fields</w:t>
      </w:r>
      <w:r>
        <w:t>, Vol. 1, Cambridge: Cambridge University Press, 1995, Kap. 3) [25].</w:t>
      </w:r>
    </w:p>
    <w:p w14:paraId="1554832E" w14:textId="77777777" w:rsidR="00F3084A" w:rsidRDefault="00F3084A" w:rsidP="00F3084A">
      <w:pPr>
        <w:pStyle w:val="StandardWeb"/>
      </w:pPr>
      <w:r>
        <w:t>Damit ist Kausalität nicht vorausgesetzt, sondern konstruiert – durch funktionale Interpretation topologischer Zustandsveränderung.</w:t>
      </w:r>
    </w:p>
    <w:p w14:paraId="66393AE0" w14:textId="77777777" w:rsidR="00F3084A" w:rsidRDefault="00000000" w:rsidP="00F3084A">
      <w:r>
        <w:pict w14:anchorId="4D8A312D">
          <v:rect id="_x0000_i1045" style="width:0;height:1.5pt" o:hralign="center" o:hrstd="t" o:hr="t" fillcolor="#a0a0a0" stroked="f"/>
        </w:pict>
      </w:r>
    </w:p>
    <w:p w14:paraId="3C948D70" w14:textId="77777777" w:rsidR="00F3084A" w:rsidRDefault="00F3084A" w:rsidP="00F3084A">
      <w:pPr>
        <w:pStyle w:val="berschrift3"/>
      </w:pPr>
      <w:r>
        <w:t>4.4.2 Dynamik als Resultat metrischer und topologischer Operatoren</w:t>
      </w:r>
    </w:p>
    <w:p w14:paraId="2A02CC9E" w14:textId="77777777" w:rsidR="00F3084A" w:rsidRDefault="00F3084A" w:rsidP="00F3084A">
      <w:pPr>
        <w:pStyle w:val="StandardWeb"/>
      </w:pPr>
      <w:r>
        <w:t>Ich leite im FRZK Dynamik nicht als abstrakten Zustand ab, sondern als das Ergebnis zweier operatorischer Ebenen: Metrik und Brane-Funktion. Die Brane-Funktion beschreibt strukturelle Felder im Raum – gewissermaßen das, wo etwas ist. Die Metrik legt fest, wie sich diese Struktur verformt, verschiebt oder in Relation tritt.</w:t>
      </w:r>
    </w:p>
    <w:p w14:paraId="48709573" w14:textId="77777777" w:rsidR="00F3084A" w:rsidRDefault="00F3084A" w:rsidP="00F3084A">
      <w:pPr>
        <w:pStyle w:val="StandardWeb"/>
      </w:pPr>
      <w:r>
        <w:t xml:space="preserve">Aus der Kopplung beider ergibt sich ein operatorisch erzeugtes Bewegungsgeschehen, das dem Lagrange- und Hamilton-Formalismus vergleichbar ist – mit dem entscheidenden Unterschied, dass diese Gleichungen nicht als Axiome eingeführt, sondern aus Operatorstruktur emergieren (Cornelius Lanczos, </w:t>
      </w:r>
      <w:r>
        <w:rPr>
          <w:rStyle w:val="Hervorhebung"/>
        </w:rPr>
        <w:t>The Variational Principles of Mechanics</w:t>
      </w:r>
      <w:r>
        <w:t>, New York: Dover Publications, 1986, Kap. 1) [26].</w:t>
      </w:r>
    </w:p>
    <w:p w14:paraId="222244A1" w14:textId="77777777" w:rsidR="00F3084A" w:rsidRDefault="00F3084A" w:rsidP="00F3084A">
      <w:pPr>
        <w:pStyle w:val="StandardWeb"/>
      </w:pPr>
      <w:r>
        <w:t>Damit ist Dynamik im FRZK kein Wirkprinzip, sondern eine funktionale Folgestruktur rekursiver Ableitung.</w:t>
      </w:r>
    </w:p>
    <w:p w14:paraId="17AFA4E4" w14:textId="77777777" w:rsidR="00F3084A" w:rsidRDefault="00000000" w:rsidP="00F3084A">
      <w:r>
        <w:pict w14:anchorId="498D74C6">
          <v:rect id="_x0000_i1046" style="width:0;height:1.5pt" o:hralign="center" o:hrstd="t" o:hr="t" fillcolor="#a0a0a0" stroked="f"/>
        </w:pict>
      </w:r>
    </w:p>
    <w:p w14:paraId="48556E7B" w14:textId="77777777" w:rsidR="00F3084A" w:rsidRDefault="00F3084A" w:rsidP="00F3084A">
      <w:pPr>
        <w:pStyle w:val="berschrift3"/>
      </w:pPr>
      <w:r>
        <w:t>4.4.3 Energie und Impuls als abgeleitete Systemgrößen</w:t>
      </w:r>
    </w:p>
    <w:p w14:paraId="107C529B" w14:textId="77777777" w:rsidR="00F3084A" w:rsidRDefault="00F3084A" w:rsidP="00F3084A">
      <w:pPr>
        <w:pStyle w:val="StandardWeb"/>
      </w:pPr>
      <w:r>
        <w:t>Ich betrachte Energie im funktionalen Rahmen nicht als ontologisch festgelegte Größe, sondern als Maß für die Änderungsrate von Feldkonfigurationen im Zeitverlauf. Energie ist also kein Objekt, sondern eine Meta-Zuweisung an Veränderung. Analog verstehe ich Impuls als gerichtete Feldverschiebung innerhalb metrisch organisierter Struktur.</w:t>
      </w:r>
    </w:p>
    <w:p w14:paraId="0C79C9B2" w14:textId="77777777" w:rsidR="00F3084A" w:rsidRDefault="00F3084A" w:rsidP="00F3084A">
      <w:pPr>
        <w:pStyle w:val="StandardWeb"/>
      </w:pPr>
      <w:r>
        <w:t xml:space="preserve">Diese Sichtweise steht in Übereinstimmung mit modernen Noether-Theoremen, die zeigen, dass Erhaltungsgrößen wie Energie und Impuls aus Symmetrieeigenschaften der Lagrange-Funktional ableitbar sind (Emmy Noether, </w:t>
      </w:r>
      <w:r>
        <w:rPr>
          <w:rStyle w:val="Hervorhebung"/>
        </w:rPr>
        <w:t>Invariante Variationsprobleme</w:t>
      </w:r>
      <w:r>
        <w:t xml:space="preserve">, </w:t>
      </w:r>
      <w:r>
        <w:rPr>
          <w:rStyle w:val="Hervorhebung"/>
        </w:rPr>
        <w:t>Nachrichten von der Königlichen Gesellschaft der Wissenschaften zu Göttingen, Mathematisch-physikalische Klasse</w:t>
      </w:r>
      <w:r>
        <w:t>, 1918, S. 235–257) [27].</w:t>
      </w:r>
    </w:p>
    <w:p w14:paraId="373B6CC9" w14:textId="77777777" w:rsidR="00F3084A" w:rsidRDefault="00F3084A" w:rsidP="00F3084A">
      <w:pPr>
        <w:pStyle w:val="StandardWeb"/>
      </w:pPr>
      <w:r>
        <w:t>Das FRZK greift diesen Gedanken auf und macht ihn epistemisch fruchtbar: Energie ist Strukturdifferenz im Prozess, nicht Substanz im Raum.</w:t>
      </w:r>
    </w:p>
    <w:p w14:paraId="7DC91A8E" w14:textId="77777777" w:rsidR="00F3084A" w:rsidRDefault="00000000" w:rsidP="00F3084A">
      <w:r>
        <w:pict w14:anchorId="52C59935">
          <v:rect id="_x0000_i1047" style="width:0;height:1.5pt" o:hralign="center" o:hrstd="t" o:hr="t" fillcolor="#a0a0a0" stroked="f"/>
        </w:pict>
      </w:r>
    </w:p>
    <w:p w14:paraId="270CBAFD" w14:textId="77777777" w:rsidR="00F3084A" w:rsidRDefault="00F3084A" w:rsidP="00F3084A">
      <w:pPr>
        <w:pStyle w:val="berschrift3"/>
      </w:pPr>
      <w:r>
        <w:t>4.4.4 Vergleich mit Feld- und Quantentheorien</w:t>
      </w:r>
    </w:p>
    <w:p w14:paraId="2E6E4A10" w14:textId="77777777" w:rsidR="00F3084A" w:rsidRDefault="00F3084A" w:rsidP="00F3084A">
      <w:pPr>
        <w:pStyle w:val="StandardWeb"/>
      </w:pPr>
      <w:r>
        <w:t xml:space="preserve">Die funktionale Modellierung im FRZK ist anschlussfähig an Konzepte der Quantenfeldtheorie: Dort gelten Teilchen nicht als ontologische Entitäten, sondern als lokale Anregungen eines quantisierten Feldes – eine Perspektive, die durch Feynman-Diagramme und Zustandsoperatoren formalisiert wird (Michael E. Peskin &amp; Daniel V. Schroeder, </w:t>
      </w:r>
      <w:r>
        <w:rPr>
          <w:rStyle w:val="Hervorhebung"/>
        </w:rPr>
        <w:t>An Introduction to Quantum Field Theory</w:t>
      </w:r>
      <w:r>
        <w:t>, Reading, MA: Addison-Wesley, 1995, Kap. 2) [28].</w:t>
      </w:r>
    </w:p>
    <w:p w14:paraId="471C19AE" w14:textId="53B38C18" w:rsidR="00F3084A" w:rsidRDefault="00F3084A" w:rsidP="001B0BD3">
      <w:pPr>
        <w:pStyle w:val="StandardWeb"/>
      </w:pPr>
      <w:r>
        <w:t>Im selben Sinne sind Kausalität und Energie auch hier keine festen Größen, sondern Konsequenzen von Operatorrelationen über Zustandsfunktionen. Das FRZK macht diese Struktur epistemisch nachvollziehbar, indem es sie aus rekursiver Funktionalität herleitet, nicht aus axiomatischen Setzungen.</w:t>
      </w:r>
      <w:r w:rsidR="00000000">
        <w:pict w14:anchorId="019378D3">
          <v:rect id="_x0000_i1048" style="width:0;height:1.5pt" o:hralign="center" o:hrstd="t" o:hr="t" fillcolor="#a0a0a0" stroked="f"/>
        </w:pict>
      </w:r>
    </w:p>
    <w:p w14:paraId="1C1208B9" w14:textId="77777777" w:rsidR="00F3084A" w:rsidRDefault="00F3084A" w:rsidP="00F3084A">
      <w:pPr>
        <w:pStyle w:val="berschrift3"/>
      </w:pPr>
      <w:r>
        <w:t>4.4.5 Kausalstruktur als modellinterner Effekt</w:t>
      </w:r>
    </w:p>
    <w:p w14:paraId="7AE552E2" w14:textId="77777777" w:rsidR="00F3084A" w:rsidRDefault="00F3084A" w:rsidP="00F3084A">
      <w:pPr>
        <w:pStyle w:val="StandardWeb"/>
      </w:pPr>
      <w:r>
        <w:t>Ich mache im Modell sichtbar, dass Kausalstruktur kein globaler Ordnungsrahmen ist, sondern ein interner Effekt funktionaler Differenzierung. Erst wenn bestimmte Raum-Zeit-Zuweisungen stabil bleiben, lassen sich kausale Pfade rekonstruieren – etwa durch Konstanz von Vorher-Nachher-Relationen innerhalb eines feldspezifischen Operatorrahmens.</w:t>
      </w:r>
    </w:p>
    <w:p w14:paraId="21B7CD8C" w14:textId="10ED9878" w:rsidR="00F3084A" w:rsidRDefault="00F3084A" w:rsidP="00FD1390">
      <w:pPr>
        <w:pStyle w:val="StandardWeb"/>
      </w:pPr>
      <w:r>
        <w:t xml:space="preserve">Das hat besondere Relevanz für nichtlineare, adaptive und interaktive Systeme, wie sie in der biologischen Selbstorganisation oder in der Theorie dissipativer Strukturen vorkommen (Ilya Prigogine &amp; Isabelle Stengers, </w:t>
      </w:r>
      <w:r>
        <w:rPr>
          <w:rStyle w:val="Hervorhebung"/>
        </w:rPr>
        <w:t>Order Out of Chaos: Man’s New Dialogue with Nature</w:t>
      </w:r>
      <w:r>
        <w:t>, London: Flamingo, 1985, Kap. 4) [29]. Kausalität ist dann kein kausaler Pfeil, sondern ein emergentes Muster in einem kohärenten Übergangsraum.</w:t>
      </w:r>
      <w:r w:rsidR="00000000">
        <w:pict w14:anchorId="0F224747">
          <v:rect id="_x0000_i1049" style="width:0;height:1.5pt" o:hralign="center" o:hrstd="t" o:hr="t" fillcolor="#a0a0a0" stroked="f"/>
        </w:pict>
      </w:r>
    </w:p>
    <w:p w14:paraId="2CCEB08C" w14:textId="77777777" w:rsidR="00F3084A" w:rsidRDefault="00F3084A" w:rsidP="00F3084A">
      <w:pPr>
        <w:pStyle w:val="berschrift2"/>
        <w:rPr>
          <w:sz w:val="36"/>
          <w:szCs w:val="36"/>
        </w:rPr>
      </w:pPr>
      <w:r>
        <w:t>4.5 Dynamische und anpassungsfähige Bedeutungsfelder</w:t>
      </w:r>
    </w:p>
    <w:p w14:paraId="1057A8FA" w14:textId="77777777" w:rsidR="00F3084A" w:rsidRPr="00A50849" w:rsidRDefault="00F3084A" w:rsidP="00A50849">
      <w:r w:rsidRPr="00A50849">
        <w:t>Ich vertrete im FRZK die These, dass Bedeutung keine fixe Eigenschaft sprachlicher oder symbolischer Einheiten ist. Stattdessen begreife ich sie als dynamisches Feld, das sich aus funktionalen Zuweisungen innerhalb eines operativ geschlossenen Systems ergibt. Bedeutung ist somit kein Etikett, das Zeichen anhängt – sie ist das Resultat rekursiver Systemverhältnisse, die sich strukturell stabilisieren und transformieren lassen.</w:t>
      </w:r>
    </w:p>
    <w:p w14:paraId="7DBECFCF" w14:textId="6F904C9B" w:rsidR="00A50849" w:rsidRPr="00A50849" w:rsidRDefault="00F3084A" w:rsidP="00A50849">
      <w:r w:rsidRPr="00A50849">
        <w:t>Diese Perspektive führt zu einer systematischen Vorhersage: Bedeutungsfelder sind nicht extern definierbar, sondern entstehen modellintern – sie folgen Regeln, die ihre Emergenz, ihre temporäre Stabilisierung und ihre Veränderbarkeit formalisierbar und rekonstruierbar machen.</w:t>
      </w:r>
      <w:r w:rsidR="00A50849" w:rsidRPr="00A50849">
        <w:t xml:space="preserve"> </w:t>
      </w:r>
      <w:r w:rsidR="00A50849">
        <w:t>B</w:t>
      </w:r>
      <w:r w:rsidR="00A50849" w:rsidRPr="00A50849">
        <w:t>eispielhafte Anwendungen semantischer Felddynamik enthält Anlage 4.E.</w:t>
      </w:r>
    </w:p>
    <w:p w14:paraId="55BE18DF" w14:textId="1C373C27" w:rsidR="00F3084A" w:rsidRDefault="00000000" w:rsidP="001B0BD3">
      <w:pPr>
        <w:pStyle w:val="StandardWeb"/>
      </w:pPr>
      <w:r>
        <w:pict w14:anchorId="3A6D99A5">
          <v:rect id="_x0000_i1050" style="width:0;height:1.5pt" o:hralign="center" o:hrstd="t" o:hr="t" fillcolor="#a0a0a0" stroked="f"/>
        </w:pict>
      </w:r>
    </w:p>
    <w:p w14:paraId="78CD0012" w14:textId="77777777" w:rsidR="00F3084A" w:rsidRDefault="00F3084A" w:rsidP="00F3084A">
      <w:pPr>
        <w:pStyle w:val="berschrift3"/>
      </w:pPr>
      <w:r>
        <w:t>4.5.1 Bedeutung als Systemleistung</w:t>
      </w:r>
    </w:p>
    <w:p w14:paraId="6B88A34E" w14:textId="77777777" w:rsidR="00F3084A" w:rsidRDefault="00F3084A" w:rsidP="00F3084A">
      <w:pPr>
        <w:pStyle w:val="StandardWeb"/>
      </w:pPr>
      <w:r>
        <w:t>Ich verstehe Bedeutung im FRZK als emergente Systemleistung: Sie entsteht dort, wo funktionale Zuweisungen im semantischen Raum Differenz erzeugen und stabilisieren. Dabei ist Bedeutung keine „Eigenschaft“ eines Zeichens, sondern die strukturierte Relation zwischen Operator, Kontext und Feldkonfiguration.</w:t>
      </w:r>
    </w:p>
    <w:p w14:paraId="73EDCF69" w14:textId="77777777" w:rsidR="00F3084A" w:rsidRDefault="00F3084A" w:rsidP="00F3084A">
      <w:pPr>
        <w:pStyle w:val="StandardWeb"/>
      </w:pPr>
      <w:r>
        <w:t xml:space="preserve">Diese Sichtweise steht in der Tradition der kognitiven Semantik, etwa bei George Lakoff, der betont, dass Bedeutungen auf metaphorischer Strukturierung und kontextuellen Verknüpfungen beruhen (George Lakoff &amp; Mark Johnson, </w:t>
      </w:r>
      <w:r>
        <w:rPr>
          <w:rStyle w:val="Hervorhebung"/>
        </w:rPr>
        <w:t>Metaphors We Live By</w:t>
      </w:r>
      <w:r>
        <w:t xml:space="preserve">, Chicago: University of Chicago Press, 1980, Kap. 1) [30]. Auch Umberto Eco versteht Semantik als ein „offenes Feld von Möglichkeiten“, das sich durch Systempositionen und symbolische Dichte konstituiert (Umberto Eco, </w:t>
      </w:r>
      <w:r>
        <w:rPr>
          <w:rStyle w:val="Hervorhebung"/>
        </w:rPr>
        <w:t>A Theory of Semiotics</w:t>
      </w:r>
      <w:r>
        <w:t>, Bloomington: Indiana University Press, 1976, Kap. 2) [31].</w:t>
      </w:r>
    </w:p>
    <w:p w14:paraId="3CF7E961" w14:textId="5375CCFC" w:rsidR="00F3084A" w:rsidRDefault="00F3084A" w:rsidP="001B0BD3">
      <w:pPr>
        <w:pStyle w:val="StandardWeb"/>
      </w:pPr>
      <w:r>
        <w:t>Im FRZK formuliere ich dieses Prinzip funktional: Bedeutung entsteht aus strukturierter Systemzuweisung.</w:t>
      </w:r>
      <w:r w:rsidR="00000000">
        <w:pict w14:anchorId="19AC233D">
          <v:rect id="_x0000_i1051" style="width:0;height:1.5pt" o:hralign="center" o:hrstd="t" o:hr="t" fillcolor="#a0a0a0" stroked="f"/>
        </w:pict>
      </w:r>
    </w:p>
    <w:p w14:paraId="0DC0F9C5" w14:textId="77777777" w:rsidR="00F3084A" w:rsidRDefault="00F3084A" w:rsidP="00F3084A">
      <w:pPr>
        <w:pStyle w:val="berschrift3"/>
      </w:pPr>
      <w:r>
        <w:t>4.5.2 Semantische Felder als dynamische Strukturen</w:t>
      </w:r>
    </w:p>
    <w:p w14:paraId="3F3AB1A4" w14:textId="77777777" w:rsidR="00F3084A" w:rsidRDefault="00F3084A" w:rsidP="00F3084A">
      <w:pPr>
        <w:pStyle w:val="StandardWeb"/>
      </w:pPr>
      <w:r>
        <w:t>Ich modelliere Bedeutungsfelder als semantische Attraktorlandschaften. Diese bestehen aus stabilen Zentren (Attraktoren) und fluiden Grenzen, die durch diskursive, kognitive oder soziale Interaktionen formbar sind. Bedeutungsfelder verändern sich im Zeitverlauf – sie oszillieren, rekonfigurieren und verschieben sich durch Kontextmodifikation, semantischen Drift oder Transformation.</w:t>
      </w:r>
    </w:p>
    <w:p w14:paraId="49BDA776" w14:textId="77777777" w:rsidR="00F3084A" w:rsidRDefault="00F3084A" w:rsidP="00F3084A">
      <w:pPr>
        <w:pStyle w:val="StandardWeb"/>
      </w:pPr>
      <w:r>
        <w:t xml:space="preserve">In der Kognitionsforschung spricht man hier von dynamischen Konzeptfeldern, die sich mathematisch über Potentialfunktionen oder dynamische Netzwerke abbilden lassen – ein Ansatz, der in Peter Gärdenfors’ Theorie der „conceptual spaces“ formalisiert wird (Peter Gärdenfors, </w:t>
      </w:r>
      <w:r>
        <w:rPr>
          <w:rStyle w:val="Hervorhebung"/>
        </w:rPr>
        <w:t>Conceptual Spaces: The Geometry of Thought</w:t>
      </w:r>
      <w:r>
        <w:t>, Cambridge, MA: MIT Press, 2000, Kap. 2) [32].</w:t>
      </w:r>
    </w:p>
    <w:p w14:paraId="60A63FCA" w14:textId="77777777" w:rsidR="001568EF" w:rsidRDefault="00F3084A" w:rsidP="001B0BD3">
      <w:pPr>
        <w:pStyle w:val="StandardWeb"/>
      </w:pPr>
      <w:r>
        <w:t>Das FRZK integriert diese Idee: Semantik ist hier nicht topologisch fixiert, sondern topodynamisch rekonfigurierbar.</w:t>
      </w:r>
    </w:p>
    <w:p w14:paraId="4360C76A" w14:textId="73B05F38" w:rsidR="001568EF" w:rsidRDefault="001568EF" w:rsidP="001568EF">
      <w:pPr>
        <w:pStyle w:val="StandardWeb"/>
      </w:pPr>
      <w:r w:rsidRPr="001568EF">
        <w:t>Im FRZK verstehe ich Semantik nicht als festgelegte Bedeutung eines Begriffs, sondern als dynamische und kontextabhängige Struktur, die sich durch die Interaktion mit anderen Begriffen und durch soziale und kommunikative Prozesse kontinuierlich entwickelt. Die semantischen Feldstrukturen sind dabei nicht statisch, sondern variieren je nach Kontext und Verwendung, was zu unterschiedlichen Bedeutungsräumen innerhalb desselben Begriffes führen kann.</w:t>
      </w:r>
    </w:p>
    <w:p w14:paraId="5041EAB1" w14:textId="1689F514" w:rsidR="001568EF" w:rsidRPr="001568EF" w:rsidRDefault="001568EF" w:rsidP="001568EF">
      <w:pPr>
        <w:pStyle w:val="StandardWeb"/>
      </w:pPr>
      <w:r>
        <w:rPr>
          <w:noProof/>
        </w:rPr>
        <w:drawing>
          <wp:inline distT="0" distB="0" distL="0" distR="0" wp14:anchorId="458BB3BE" wp14:editId="63EE2E4F">
            <wp:extent cx="5760720" cy="266890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7">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40D4E3E7" w14:textId="12FAFBEA" w:rsidR="001568EF" w:rsidRPr="001568EF" w:rsidRDefault="001568EF" w:rsidP="001568EF">
      <w:pPr>
        <w:pStyle w:val="Abbildungsname"/>
      </w:pPr>
      <w:r w:rsidRPr="001568EF">
        <w:t xml:space="preserve">Abb. </w:t>
      </w:r>
      <w:r w:rsidR="00B70960">
        <w:t>Zwei semantische Felder im Vergleich</w:t>
      </w:r>
      <w:r w:rsidRPr="001568EF">
        <w:t xml:space="preserve"> (Grafik </w:t>
      </w:r>
      <w:r w:rsidRPr="0084315F">
        <w:t xml:space="preserve">von </w:t>
      </w:r>
      <w:r w:rsidR="00B70960" w:rsidRPr="0084315F">
        <w:t>Juste Raimbault</w:t>
      </w:r>
      <w:r w:rsidRPr="001568EF">
        <w:t xml:space="preserve"> ; Quelle: </w:t>
      </w:r>
      <w:r w:rsidR="00B70960" w:rsidRPr="00B70960">
        <w:t xml:space="preserve">https://www.researchgate.net/figure/Semantic-fields-A-City-B-Network_fig5_327173390 </w:t>
      </w:r>
      <w:r w:rsidR="00B70960">
        <w:t>)</w:t>
      </w:r>
    </w:p>
    <w:p w14:paraId="72CF083E" w14:textId="3D835DC0" w:rsidR="001568EF" w:rsidRPr="001568EF" w:rsidRDefault="001568EF" w:rsidP="001568EF">
      <w:pPr>
        <w:pStyle w:val="StandardWeb"/>
      </w:pPr>
      <w:r w:rsidRPr="001568EF">
        <w:t xml:space="preserve">Zur Veranschaulichung dieser Flexibilität habe ich ein Diagramm zweier semantischer Felder </w:t>
      </w:r>
      <w:r>
        <w:t>benutzt</w:t>
      </w:r>
      <w:r w:rsidRPr="001568EF">
        <w:t>, das den Begriff „City“ mit dem Begriff „Network“ vergleicht. Beide Begriffe werden innerhalb der gleichen Methode betrachtet, jedoch in unterschiedlichen semantischen Kontexten organisiert. Die Darstellung zeigt, wie die Bedeutung von „City“ und „Network“ sich je nach Kontextualisierung unterschiedlich formt und welche Dimensionen sie im jeweiligen Bedeutungsfeld annehmen.</w:t>
      </w:r>
    </w:p>
    <w:p w14:paraId="0B7C3175" w14:textId="77777777" w:rsidR="001568EF" w:rsidRPr="001568EF" w:rsidRDefault="001568EF" w:rsidP="001568EF">
      <w:pPr>
        <w:pStyle w:val="StandardWeb"/>
      </w:pPr>
      <w:r w:rsidRPr="001568EF">
        <w:t>Das Diagramm verdeutlicht, dass die semantische Struktur eines Begriffs nicht als isoliert betrachtet werden kann, sondern stets im Zusammenspiel mit anderen Begriffen und dynamischen Bedeutungsnetzwerken zu verstehen ist. So wird der Begriff „City“ in einem sozialen und urbanen Kontext geprägt, während der Begriff „Network“ eher technologische und kommunikative Dimensionen aufgreift, die ebenfalls in unterschiedlichen Kontexten variieren.</w:t>
      </w:r>
    </w:p>
    <w:p w14:paraId="3681FD97" w14:textId="2DA63EC1" w:rsidR="001568EF" w:rsidRDefault="001568EF" w:rsidP="001568EF">
      <w:pPr>
        <w:pStyle w:val="StandardWeb"/>
      </w:pPr>
      <w:r w:rsidRPr="001568EF">
        <w:t xml:space="preserve">Das Diagramm der semantischen Feldstrukturen für die Begriffe „City“ und „Network“ ist in Abbildung 4.5 dargestellt und bietet eine wertvolle visuelle Unterstützung für die Analyse der kontextabhängigen Bedeutungsräume. Weitere Details sind unter folgendem Link verfügbar: </w:t>
      </w:r>
      <w:hyperlink r:id="rId8" w:tgtFrame="_new" w:history="1">
        <w:r w:rsidRPr="001568EF">
          <w:t>Diagramm semantischer Felder – „City“ vs. „Network“</w:t>
        </w:r>
      </w:hyperlink>
      <w:r w:rsidRPr="001568EF">
        <w:t>.</w:t>
      </w:r>
    </w:p>
    <w:p w14:paraId="5DC22D01" w14:textId="5F942F06" w:rsidR="0050154A" w:rsidRDefault="0050154A" w:rsidP="0050154A">
      <w:r w:rsidRPr="0050154A">
        <w:t>Die semantische Felddynamik im FRZK wird in Anlage 4.E visuell dargestellt, wobei die 3D-Grafik die Veränderungen und Bewegungen innerhalb eines dynamischen Bedeutungsfeldes veranschaulicht. Diese Darstellung nutzt Farbverläufe und zeigt die Temporäre Transformation der Bedeutung innerhalb des Feldes. Die semantischen Attraktoren und Metaprozesse verdeutlichen den Prozess der Bedeutungsbildung und deren kontinuierliche Veränderung durch diskursive Modifikationen und kontextuelle Anpassungen.</w:t>
      </w:r>
    </w:p>
    <w:p w14:paraId="7FAB438B" w14:textId="11E6DC83" w:rsidR="00F3084A" w:rsidRDefault="00000000" w:rsidP="001B0BD3">
      <w:pPr>
        <w:pStyle w:val="StandardWeb"/>
      </w:pPr>
      <w:r>
        <w:pict w14:anchorId="7BD09BE5">
          <v:rect id="_x0000_i1052" style="width:0;height:1.5pt" o:hralign="center" o:hrstd="t" o:hr="t" fillcolor="#a0a0a0" stroked="f"/>
        </w:pict>
      </w:r>
    </w:p>
    <w:p w14:paraId="684B3463" w14:textId="77777777" w:rsidR="00F3084A" w:rsidRDefault="00F3084A" w:rsidP="00F3084A">
      <w:pPr>
        <w:pStyle w:val="berschrift3"/>
      </w:pPr>
      <w:r>
        <w:t>4.5.3 Modifizierbarkeit durch Operatorwirkung</w:t>
      </w:r>
    </w:p>
    <w:p w14:paraId="2825B4C6" w14:textId="77777777" w:rsidR="00F3084A" w:rsidRDefault="00F3084A" w:rsidP="00F3084A">
      <w:pPr>
        <w:pStyle w:val="StandardWeb"/>
      </w:pPr>
      <w:r>
        <w:t>Bedeutung ist im FRZK nicht starr, sondern durch gezielte Anwendung höherer Operatoren modifizierbar. Prozesse wie Umdeutung, Metaphernbildung oder Diskursverschiebung wirken wie semantische Transformationen – sie verändern Feldstrukturen durch die Einführung neuer Relationsebenen.</w:t>
      </w:r>
    </w:p>
    <w:p w14:paraId="4994DE9B" w14:textId="77777777" w:rsidR="00F3084A" w:rsidRDefault="00F3084A" w:rsidP="00F3084A">
      <w:pPr>
        <w:pStyle w:val="StandardWeb"/>
      </w:pPr>
      <w:r>
        <w:t>Ich bezeichne das als semantische Morphogenese – analog zur biologischen Morphogenese, in der aus einfachen Strukturen komplexe Formen emergieren. In der Linguistik finden sich vergleichbare Konzepte etwa in der Frame-Semantik (Charles Fillmore) und in der konzeptuellen Metapherntheorie (Lakoff &amp; Johnson, 1980) [30].</w:t>
      </w:r>
    </w:p>
    <w:p w14:paraId="6F2CAF81" w14:textId="77777777" w:rsidR="00F3084A" w:rsidRDefault="00F3084A" w:rsidP="00F3084A">
      <w:pPr>
        <w:pStyle w:val="StandardWeb"/>
      </w:pPr>
      <w:r>
        <w:t>Im funktionalen Bezugssystem des FRZK erscheinen diese Transformationen als Operatoren zweiter Ordnung, die Bedeutungslandschaften restrukturieren – sichtbar, rekonstruierbar, analysierbar.</w:t>
      </w:r>
    </w:p>
    <w:p w14:paraId="2055E7D8" w14:textId="77777777" w:rsidR="00F3084A" w:rsidRDefault="00000000" w:rsidP="00F3084A">
      <w:r>
        <w:pict w14:anchorId="0CF99E00">
          <v:rect id="_x0000_i1053" style="width:0;height:1.5pt" o:hralign="center" o:hrstd="t" o:hr="t" fillcolor="#a0a0a0" stroked="f"/>
        </w:pict>
      </w:r>
    </w:p>
    <w:p w14:paraId="1AAC063D" w14:textId="77777777" w:rsidR="00F3084A" w:rsidRDefault="00F3084A" w:rsidP="00F3084A">
      <w:pPr>
        <w:pStyle w:val="berschrift3"/>
      </w:pPr>
      <w:r>
        <w:t>4.5.4 Interdisziplinäre Anschlussfähigkeit</w:t>
      </w:r>
    </w:p>
    <w:p w14:paraId="5478118C" w14:textId="77777777" w:rsidR="00F3084A" w:rsidRDefault="00F3084A" w:rsidP="00F3084A">
      <w:pPr>
        <w:pStyle w:val="StandardWeb"/>
      </w:pPr>
      <w:r>
        <w:t>Das Modell lässt sich an viele disziplinäre Perspektiven anschließen:</w:t>
      </w:r>
    </w:p>
    <w:p w14:paraId="1D461B54" w14:textId="77777777" w:rsidR="00F3084A" w:rsidRDefault="00F3084A" w:rsidP="00F3084A">
      <w:pPr>
        <w:pStyle w:val="StandardWeb"/>
      </w:pPr>
      <w:r>
        <w:t xml:space="preserve">In der Linguistik etwa an Prototypentheorien oder semantische Frames (Eleanor Rosch, </w:t>
      </w:r>
      <w:r>
        <w:rPr>
          <w:rStyle w:val="Hervorhebung"/>
        </w:rPr>
        <w:t>Principles of Categorization</w:t>
      </w:r>
      <w:r>
        <w:t xml:space="preserve">, in: Rosch, E., &amp; Lloyd, B. (Hrsg.), </w:t>
      </w:r>
      <w:r>
        <w:rPr>
          <w:rStyle w:val="Hervorhebung"/>
        </w:rPr>
        <w:t>Cognition and Categorization</w:t>
      </w:r>
      <w:r>
        <w:t>, Hillsdale: Lawrence Erlbaum, 1978, S. 27–48) [33];</w:t>
      </w:r>
      <w:r>
        <w:br/>
        <w:t xml:space="preserve">in der Diskurstheorie an Konzepte von performativ erzeugter Bedeutung (Judith Butler, </w:t>
      </w:r>
      <w:r>
        <w:rPr>
          <w:rStyle w:val="Hervorhebung"/>
        </w:rPr>
        <w:t>Excitable Speech: A Politics of the Performative</w:t>
      </w:r>
      <w:r>
        <w:t>, New York: Routledge, 1997, Kap. 1) [34];</w:t>
      </w:r>
      <w:r>
        <w:br/>
        <w:t xml:space="preserve">und in der Kulturtheorie an mediale Codierungssysteme, in denen Bedeutung über Praktiken und Materialität vermittelt wird (Clifford Geertz, </w:t>
      </w:r>
      <w:r>
        <w:rPr>
          <w:rStyle w:val="Hervorhebung"/>
        </w:rPr>
        <w:t>The Interpretation of Cultures</w:t>
      </w:r>
      <w:r>
        <w:t>, New York: Basic Books, 1973, Kap. 2) [35].</w:t>
      </w:r>
    </w:p>
    <w:p w14:paraId="25931579" w14:textId="77777777" w:rsidR="00F3084A" w:rsidRDefault="00F3084A" w:rsidP="00F3084A">
      <w:pPr>
        <w:pStyle w:val="StandardWeb"/>
      </w:pPr>
      <w:r>
        <w:t>Das FRZK liefert diesen Diskursen eine strukturierte Modellgrundlage: Bedeutung ist hier kein Ergebnis subjektiver Zuschreibung, sondern eine systematische Emergenzleistung rekursiver Operatorinteraktion.</w:t>
      </w:r>
    </w:p>
    <w:p w14:paraId="16AB8007" w14:textId="77777777" w:rsidR="00F3084A" w:rsidRDefault="00000000" w:rsidP="00F3084A">
      <w:r>
        <w:pict w14:anchorId="5F2F1893">
          <v:rect id="_x0000_i1054" style="width:0;height:1.5pt" o:hralign="center" o:hrstd="t" o:hr="t" fillcolor="#a0a0a0" stroked="f"/>
        </w:pict>
      </w:r>
    </w:p>
    <w:p w14:paraId="4C5B4171" w14:textId="77777777" w:rsidR="00F3084A" w:rsidRDefault="00F3084A" w:rsidP="00F3084A">
      <w:pPr>
        <w:pStyle w:val="berschrift3"/>
      </w:pPr>
      <w:r>
        <w:t>4.5.5 Beweisbarkeit im funktionalen Rahmen</w:t>
      </w:r>
    </w:p>
    <w:p w14:paraId="63EA6F07" w14:textId="77777777" w:rsidR="00F3084A" w:rsidRDefault="00F3084A" w:rsidP="00F3084A">
      <w:pPr>
        <w:pStyle w:val="StandardWeb"/>
      </w:pPr>
      <w:r>
        <w:t>Die Beweisbarkeit dieser semantischen Dynamik liegt im FRZK nicht in empirischer Beobachtung, sondern in der modellinternen Kohärenz. Ich zeige, dass ein Modell, das funktionale Zuweisungen erzeugt, auch eine Struktur enthalten muss, die Bedeutungsverschiebungen ermöglicht – sonst wäre es selbst nicht anschlussfähig.</w:t>
      </w:r>
    </w:p>
    <w:p w14:paraId="33B25DB9" w14:textId="77777777" w:rsidR="00F3084A" w:rsidRDefault="00F3084A" w:rsidP="00F3084A">
      <w:pPr>
        <w:pStyle w:val="StandardWeb"/>
      </w:pPr>
      <w:r>
        <w:t xml:space="preserve">Ein stabiler Bedeutungswert ist nur dann aufrechterhaltbar, wenn er durch ein Feldsystem mit strukturellen Attraktoren gestützt wird – andernfalls bleibt er veränderlich. Dieser Mechanismus ähnelt semantischen Driftprozessen in dynamischen Ontologien (Liane Gabora, </w:t>
      </w:r>
      <w:r>
        <w:rPr>
          <w:rStyle w:val="Hervorhebung"/>
        </w:rPr>
        <w:t>Conceptual Closure: Weaving Memories into an Interconnected Worldview</w:t>
      </w:r>
      <w:r>
        <w:t xml:space="preserve">, </w:t>
      </w:r>
      <w:r>
        <w:rPr>
          <w:rStyle w:val="Hervorhebung"/>
        </w:rPr>
        <w:t>Journal of Cognitive Science</w:t>
      </w:r>
      <w:r>
        <w:t>, 1(2), 2000, S. 213–235) [36].</w:t>
      </w:r>
    </w:p>
    <w:p w14:paraId="67B6B18C" w14:textId="77777777" w:rsidR="001568EF" w:rsidRDefault="00F3084A" w:rsidP="00FD1390">
      <w:pPr>
        <w:pStyle w:val="StandardWeb"/>
      </w:pPr>
      <w:r>
        <w:t>Im FRZK ist Bedeutung somit formalisierbar, rekonstruierbar und reflexiv modulierbar – ein aktiver Bestandteil der systemischen Weltkonstruktion.</w:t>
      </w:r>
    </w:p>
    <w:p w14:paraId="03A76305" w14:textId="389F10BA" w:rsidR="001568EF" w:rsidRDefault="001568EF" w:rsidP="001568EF">
      <w:pPr>
        <w:pStyle w:val="berschrift3"/>
        <w:rPr>
          <w:rFonts w:ascii="Times New Roman" w:hAnsi="Times New Roman"/>
          <w:sz w:val="27"/>
          <w:szCs w:val="27"/>
        </w:rPr>
      </w:pPr>
      <w:r>
        <w:rPr>
          <w:rStyle w:val="Fett"/>
          <w:b/>
          <w:bCs w:val="0"/>
        </w:rPr>
        <w:t>4.5.6 Bedeutungsfelder – Semantische Attraktorlandschaften</w:t>
      </w:r>
    </w:p>
    <w:p w14:paraId="478E70E3" w14:textId="49517075" w:rsidR="001568EF" w:rsidRPr="00B70960" w:rsidRDefault="001568EF" w:rsidP="00B70960">
      <w:r w:rsidRPr="00B70960">
        <w:t>In diesem Abschnitt des FRZK geht es um die dynamische Natur von Bedeutungsfeldern, die als semantische Attraktorlandschaften verstanden werden. Ein solches Bedeutungsfeld besteht nicht aus festen, unveränderlichen Begriffen, sondern entwickelt sich durch die Wechselwirkungen zwischen verschiedenen semantischen Komponenten, die sich kontinuierlich neu organisieren und gegenseitig beeinflussen. Diese dynamischen Prozesse sind der Ursprung von semantischen Drift und Diskursverschiebung, bei denen bestimmte Bedeutungen an Bedeutung gewinnen, während andere in den Hintergrund treten.</w:t>
      </w:r>
    </w:p>
    <w:p w14:paraId="54541DE2" w14:textId="6D3FAF44" w:rsidR="001568EF" w:rsidRDefault="001568EF" w:rsidP="001568EF">
      <w:pPr>
        <w:pStyle w:val="Abbildungsname"/>
      </w:pPr>
      <w:r>
        <w:rPr>
          <w:noProof/>
        </w:rPr>
        <w:drawing>
          <wp:inline distT="0" distB="0" distL="0" distR="0" wp14:anchorId="6496968B" wp14:editId="36824962">
            <wp:extent cx="3286125" cy="328612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9">
                      <a:extLst>
                        <a:ext uri="{28A0092B-C50C-407E-A947-70E740481C1C}">
                          <a14:useLocalDpi xmlns:a14="http://schemas.microsoft.com/office/drawing/2010/main" val="0"/>
                        </a:ext>
                      </a:extLst>
                    </a:blip>
                    <a:stretch>
                      <a:fillRect/>
                    </a:stretch>
                  </pic:blipFill>
                  <pic:spPr>
                    <a:xfrm>
                      <a:off x="0" y="0"/>
                      <a:ext cx="3286441" cy="3286441"/>
                    </a:xfrm>
                    <a:prstGeom prst="rect">
                      <a:avLst/>
                    </a:prstGeom>
                  </pic:spPr>
                </pic:pic>
              </a:graphicData>
            </a:graphic>
          </wp:inline>
        </w:drawing>
      </w:r>
    </w:p>
    <w:p w14:paraId="3F33B645" w14:textId="419EF5A8" w:rsidR="001568EF" w:rsidRPr="001568EF" w:rsidRDefault="001568EF" w:rsidP="001568EF">
      <w:pPr>
        <w:pStyle w:val="Abbildungsname"/>
      </w:pPr>
      <w:r w:rsidRPr="001568EF">
        <w:t>Abb. ForceAtlas2-Netzwerkvisualisierung (Grafik von Grzegorz Osinski ; Quelle: https://www.researchgate.net/figure/Figure1-Complex-network-visualization-of-the-semantic-field-of-term-meme-created-with_fig1_322526107</w:t>
      </w:r>
      <w:r w:rsidR="00B70960">
        <w:t>)</w:t>
      </w:r>
    </w:p>
    <w:p w14:paraId="3E8D858A" w14:textId="55AF6ABC" w:rsidR="001568EF" w:rsidRPr="00B70960" w:rsidRDefault="001568EF" w:rsidP="001568EF">
      <w:pPr>
        <w:pStyle w:val="StandardWeb"/>
      </w:pPr>
      <w:r w:rsidRPr="00B70960">
        <w:t>Zur Veranschaulichung dieser Dynamik habe ich eine ForceAtlas2-Netzwerkvisualisierung des semantischen Feldes des Begriffs „meme“ benutzt. Die Visualisierung nutzt farbcodierte Cluster (blau, orange, grün), um die semantischen Attraktoren innerhalb des Netzwerks darzustellen. Diese Cluster zeigen, wie bestimmte Aspekte des Begriffs „meme“ in verschiedenen Kontexten gruppiert werden und wie sie sich in bestimmten semantischen Feldern manifestieren. Die Verwendung von ForceAtlas2 als Netzwerkvisualisierung ist besonders geeignet, da sie die Wechselwirkungen zwischen den Begriffen und deren dynamische Entwicklung aufzeigt.</w:t>
      </w:r>
    </w:p>
    <w:p w14:paraId="5648C723" w14:textId="77777777" w:rsidR="001568EF" w:rsidRPr="00B70960" w:rsidRDefault="001568EF" w:rsidP="001568EF">
      <w:pPr>
        <w:pStyle w:val="StandardWeb"/>
      </w:pPr>
      <w:r w:rsidRPr="00B70960">
        <w:t>Die farbliche Unterscheidung der Cluster hilft dabei, die verschiedenen semantischen Dimensionen und ihre Wechselwirkungen visuell zu differenzieren. Jedes Cluster repräsentiert ein semantisches Subfeld, das durch seine eigene logische Struktur und seine Beziehungen zu anderen Subfeldern zur Gesamtstruktur des Begriffs beiträgt.</w:t>
      </w:r>
    </w:p>
    <w:p w14:paraId="002472B8" w14:textId="20C2AEC0" w:rsidR="00F3084A" w:rsidRDefault="00000000" w:rsidP="00FD1390">
      <w:pPr>
        <w:pStyle w:val="StandardWeb"/>
      </w:pPr>
      <w:r>
        <w:pict w14:anchorId="54ACA19C">
          <v:rect id="_x0000_i1055" style="width:0;height:1.5pt" o:hralign="center" o:hrstd="t" o:hr="t" fillcolor="#a0a0a0" stroked="f"/>
        </w:pict>
      </w:r>
    </w:p>
    <w:p w14:paraId="38B5F2D3" w14:textId="77777777" w:rsidR="00FD1390" w:rsidRDefault="00FD1390" w:rsidP="001568EF">
      <w:pPr>
        <w:pStyle w:val="berschrift2"/>
        <w:rPr>
          <w:sz w:val="27"/>
          <w:szCs w:val="27"/>
        </w:rPr>
      </w:pPr>
      <w:r>
        <w:rPr>
          <w:rStyle w:val="Fett"/>
          <w:b/>
          <w:bCs w:val="0"/>
        </w:rPr>
        <w:t>4.6 Transformierbarkeit symbolischer Ordnungen durch Reflexion</w:t>
      </w:r>
    </w:p>
    <w:p w14:paraId="37314CC3" w14:textId="77777777" w:rsidR="00FD1390" w:rsidRPr="00F57C02" w:rsidRDefault="00FD1390" w:rsidP="00F57C02">
      <w:r w:rsidRPr="00F57C02">
        <w:t>Ich gehe im FRZK davon aus, dass symbolische Ordnungen – also kulturell stabilisierte Systeme von Zeichen, Bedeutungen und Regeln – nicht statisch sind, sondern durch reflexive Operationen systemintern transformierbar bleiben. Reflexion, Diskurs und Metakognition erscheinen dabei nicht als Begleitphänomene, sondern als Operatoren höherer Ordnung, die aktiv in die Struktur symbolischer Systeme eingreifen.</w:t>
      </w:r>
    </w:p>
    <w:p w14:paraId="795AB2F2" w14:textId="77777777" w:rsidR="00FD1390" w:rsidRPr="00F57C02" w:rsidRDefault="00FD1390" w:rsidP="00F57C02">
      <w:r w:rsidRPr="00F57C02">
        <w:t>Symbolische Ordnung bezieht sich in meinem Modell auf die verknüpfte Struktur von Bedeutungsfeldern, Normen und semantischen Geltungsansprüchen, wie sie in Sprache, Wissenschaft, Technik oder Recht realisiert sind. Im FRZK zeige ich, dass diese Ordnungen weder natürlich gegeben noch unveränderlich sind, sondern als funktionale Felder rekonstruiert werden können – konfigurierbar, verschiebbar, rekontextualisierbar.</w:t>
      </w:r>
    </w:p>
    <w:p w14:paraId="278FF383" w14:textId="77777777" w:rsidR="00FD1390" w:rsidRPr="00F57C02" w:rsidRDefault="00FD1390" w:rsidP="00F57C02">
      <w:r w:rsidRPr="00F57C02">
        <w:t>Reflexion wird so nicht als psychologischer Zustand, sondern als systemischer Operator modelliert, der bestehende Zuweisungen analysieren, unterbrechen oder restrukturieren kann. Die Vorhersage ist: Systeme mit rekursiver Meta-Struktur erzeugen nicht nur Bedeutung – sie können ihre eigenen Bedeutungsräume funktional umbauen.</w:t>
      </w:r>
    </w:p>
    <w:p w14:paraId="587DBD55" w14:textId="77777777" w:rsidR="00FD1390" w:rsidRDefault="00000000" w:rsidP="00FD1390">
      <w:r>
        <w:pict w14:anchorId="32F52DD4">
          <v:rect id="_x0000_i1056" style="width:0;height:1.5pt" o:hralign="center" o:hrstd="t" o:hr="t" fillcolor="#a0a0a0" stroked="f"/>
        </w:pict>
      </w:r>
    </w:p>
    <w:p w14:paraId="6AD5506D" w14:textId="77777777" w:rsidR="00FD1390" w:rsidRDefault="00FD1390" w:rsidP="00FD1390">
      <w:pPr>
        <w:pStyle w:val="berschrift3"/>
      </w:pPr>
      <w:r>
        <w:rPr>
          <w:rStyle w:val="Fett"/>
          <w:b/>
          <w:bCs w:val="0"/>
        </w:rPr>
        <w:t>4.6.1 Symbolische Ordnung als strukturierende Semantik</w:t>
      </w:r>
    </w:p>
    <w:p w14:paraId="147B4AAE" w14:textId="77777777" w:rsidR="00FD1390" w:rsidRPr="00966E8C" w:rsidRDefault="00FD1390" w:rsidP="00966E8C">
      <w:r w:rsidRPr="00966E8C">
        <w:t>Ich verstehe symbolische Ordnungen als institutionalisierte Bedeutungsräume, die durch soziale, sprachliche oder kognitive Praktiken strukturiert und stabilisiert werden. Diese Ordnungen formen die semantische Grammatik eines Systems – sie definieren, welche Differenzen zählen, welche Kategorien gelten und welche Aussagen legitim erscheinen.</w:t>
      </w:r>
    </w:p>
    <w:p w14:paraId="58ECAA09" w14:textId="77777777" w:rsidR="00FD1390" w:rsidRPr="00966E8C" w:rsidRDefault="00FD1390" w:rsidP="00966E8C">
      <w:r w:rsidRPr="00966E8C">
        <w:t>Damit schließt mein Modell an kultursemiotische Konzepte wie bei Claude Lévi-Strauss an, der Mythen als strukturierende Codes beschreibt, oder an die Diskurstheorie Michel Foucaults, in der symbolische Ordnung Wissens- und Machtformationen reguliert (Michel Foucault, L’Ordre du discours, Gallimard, 1971) [38].</w:t>
      </w:r>
    </w:p>
    <w:p w14:paraId="0A43F749" w14:textId="77777777" w:rsidR="00FD1390" w:rsidRPr="00966E8C" w:rsidRDefault="00FD1390" w:rsidP="00966E8C">
      <w:r w:rsidRPr="00966E8C">
        <w:t>Im FRZK ordne ich solche Strukturen funktional ein: als kontextgebundene Semantikfelder, die systemintern zugewiesen, stabilisiert und auch modifiziert werden können.</w:t>
      </w:r>
    </w:p>
    <w:p w14:paraId="6C726117" w14:textId="77777777" w:rsidR="00FD1390" w:rsidRPr="00966E8C" w:rsidRDefault="00000000" w:rsidP="00966E8C">
      <w:r>
        <w:pict w14:anchorId="02EBEECB">
          <v:rect id="_x0000_i1057" style="width:0;height:1.5pt" o:hralign="center" o:hrstd="t" o:hr="t" fillcolor="#a0a0a0" stroked="f"/>
        </w:pict>
      </w:r>
    </w:p>
    <w:p w14:paraId="7B03AAAF" w14:textId="77777777" w:rsidR="00FD1390" w:rsidRDefault="00FD1390" w:rsidP="00FD1390">
      <w:pPr>
        <w:pStyle w:val="berschrift3"/>
      </w:pPr>
      <w:r>
        <w:rPr>
          <w:rStyle w:val="Fett"/>
          <w:b/>
          <w:bCs w:val="0"/>
        </w:rPr>
        <w:t>4.6.2 Reflexion als systemische Meta-Operation</w:t>
      </w:r>
    </w:p>
    <w:p w14:paraId="56B7FB2D" w14:textId="77777777" w:rsidR="00FD1390" w:rsidRPr="00966E8C" w:rsidRDefault="00FD1390" w:rsidP="00966E8C">
      <w:r w:rsidRPr="00966E8C">
        <w:t>Ich begreife Reflexion im funktionalen Modell als Operation zweiter Ordnung. Sie wirkt nicht von außen, sondern ist im System selbst als Operator verankert, der sich auf andere Operatoren bezieht. Reflexion beobachtet, bewertet oder transformiert eigene Zuweisungen – sie wird zur Steuerinstanz über semantische Felder, Geltungsstrukturen oder logische Differenzierungen.</w:t>
      </w:r>
    </w:p>
    <w:p w14:paraId="6B2BD412" w14:textId="77777777" w:rsidR="00FD1390" w:rsidRPr="00966E8C" w:rsidRDefault="00FD1390" w:rsidP="00966E8C">
      <w:r w:rsidRPr="00966E8C">
        <w:t>Diese Struktur ist eng verwandt mit systemischen Rekursionen, wie sie etwa in Heinz von</w:t>
      </w:r>
      <w:r>
        <w:t xml:space="preserve"> </w:t>
      </w:r>
      <w:r w:rsidRPr="00966E8C">
        <w:t>Foersters Konzept der zweiten Ordnung Kybernetik vorkommen (Understanding Understanding, Springer, 2003) [39], oder mit Douglas Hofstadters Idee von „strange loops“, also selbstreferenziellen Systemkreisen, die Reflexivität strukturell notwendig machen (Douglas Hofstadter, Gödel, Escher, Bach, Basic Books, 1979) [40].</w:t>
      </w:r>
    </w:p>
    <w:p w14:paraId="0B73B7DE" w14:textId="77777777" w:rsidR="00FD1390" w:rsidRPr="00966E8C" w:rsidRDefault="00FD1390" w:rsidP="00966E8C">
      <w:r w:rsidRPr="00966E8C">
        <w:t>Reflexion ist damit nicht epistemische Randnotiz – sie ist ein funktionaler Akt, der Ordnung durch Modifikation erzeugt.</w:t>
      </w:r>
    </w:p>
    <w:p w14:paraId="716186E7" w14:textId="77777777" w:rsidR="00FD1390" w:rsidRPr="00966E8C" w:rsidRDefault="00000000" w:rsidP="00966E8C">
      <w:r>
        <w:pict w14:anchorId="30348DE1">
          <v:rect id="_x0000_i1058" style="width:0;height:1.5pt" o:hralign="center" o:hrstd="t" o:hr="t" fillcolor="#a0a0a0" stroked="f"/>
        </w:pict>
      </w:r>
    </w:p>
    <w:p w14:paraId="45814228" w14:textId="77777777" w:rsidR="00FD1390" w:rsidRDefault="00FD1390" w:rsidP="00FD1390">
      <w:pPr>
        <w:pStyle w:val="berschrift3"/>
      </w:pPr>
      <w:r>
        <w:rPr>
          <w:rStyle w:val="Fett"/>
          <w:b/>
          <w:bCs w:val="0"/>
        </w:rPr>
        <w:t>4.6.3 Diskurs und Metakognition als Transformationsmechanismen</w:t>
      </w:r>
    </w:p>
    <w:p w14:paraId="0AD3C44A" w14:textId="77777777" w:rsidR="00FD1390" w:rsidRPr="00966E8C" w:rsidRDefault="00FD1390" w:rsidP="00966E8C">
      <w:r w:rsidRPr="00966E8C">
        <w:t>Ich modellierte Diskurs und Metakognition als spezialisierte Meta-Operatoren:</w:t>
      </w:r>
      <w:r w:rsidRPr="00966E8C">
        <w:br/>
        <w:t>Diskurse strukturieren kollektive Bedeutungserzeugung – sie öffnen und schließen semantische Möglichkeitsräume.</w:t>
      </w:r>
      <w:r w:rsidRPr="00966E8C">
        <w:br/>
        <w:t>Metakognition operiert intra-systemisch – sie analysiert, bewertet und modifiziert die eigene kognitive Architektur.</w:t>
      </w:r>
    </w:p>
    <w:p w14:paraId="791DF07E" w14:textId="77777777" w:rsidR="00FD1390" w:rsidRPr="00966E8C" w:rsidRDefault="00FD1390" w:rsidP="00966E8C">
      <w:r w:rsidRPr="00966E8C">
        <w:t>Beide wirken als regelbildende Instanzen, die symbolische Ordnungen nicht nur aufrechterhalten, sondern auch verschieben können.</w:t>
      </w:r>
      <w:r w:rsidRPr="00966E8C">
        <w:br/>
        <w:t>Diskurse „programmieren“ Bedeutung durch Wiederholung, Auslassung oder Polarisierung (vgl. Jürgen Link, Versuch über den Normalismus, Vandenhoeck &amp; Ruprecht, 1996) [41], während metakognitive Schleifen etwa in der Psychologie als Grundlage für Lernen, Umdeutung und Reframing gelten (John Flavell, Metacognition and Cognitive Monitoring, 1979) [42].</w:t>
      </w:r>
    </w:p>
    <w:p w14:paraId="0CA01906" w14:textId="77777777" w:rsidR="00FD1390" w:rsidRPr="00966E8C" w:rsidRDefault="00FD1390" w:rsidP="00966E8C">
      <w:r w:rsidRPr="00966E8C">
        <w:t>Im FRZK erscheinen diese Mechanismen als Operatoren mit direktem Zugriff auf semantische Geltungssysteme – differenzsensibel, reflexiv, dynamisch.</w:t>
      </w:r>
    </w:p>
    <w:p w14:paraId="74ECA968" w14:textId="77777777" w:rsidR="00FD1390" w:rsidRPr="00966E8C" w:rsidRDefault="00000000" w:rsidP="00966E8C">
      <w:r>
        <w:pict w14:anchorId="6B33CA0E">
          <v:rect id="_x0000_i1059" style="width:0;height:1.5pt" o:hralign="center" o:hrstd="t" o:hr="t" fillcolor="#a0a0a0" stroked="f"/>
        </w:pict>
      </w:r>
    </w:p>
    <w:p w14:paraId="7A3313A6" w14:textId="77777777" w:rsidR="00FD1390" w:rsidRDefault="00FD1390" w:rsidP="00FD1390">
      <w:pPr>
        <w:pStyle w:val="berschrift3"/>
      </w:pPr>
      <w:r>
        <w:rPr>
          <w:rStyle w:val="Fett"/>
          <w:b/>
          <w:bCs w:val="0"/>
        </w:rPr>
        <w:t>4.6.4 Transformationslogik im funktionalen Modell</w:t>
      </w:r>
      <w:r>
        <w:t xml:space="preserve"> (neu formuliert und vertieft)</w:t>
      </w:r>
    </w:p>
    <w:p w14:paraId="1485C57D" w14:textId="77777777" w:rsidR="00FD1390" w:rsidRDefault="00FD1390" w:rsidP="00FD1390">
      <w:pPr>
        <w:pStyle w:val="StandardWeb"/>
      </w:pPr>
      <w:r>
        <w:t xml:space="preserve">Im FRZK folgt die Transformierbarkeit symbolischer Ordnungen einer </w:t>
      </w:r>
      <w:r>
        <w:rPr>
          <w:rStyle w:val="Fett"/>
        </w:rPr>
        <w:t>funktional rekonstruierbaren Operatorlogik</w:t>
      </w:r>
      <w:r>
        <w:t xml:space="preserve">. Symbolische Systeme – ob Sprache, Normen oder epistemische Konzepte – werden </w:t>
      </w:r>
      <w:r>
        <w:rPr>
          <w:rStyle w:val="Fett"/>
        </w:rPr>
        <w:t>nicht als feste Strukturen</w:t>
      </w:r>
      <w:r>
        <w:t xml:space="preserve">, sondern als </w:t>
      </w:r>
      <w:r>
        <w:rPr>
          <w:rStyle w:val="Fett"/>
        </w:rPr>
        <w:t>rekonfigurierbare semantische Felder</w:t>
      </w:r>
      <w:r>
        <w:t xml:space="preserve"> modelliert. Diese Felder entstehen durch funktionale Zuweisung, wobei jeder semantische Zustand als Ergebnis eines spezifischen Operatorverhältnisses erscheint. Reflexive Transformation bedeutet in diesem Zusammenhang: </w:t>
      </w:r>
      <w:r>
        <w:rPr>
          <w:rStyle w:val="Fett"/>
        </w:rPr>
        <w:t>Ein Operator höherer Ordnung verändert die Strukturrelationen innerhalb eines bestehenden Bedeutungsfeldes</w:t>
      </w:r>
      <w:r>
        <w:t>.</w:t>
      </w:r>
    </w:p>
    <w:p w14:paraId="6AF5FB63" w14:textId="77777777" w:rsidR="00FD1390" w:rsidRDefault="00FD1390" w:rsidP="00FD1390">
      <w:pPr>
        <w:pStyle w:val="StandardWeb"/>
      </w:pPr>
      <w:r>
        <w:t>Die formale Logik dahinter ist dreistufig:</w:t>
      </w:r>
    </w:p>
    <w:p w14:paraId="79BA00E5" w14:textId="77777777" w:rsidR="00FD1390" w:rsidRDefault="00FD1390" w:rsidP="00FD1390">
      <w:pPr>
        <w:pStyle w:val="StandardWeb"/>
        <w:numPr>
          <w:ilvl w:val="0"/>
          <w:numId w:val="6"/>
        </w:numPr>
      </w:pPr>
      <w:r>
        <w:rPr>
          <w:rStyle w:val="Fett"/>
        </w:rPr>
        <w:t>Differenzidentifikation</w:t>
      </w:r>
      <w:r>
        <w:t xml:space="preserve"> – Das System erkennt strukturelle Spannungen oder Inkonsistenzen innerhalb der bestehenden Ordnung.</w:t>
      </w:r>
    </w:p>
    <w:p w14:paraId="6FC13BD0" w14:textId="77777777" w:rsidR="00FD1390" w:rsidRDefault="00FD1390" w:rsidP="00FD1390">
      <w:pPr>
        <w:pStyle w:val="StandardWeb"/>
        <w:numPr>
          <w:ilvl w:val="0"/>
          <w:numId w:val="6"/>
        </w:numPr>
      </w:pPr>
      <w:r>
        <w:rPr>
          <w:rStyle w:val="Fett"/>
        </w:rPr>
        <w:t>Meta-Zuweisung</w:t>
      </w:r>
      <w:r>
        <w:t xml:space="preserve"> – Ein reflexiver Operator (z. B. Diskurs, Kritik, Ironie, Metakognition) verändert semantische Konfigurationen durch Reframing, Inversion oder Substitution.</w:t>
      </w:r>
    </w:p>
    <w:p w14:paraId="632086AF" w14:textId="77777777" w:rsidR="00FD1390" w:rsidRDefault="00FD1390" w:rsidP="00FD1390">
      <w:pPr>
        <w:pStyle w:val="StandardWeb"/>
        <w:numPr>
          <w:ilvl w:val="0"/>
          <w:numId w:val="6"/>
        </w:numPr>
      </w:pPr>
      <w:r>
        <w:rPr>
          <w:rStyle w:val="Fett"/>
        </w:rPr>
        <w:t>Neustrukturierung</w:t>
      </w:r>
      <w:r>
        <w:t xml:space="preserve"> – Es entsteht eine neue symbolische Ordnung, die rückwirkend die Relevanz, Kohärenz und Anschlussfähigkeit früherer Bedeutungen verändert.</w:t>
      </w:r>
    </w:p>
    <w:p w14:paraId="71DBC59B" w14:textId="77777777" w:rsidR="00FD1390" w:rsidRDefault="00FD1390" w:rsidP="00FD1390">
      <w:pPr>
        <w:pStyle w:val="StandardWeb"/>
      </w:pPr>
      <w:r>
        <w:t xml:space="preserve">Diese Struktur ähnelt </w:t>
      </w:r>
      <w:r>
        <w:rPr>
          <w:rStyle w:val="Fett"/>
        </w:rPr>
        <w:t>rekursiven Ableitungsschritten in formalen Sprachen</w:t>
      </w:r>
      <w:r>
        <w:t xml:space="preserve"> oder </w:t>
      </w:r>
      <w:r>
        <w:rPr>
          <w:rStyle w:val="Fett"/>
        </w:rPr>
        <w:t>Kategorieverschiebungen in kontextsensitiven Grammatiken</w:t>
      </w:r>
      <w:r>
        <w:t xml:space="preserve"> (vgl. Goldblatt, </w:t>
      </w:r>
      <w:r>
        <w:rPr>
          <w:rStyle w:val="Hervorhebung"/>
        </w:rPr>
        <w:t>Topoi</w:t>
      </w:r>
      <w:r>
        <w:t xml:space="preserve">, 2006) [46]. Auch in der Diskurstheorie wird sichtbar, dass Bedeutungsrahmen sich nicht additiv verändern, sondern durch </w:t>
      </w:r>
      <w:r>
        <w:rPr>
          <w:rStyle w:val="Fett"/>
        </w:rPr>
        <w:t>Differenz- und Kontextregeln umstrukturiert</w:t>
      </w:r>
      <w:r>
        <w:t xml:space="preserve"> werden – etwa durch ironische Brechung, ideologische Uminterpretation oder strategische Ambiguität (vgl. Butler, </w:t>
      </w:r>
      <w:r>
        <w:rPr>
          <w:rStyle w:val="Hervorhebung"/>
        </w:rPr>
        <w:t>Excitable Speech</w:t>
      </w:r>
      <w:r>
        <w:t>, 1997) [35].</w:t>
      </w:r>
    </w:p>
    <w:p w14:paraId="1738C9F1" w14:textId="77777777" w:rsidR="00FD1390" w:rsidRDefault="00FD1390" w:rsidP="00FD1390">
      <w:pPr>
        <w:pStyle w:val="StandardWeb"/>
      </w:pPr>
      <w:r>
        <w:t xml:space="preserve">Im funktionalen Modell sind solche Transformationen </w:t>
      </w:r>
      <w:r>
        <w:rPr>
          <w:rStyle w:val="Fett"/>
        </w:rPr>
        <w:t>nicht beliebig</w:t>
      </w:r>
      <w:r>
        <w:t xml:space="preserve">, sondern </w:t>
      </w:r>
      <w:r>
        <w:rPr>
          <w:rStyle w:val="Fett"/>
        </w:rPr>
        <w:t>logisch nachvollziehbare Strukturverschiebungen</w:t>
      </w:r>
      <w:r>
        <w:t xml:space="preserve"> – getrieben von Operatorlogik, kontextueller Sensibilität und systeminterner Bewertungsfunktion.</w:t>
      </w:r>
    </w:p>
    <w:p w14:paraId="78A7D520" w14:textId="77777777" w:rsidR="00FD1390" w:rsidRDefault="00000000" w:rsidP="00FD1390">
      <w:r>
        <w:pict w14:anchorId="69B39A80">
          <v:rect id="_x0000_i1060" style="width:0;height:1.5pt" o:hralign="center" o:hrstd="t" o:hr="t" fillcolor="#a0a0a0" stroked="f"/>
        </w:pict>
      </w:r>
    </w:p>
    <w:p w14:paraId="59A81DC4" w14:textId="77777777" w:rsidR="00FD1390" w:rsidRDefault="00FD1390" w:rsidP="00B70960">
      <w:pPr>
        <w:pStyle w:val="berschrift3"/>
      </w:pPr>
      <w:r>
        <w:rPr>
          <w:rStyle w:val="Fett"/>
          <w:b/>
          <w:bCs w:val="0"/>
        </w:rPr>
        <w:t>4.6.5 Beispielhafte Anwendungsbereiche</w:t>
      </w:r>
      <w:r>
        <w:t xml:space="preserve"> (neu strukturiert und erweitert)</w:t>
      </w:r>
    </w:p>
    <w:p w14:paraId="218ACCD6" w14:textId="77777777" w:rsidR="00FD1390" w:rsidRDefault="00FD1390" w:rsidP="00FD1390">
      <w:pPr>
        <w:pStyle w:val="StandardWeb"/>
      </w:pPr>
      <w:r>
        <w:t xml:space="preserve">Die Funktionalisierung symbolischer Transformation im FRZK erlaubt es, </w:t>
      </w:r>
      <w:r>
        <w:rPr>
          <w:rStyle w:val="Fett"/>
        </w:rPr>
        <w:t>realweltliche Reorganisationsprozesse</w:t>
      </w:r>
      <w:r>
        <w:t xml:space="preserve"> formal abzubilden. Ich will dies exemplarisch an drei systemischen Kontexten verdeutlichen:</w:t>
      </w:r>
    </w:p>
    <w:p w14:paraId="64E0DF0B" w14:textId="77777777" w:rsidR="00FD1390" w:rsidRDefault="00FD1390" w:rsidP="00FD1390">
      <w:pPr>
        <w:pStyle w:val="berschrift4"/>
      </w:pPr>
      <w:r>
        <w:t xml:space="preserve">a) </w:t>
      </w:r>
      <w:r>
        <w:rPr>
          <w:rStyle w:val="Fett"/>
          <w:b w:val="0"/>
          <w:bCs w:val="0"/>
        </w:rPr>
        <w:t>Wissenschaftstheorie: Paradigmenwechsel</w:t>
      </w:r>
    </w:p>
    <w:p w14:paraId="21D996C5" w14:textId="77777777" w:rsidR="00FD1390" w:rsidRDefault="00FD1390" w:rsidP="00FD1390">
      <w:pPr>
        <w:pStyle w:val="StandardWeb"/>
      </w:pPr>
      <w:r>
        <w:t xml:space="preserve">Im Sinne von Thomas S. Kuhn stellen </w:t>
      </w:r>
      <w:r>
        <w:rPr>
          <w:rStyle w:val="Fett"/>
        </w:rPr>
        <w:t>Paradigmenwechsel</w:t>
      </w:r>
      <w:r>
        <w:t xml:space="preserve"> keine linearen Fortschritte dar, sondern </w:t>
      </w:r>
      <w:r>
        <w:rPr>
          <w:rStyle w:val="Fett"/>
        </w:rPr>
        <w:t>strukturelle Brüche im semantischen System der Wissenschaft</w:t>
      </w:r>
      <w:r>
        <w:t xml:space="preserve"> (Kuhn, </w:t>
      </w:r>
      <w:r>
        <w:rPr>
          <w:rStyle w:val="Hervorhebung"/>
        </w:rPr>
        <w:t>Structure of Scientific Revolutions</w:t>
      </w:r>
      <w:r>
        <w:t xml:space="preserve">, 1962) [44]. Begriffe wie „Kraft“, „Raum“ oder „Beobachtung“ werden in einem neuen theoretischen Rahmen </w:t>
      </w:r>
      <w:r>
        <w:rPr>
          <w:rStyle w:val="Fett"/>
        </w:rPr>
        <w:t>neu zugewiesen</w:t>
      </w:r>
      <w:r>
        <w:t>. Im FRZK lässt sich dieser Übergang als Operatorwechsel zweiter Ordnung rekonstruieren: Die wissenschaftliche Reflexion wirkt auf die eigene Begrifflichkeit und erzeugt ein neues Bedeutungsfeld mit anderen Attraktoren.</w:t>
      </w:r>
    </w:p>
    <w:p w14:paraId="3379BB04" w14:textId="77777777" w:rsidR="00FD1390" w:rsidRDefault="00FD1390" w:rsidP="00FD1390">
      <w:pPr>
        <w:pStyle w:val="berschrift4"/>
      </w:pPr>
      <w:r>
        <w:t xml:space="preserve">b) </w:t>
      </w:r>
      <w:r>
        <w:rPr>
          <w:rStyle w:val="Fett"/>
          <w:b w:val="0"/>
          <w:bCs w:val="0"/>
        </w:rPr>
        <w:t>Politik und Gesellschaft: Diskursive Uminterpretationen</w:t>
      </w:r>
    </w:p>
    <w:p w14:paraId="60084BD0" w14:textId="77777777" w:rsidR="00FD1390" w:rsidRDefault="00FD1390" w:rsidP="00FD1390">
      <w:pPr>
        <w:pStyle w:val="StandardWeb"/>
      </w:pPr>
      <w:r>
        <w:t xml:space="preserve">Politische Begriffe wie „Sicherheit“, „Freiheit“ oder „Verantwortung“ unterliegen </w:t>
      </w:r>
      <w:r>
        <w:rPr>
          <w:rStyle w:val="Fett"/>
        </w:rPr>
        <w:t>semantischen Rekodierungen</w:t>
      </w:r>
      <w:r>
        <w:t xml:space="preserve">, etwa durch Populismus, Aktivismus oder staatliche Kommunikation. Diskurse erzeugen hier Bedeutungsverschiebungen, die kollektive Orientierungssysteme tiefgreifend verändern. Das FRZK zeigt: Diese Prozesse sind </w:t>
      </w:r>
      <w:r>
        <w:rPr>
          <w:rStyle w:val="Fett"/>
        </w:rPr>
        <w:t>nicht willkürlich</w:t>
      </w:r>
      <w:r>
        <w:t xml:space="preserve">, sondern lassen sich als </w:t>
      </w:r>
      <w:r>
        <w:rPr>
          <w:rStyle w:val="Fett"/>
        </w:rPr>
        <w:t>Transformationen symbolischer Ordnung unter Wirkung diskursiver Meta-Operatoren</w:t>
      </w:r>
      <w:r>
        <w:t xml:space="preserve"> fassen – sichtbar z. B. im Framing von Klimapolitik, Migration oder technologischer Regulierung (vgl. Lakoff, </w:t>
      </w:r>
      <w:r>
        <w:rPr>
          <w:rStyle w:val="Hervorhebung"/>
        </w:rPr>
        <w:t>Don’t Think of an Elephant</w:t>
      </w:r>
      <w:r>
        <w:t>, 2004) [47].</w:t>
      </w:r>
    </w:p>
    <w:p w14:paraId="39514FB7" w14:textId="77777777" w:rsidR="00FD1390" w:rsidRDefault="00FD1390" w:rsidP="00FD1390">
      <w:pPr>
        <w:pStyle w:val="berschrift4"/>
      </w:pPr>
      <w:r>
        <w:t xml:space="preserve">c) </w:t>
      </w:r>
      <w:r>
        <w:rPr>
          <w:rStyle w:val="Fett"/>
          <w:b w:val="0"/>
          <w:bCs w:val="0"/>
        </w:rPr>
        <w:t>Psychologie und Bildung: Reframing und Kognitionsstruktur</w:t>
      </w:r>
    </w:p>
    <w:p w14:paraId="7F6C018F" w14:textId="77777777" w:rsidR="00FD1390" w:rsidRDefault="00FD1390" w:rsidP="00FD1390">
      <w:pPr>
        <w:pStyle w:val="StandardWeb"/>
      </w:pPr>
      <w:r>
        <w:t xml:space="preserve">In der Kognitionspsychologie gelten </w:t>
      </w:r>
      <w:r>
        <w:rPr>
          <w:rStyle w:val="Fett"/>
        </w:rPr>
        <w:t>Reframing-Prozesse</w:t>
      </w:r>
      <w:r>
        <w:t xml:space="preserve"> als zentrale Technik zur Veränderung dysfunktionaler Denkmuster – etwa in der kognitiven Verhaltenstherapie (vgl. Beck, </w:t>
      </w:r>
      <w:r>
        <w:rPr>
          <w:rStyle w:val="Hervorhebung"/>
        </w:rPr>
        <w:t>Cognitive Therapy</w:t>
      </w:r>
      <w:r>
        <w:t xml:space="preserve">, 1976) [45]. Auch hier handelt es sich um </w:t>
      </w:r>
      <w:r>
        <w:rPr>
          <w:rStyle w:val="Fett"/>
        </w:rPr>
        <w:t>strukturverändernde Operationen</w:t>
      </w:r>
      <w:r>
        <w:t xml:space="preserve">, bei denen bestehende Bedeutungszuschreibungen auf Basis reflexiver Prozesse </w:t>
      </w:r>
      <w:r>
        <w:rPr>
          <w:rStyle w:val="Fett"/>
        </w:rPr>
        <w:t>umcodiert</w:t>
      </w:r>
      <w:r>
        <w:t xml:space="preserve"> werden. Im didaktischen Kontext ermöglicht dies die Entwicklung adaptiver Lernsysteme, die ihre eigenen semantischen Prämissen mitreflektieren und verändern können – ein Schlüssel zur epistemischen Selbststeuerung.</w:t>
      </w:r>
    </w:p>
    <w:p w14:paraId="4683667B" w14:textId="77777777" w:rsidR="00966E8C" w:rsidRDefault="00000000" w:rsidP="00966E8C">
      <w:r>
        <w:pict w14:anchorId="03D96850">
          <v:rect id="_x0000_i1061" style="width:0;height:1.5pt" o:hralign="center" o:hrstd="t" o:hr="t" fillcolor="#a0a0a0" stroked="f"/>
        </w:pict>
      </w:r>
    </w:p>
    <w:p w14:paraId="31145069" w14:textId="77777777" w:rsidR="00946B95" w:rsidRDefault="00946B95" w:rsidP="00946B95">
      <w:pPr>
        <w:pStyle w:val="berschrift2"/>
        <w:rPr>
          <w:sz w:val="36"/>
          <w:szCs w:val="36"/>
        </w:rPr>
      </w:pPr>
      <w:r>
        <w:t>4.6 Transformierbarkeit symbolischer Ordnungen durch Reflexion</w:t>
      </w:r>
    </w:p>
    <w:p w14:paraId="735D877C" w14:textId="77777777" w:rsidR="00946B95" w:rsidRDefault="00946B95" w:rsidP="00946B95">
      <w:pPr>
        <w:pStyle w:val="StandardWeb"/>
      </w:pPr>
      <w:r>
        <w:t>Ich gehe im FRZK davon aus, dass symbolische Ordnungen – also kulturell stabilisierte Systeme von Zeichen, Bedeutungen und Regeln – nicht statisch sind, sondern durch reflexive Operationen systemintern transformierbar bleiben. Reflexion, Diskurs und Metakognition erscheinen dabei nicht als Begleitphänomene, sondern als Operatoren höherer Ordnung, die aktiv in die Struktur symbolischer Systeme eingreifen.</w:t>
      </w:r>
    </w:p>
    <w:p w14:paraId="66239ADA" w14:textId="77777777" w:rsidR="00946B95" w:rsidRDefault="00946B95" w:rsidP="00946B95">
      <w:pPr>
        <w:pStyle w:val="StandardWeb"/>
      </w:pPr>
      <w:r>
        <w:t>Symbolische Ordnung bezieht sich in meinem Modell auf die verknüpfte Struktur von Bedeutungsfeldern, Normen und semantischen Geltungsansprüchen, wie sie in Sprache, Wissenschaft, Technik oder Recht realisiert sind. Im FRZK zeige ich, dass diese Ordnungen weder natürlich gegeben noch unveränderlich sind, sondern als funktionale Felder rekonstruiert werden können – konfigurierbar, verschiebbar, rekontextualisierbar.</w:t>
      </w:r>
    </w:p>
    <w:p w14:paraId="7EF8924E" w14:textId="77777777" w:rsidR="00946B95" w:rsidRDefault="00946B95" w:rsidP="00946B95">
      <w:pPr>
        <w:pStyle w:val="StandardWeb"/>
      </w:pPr>
      <w:r>
        <w:t>Reflexion wird so nicht als psychologischer Zustand, sondern als systemischer Operator modelliert, der bestehende Zuweisungen analysieren, unterbrechen oder restrukturieren kann. Die Vorhersage ist: Systeme mit rekursiver Meta-Struktur erzeugen nicht nur Bedeutung – sie können ihre eigenen Bedeutungsräume funktional umbauen.</w:t>
      </w:r>
    </w:p>
    <w:p w14:paraId="2111B6DE" w14:textId="77777777" w:rsidR="00946B95" w:rsidRDefault="00000000" w:rsidP="00946B95">
      <w:r>
        <w:pict w14:anchorId="18044EF1">
          <v:rect id="_x0000_i1062" style="width:0;height:1.5pt" o:hralign="center" o:hrstd="t" o:hr="t" fillcolor="#a0a0a0" stroked="f"/>
        </w:pict>
      </w:r>
    </w:p>
    <w:p w14:paraId="3FA1384B" w14:textId="77777777" w:rsidR="00946B95" w:rsidRDefault="00946B95" w:rsidP="00946B95">
      <w:pPr>
        <w:pStyle w:val="berschrift3"/>
      </w:pPr>
      <w:r>
        <w:t>4.6.1 Symbolische Ordnung als strukturierende Semantik</w:t>
      </w:r>
    </w:p>
    <w:p w14:paraId="26F96053" w14:textId="77777777" w:rsidR="00946B95" w:rsidRDefault="00946B95" w:rsidP="00946B95">
      <w:pPr>
        <w:pStyle w:val="StandardWeb"/>
      </w:pPr>
      <w:r>
        <w:t>Ich verstehe symbolische Ordnungen als institutionalisierte Bedeutungsräume, die durch soziale, sprachliche oder kognitive Praktiken strukturiert und stabilisiert werden. Diese Ordnungen formen die semantische Grammatik eines Systems – sie definieren, welche Differenzen zählen, welche Kategorien gelten und welche Aussagen legitim erscheinen.</w:t>
      </w:r>
    </w:p>
    <w:p w14:paraId="47F12A24" w14:textId="77777777" w:rsidR="00946B95" w:rsidRDefault="00946B95" w:rsidP="00946B95">
      <w:pPr>
        <w:pStyle w:val="StandardWeb"/>
      </w:pPr>
      <w:r>
        <w:t xml:space="preserve">Damit schließt mein Modell an kultursemiotische Konzepte wie bei Claude Lévi-Strauss an, der Mythen als strukturierende Codes beschreibt, oder an die Diskurstheorie Michel Foucaults, in der symbolische Ordnung Wissens- und Machtformationen reguliert (Michel Foucault, </w:t>
      </w:r>
      <w:r>
        <w:rPr>
          <w:rStyle w:val="Hervorhebung"/>
        </w:rPr>
        <w:t>L’Ordre du discours</w:t>
      </w:r>
      <w:r>
        <w:t>, Paris: Gallimard, 1971, Kap. 1) [37].</w:t>
      </w:r>
    </w:p>
    <w:p w14:paraId="09EA86B1" w14:textId="77777777" w:rsidR="00946B95" w:rsidRDefault="00946B95" w:rsidP="00946B95">
      <w:pPr>
        <w:pStyle w:val="StandardWeb"/>
      </w:pPr>
      <w:r>
        <w:t>Im FRZK ordne ich solche Strukturen funktional ein: als kontextgebundene Semantikfelder, die systemintern zugewiesen, stabilisiert und auch modifiziert werden können.</w:t>
      </w:r>
    </w:p>
    <w:p w14:paraId="053DDF17" w14:textId="77777777" w:rsidR="00946B95" w:rsidRDefault="00000000" w:rsidP="00946B95">
      <w:r>
        <w:pict w14:anchorId="78552753">
          <v:rect id="_x0000_i1063" style="width:0;height:1.5pt" o:hralign="center" o:hrstd="t" o:hr="t" fillcolor="#a0a0a0" stroked="f"/>
        </w:pict>
      </w:r>
    </w:p>
    <w:p w14:paraId="31A41DF8" w14:textId="77777777" w:rsidR="00946B95" w:rsidRDefault="00946B95" w:rsidP="00946B95">
      <w:pPr>
        <w:pStyle w:val="berschrift3"/>
      </w:pPr>
      <w:r>
        <w:t>4.6.2 Reflexion als systemische Meta-Operation</w:t>
      </w:r>
    </w:p>
    <w:p w14:paraId="001E77CF" w14:textId="77777777" w:rsidR="00946B95" w:rsidRDefault="00946B95" w:rsidP="00946B95">
      <w:pPr>
        <w:pStyle w:val="StandardWeb"/>
      </w:pPr>
      <w:r>
        <w:t>Ich begreife Reflexion im funktionalen Modell als Operation zweiter Ordnung. Sie wirkt nicht von außen, sondern ist im System selbst als Operator verankert, der sich auf andere Operatoren bezieht. Reflexion beobachtet, bewertet oder transformiert eigene Zuweisungen – sie wird zur Steuerinstanz über semantische Felder, Geltungsstrukturen oder logische Differenzierungen.</w:t>
      </w:r>
    </w:p>
    <w:p w14:paraId="2BE6E2F8" w14:textId="77777777" w:rsidR="00946B95" w:rsidRDefault="00946B95" w:rsidP="00946B95">
      <w:pPr>
        <w:pStyle w:val="StandardWeb"/>
      </w:pPr>
      <w:r>
        <w:t>Diese Struktur ist eng verwandt mit systemischen Rekursionen, wie sie etwa in Heinz von Foersters Konzept der Kybernetik zweiter Ordnung auftauchen (</w:t>
      </w:r>
      <w:r>
        <w:rPr>
          <w:rStyle w:val="Hervorhebung"/>
        </w:rPr>
        <w:t>Understanding Understanding: Essays on Cybernetics and Cognition</w:t>
      </w:r>
      <w:r>
        <w:t>, New York: Springer, 2003, S. 15–25) [20], oder mit Douglas Hofstadters Idee von „strange loops“, also selbstreferenziellen Systemkreisen, die Reflexivität strukturell notwendig machen (</w:t>
      </w:r>
      <w:r>
        <w:rPr>
          <w:rStyle w:val="Hervorhebung"/>
        </w:rPr>
        <w:t>Gödel, Escher, Bach: An Eternal Golden Braid</w:t>
      </w:r>
      <w:r>
        <w:t>, New York: Basic Books, 1979, Kap. 20) [19].</w:t>
      </w:r>
    </w:p>
    <w:p w14:paraId="539E025C" w14:textId="77777777" w:rsidR="00946B95" w:rsidRDefault="00946B95" w:rsidP="00946B95">
      <w:pPr>
        <w:pStyle w:val="StandardWeb"/>
      </w:pPr>
      <w:r>
        <w:t>Reflexion ist damit nicht epistemische Randnotiz – sie ist ein funktionaler Akt, der Ordnung durch Modifikation erzeugt.</w:t>
      </w:r>
    </w:p>
    <w:p w14:paraId="6FCD6979" w14:textId="77777777" w:rsidR="00946B95" w:rsidRDefault="00000000" w:rsidP="00946B95">
      <w:r>
        <w:pict w14:anchorId="75D288B2">
          <v:rect id="_x0000_i1064" style="width:0;height:1.5pt" o:hralign="center" o:hrstd="t" o:hr="t" fillcolor="#a0a0a0" stroked="f"/>
        </w:pict>
      </w:r>
    </w:p>
    <w:p w14:paraId="36542FEF" w14:textId="77777777" w:rsidR="00946B95" w:rsidRDefault="00946B95" w:rsidP="00946B95">
      <w:pPr>
        <w:pStyle w:val="berschrift3"/>
      </w:pPr>
      <w:r>
        <w:t>4.6.3 Diskurs und Metakognition als Transformationsmechanismen</w:t>
      </w:r>
    </w:p>
    <w:p w14:paraId="56BFA9BB" w14:textId="77777777" w:rsidR="00946B95" w:rsidRDefault="00946B95" w:rsidP="00946B95">
      <w:pPr>
        <w:pStyle w:val="StandardWeb"/>
      </w:pPr>
      <w:r>
        <w:t>Ich modellierte Diskurs und Metakognition als spezialisierte Meta-Operatoren: Diskurse strukturieren kollektive Bedeutungserzeugung – sie öffnen und schließen semantische Möglichkeitsräume. Metakognition operiert intra-systemisch – sie analysiert, bewertet und modifiziert die eigene kognitive Architektur.</w:t>
      </w:r>
    </w:p>
    <w:p w14:paraId="11DF56D5" w14:textId="77777777" w:rsidR="00946B95" w:rsidRDefault="00946B95" w:rsidP="00946B95">
      <w:pPr>
        <w:pStyle w:val="StandardWeb"/>
      </w:pPr>
      <w:r>
        <w:t>Beide wirken als regelbildende Instanzen, die symbolische Ordnungen nicht nur aufrechterhalten, sondern auch verschieben können. Diskurse „programmieren“ Bedeutung durch Wiederholung, Auslassung oder Polarisierung – wie Jürgen Link in seiner Theorie des „Normalismus“ überzeugend darlegt (</w:t>
      </w:r>
      <w:r>
        <w:rPr>
          <w:rStyle w:val="Hervorhebung"/>
        </w:rPr>
        <w:t>Versuch über den Normalismus</w:t>
      </w:r>
      <w:r>
        <w:t>, Göttingen: Vandenhoeck &amp; Ruprecht, 1996, S. 41–59) [38].</w:t>
      </w:r>
    </w:p>
    <w:p w14:paraId="4012F26F" w14:textId="77777777" w:rsidR="00946B95" w:rsidRDefault="00946B95" w:rsidP="00946B95">
      <w:pPr>
        <w:pStyle w:val="StandardWeb"/>
      </w:pPr>
      <w:r>
        <w:t xml:space="preserve">Metakognitive Schleifen gelten in der Psychologie als Grundlage für Lernen, Umdeutung und Reframing – insbesondere im Kontext der kognitiven Entwicklung und Selbststeuerung (John H. Flavell, </w:t>
      </w:r>
      <w:r>
        <w:rPr>
          <w:rStyle w:val="Hervorhebung"/>
        </w:rPr>
        <w:t>Metacognition and Cognitive Monitoring</w:t>
      </w:r>
      <w:r>
        <w:t xml:space="preserve">, in: </w:t>
      </w:r>
      <w:r>
        <w:rPr>
          <w:rStyle w:val="Hervorhebung"/>
        </w:rPr>
        <w:t>American Psychologist</w:t>
      </w:r>
      <w:r>
        <w:t>, 34(10), 1979, S. 906–911) [39].</w:t>
      </w:r>
    </w:p>
    <w:p w14:paraId="31EB69FC" w14:textId="77777777" w:rsidR="00946B95" w:rsidRDefault="00946B95" w:rsidP="00946B95">
      <w:pPr>
        <w:pStyle w:val="StandardWeb"/>
      </w:pPr>
      <w:r>
        <w:t>Im FRZK erscheinen diese Mechanismen als Operatoren mit direktem Zugriff auf semantische Geltungssysteme – differenzsensibel, reflexiv, dynamisch.</w:t>
      </w:r>
    </w:p>
    <w:p w14:paraId="2F4DC456" w14:textId="77777777" w:rsidR="00946B95" w:rsidRDefault="00000000" w:rsidP="00946B95">
      <w:r>
        <w:pict w14:anchorId="28D30416">
          <v:rect id="_x0000_i1065" style="width:0;height:1.5pt" o:hralign="center" o:hrstd="t" o:hr="t" fillcolor="#a0a0a0" stroked="f"/>
        </w:pict>
      </w:r>
    </w:p>
    <w:p w14:paraId="5571DE46" w14:textId="77777777" w:rsidR="00946B95" w:rsidRDefault="00946B95" w:rsidP="00946B95">
      <w:pPr>
        <w:pStyle w:val="berschrift3"/>
      </w:pPr>
      <w:r>
        <w:t>4.6.4 Transformationslogik im funktionalen Modell</w:t>
      </w:r>
    </w:p>
    <w:p w14:paraId="0C6904C4" w14:textId="77777777" w:rsidR="00946B95" w:rsidRDefault="00946B95" w:rsidP="00946B95">
      <w:pPr>
        <w:pStyle w:val="StandardWeb"/>
      </w:pPr>
      <w:r>
        <w:t>Im FRZK folgt die Transformierbarkeit symbolischer Ordnungen einer funktional rekonstruierbaren Operatorlogik. Symbolische Systeme – ob Sprache, Normen oder epistemische Konzepte – werden nicht als feste Strukturen, sondern als rekonfigurierbare semantische Felder modelliert. Diese Felder entstehen durch funktionale Zuweisung, wobei jeder semantische Zustand als Ergebnis eines spezifischen Operatorverhältnisses erscheint. Reflexive Transformation bedeutet in diesem Zusammenhang: Ein Operator höherer Ordnung verändert die Strukturrelationen innerhalb eines bestehenden Bedeutungsfeldes.</w:t>
      </w:r>
    </w:p>
    <w:p w14:paraId="33E884CF" w14:textId="77777777" w:rsidR="00946B95" w:rsidRDefault="00946B95" w:rsidP="00946B95">
      <w:pPr>
        <w:pStyle w:val="StandardWeb"/>
      </w:pPr>
      <w:r>
        <w:t>Die formale Logik dahinter ist dreistufig:</w:t>
      </w:r>
    </w:p>
    <w:p w14:paraId="7A3BB61D" w14:textId="77777777" w:rsidR="00946B95" w:rsidRDefault="00946B95" w:rsidP="00946B95">
      <w:pPr>
        <w:pStyle w:val="StandardWeb"/>
        <w:numPr>
          <w:ilvl w:val="0"/>
          <w:numId w:val="18"/>
        </w:numPr>
      </w:pPr>
      <w:r>
        <w:rPr>
          <w:rStyle w:val="Fett"/>
        </w:rPr>
        <w:t>Differenzidentifikation</w:t>
      </w:r>
      <w:r>
        <w:t xml:space="preserve"> – Das System erkennt strukturelle Spannungen oder Inkonsistenzen innerhalb der bestehenden Ordnung.</w:t>
      </w:r>
    </w:p>
    <w:p w14:paraId="5FC66A39" w14:textId="77777777" w:rsidR="00946B95" w:rsidRDefault="00946B95" w:rsidP="00946B95">
      <w:pPr>
        <w:pStyle w:val="StandardWeb"/>
        <w:numPr>
          <w:ilvl w:val="0"/>
          <w:numId w:val="18"/>
        </w:numPr>
      </w:pPr>
      <w:r>
        <w:rPr>
          <w:rStyle w:val="Fett"/>
        </w:rPr>
        <w:t>Meta-Zuweisung</w:t>
      </w:r>
      <w:r>
        <w:t xml:space="preserve"> – Ein reflexiver Operator (z. B. Diskurs, Kritik, Ironie, Metakognition) verändert semantische Konfigurationen durch Reframing, Inversion oder Substitution.</w:t>
      </w:r>
    </w:p>
    <w:p w14:paraId="59E5F7EE" w14:textId="77777777" w:rsidR="00946B95" w:rsidRDefault="00946B95" w:rsidP="00946B95">
      <w:pPr>
        <w:pStyle w:val="StandardWeb"/>
        <w:numPr>
          <w:ilvl w:val="0"/>
          <w:numId w:val="18"/>
        </w:numPr>
      </w:pPr>
      <w:r>
        <w:rPr>
          <w:rStyle w:val="Fett"/>
        </w:rPr>
        <w:t>Neustrukturierung</w:t>
      </w:r>
      <w:r>
        <w:t xml:space="preserve"> – Es entsteht eine neue symbolische Ordnung, die rückwirkend die Relevanz, Kohärenz und Anschlussfähigkeit früherer Bedeutungen verändert.</w:t>
      </w:r>
    </w:p>
    <w:p w14:paraId="66653C87" w14:textId="77777777" w:rsidR="00946B95" w:rsidRDefault="00946B95" w:rsidP="00946B95">
      <w:pPr>
        <w:pStyle w:val="StandardWeb"/>
      </w:pPr>
      <w:r>
        <w:t>Diese Struktur ähnelt rekursiven Ableitungsschritten in formalen Sprachen oder Kategorieverschiebungen in kontextsensitiven Grammatiken – ein Modellansatz, der sich in der kategorialen Logik von Robert Goldblatt wiederfindet (</w:t>
      </w:r>
      <w:r>
        <w:rPr>
          <w:rStyle w:val="Hervorhebung"/>
        </w:rPr>
        <w:t>Topoi: The Categorial Analysis of Logic</w:t>
      </w:r>
      <w:r>
        <w:t>, New York: Dover Publications, 2006, Kap. 3) [12].</w:t>
      </w:r>
    </w:p>
    <w:p w14:paraId="54CFE36E" w14:textId="77777777" w:rsidR="00946B95" w:rsidRDefault="00946B95" w:rsidP="00946B95">
      <w:pPr>
        <w:pStyle w:val="StandardWeb"/>
      </w:pPr>
      <w:r>
        <w:t xml:space="preserve">Auch in der Diskurstheorie wird sichtbar, dass Bedeutungsrahmen sich nicht additiv verändern, sondern durch Differenz- und Kontextregeln umstrukturiert werden – etwa durch ironische Brechung, ideologische Uminterpretation oder strategische Ambiguität (Judith Butler, </w:t>
      </w:r>
      <w:r>
        <w:rPr>
          <w:rStyle w:val="Hervorhebung"/>
        </w:rPr>
        <w:t>Excitable Speech: A Politics of the Performative</w:t>
      </w:r>
      <w:r>
        <w:t>, New York: Routledge, 1997, Kap. 2) [35].</w:t>
      </w:r>
    </w:p>
    <w:p w14:paraId="4654CB60" w14:textId="77777777" w:rsidR="00946B95" w:rsidRDefault="00946B95" w:rsidP="00946B95">
      <w:pPr>
        <w:pStyle w:val="StandardWeb"/>
      </w:pPr>
      <w:r>
        <w:t>Im funktionalen Modell sind solche Transformationen nicht beliebig, sondern logisch nachvollziehbare Strukturverschiebungen – getrieben von Operatorlogik, kontextueller Sensibilität und systeminterner Bewertungsfunktion.</w:t>
      </w:r>
    </w:p>
    <w:p w14:paraId="3E0B089A" w14:textId="77777777" w:rsidR="00946B95" w:rsidRDefault="00000000" w:rsidP="00946B95">
      <w:r>
        <w:pict w14:anchorId="4250775D">
          <v:rect id="_x0000_i1066" style="width:0;height:1.5pt" o:hralign="center" o:hrstd="t" o:hr="t" fillcolor="#a0a0a0" stroked="f"/>
        </w:pict>
      </w:r>
    </w:p>
    <w:p w14:paraId="4855D6E8" w14:textId="77777777" w:rsidR="00946B95" w:rsidRDefault="00946B95" w:rsidP="00946B95">
      <w:pPr>
        <w:pStyle w:val="berschrift3"/>
      </w:pPr>
      <w:r>
        <w:t>4.6.5 Beispielhafte Anwendungsbereiche</w:t>
      </w:r>
    </w:p>
    <w:p w14:paraId="20226FC1" w14:textId="77777777" w:rsidR="00946B95" w:rsidRDefault="00946B95" w:rsidP="00946B95">
      <w:pPr>
        <w:pStyle w:val="StandardWeb"/>
      </w:pPr>
      <w:r>
        <w:t>Die Funktionalisierung symbolischer Transformation im FRZK erlaubt es, realweltliche Reorganisationsprozesse formal abzubilden. Ich will dies exemplarisch an drei systemischen Kontexten verdeutlichen:</w:t>
      </w:r>
    </w:p>
    <w:p w14:paraId="6426010C" w14:textId="77777777" w:rsidR="00946B95" w:rsidRDefault="00946B95" w:rsidP="00946B95">
      <w:pPr>
        <w:pStyle w:val="StandardWeb"/>
      </w:pPr>
      <w:r>
        <w:rPr>
          <w:rStyle w:val="Fett"/>
        </w:rPr>
        <w:t>a) Wissenschaftstheorie – Paradigmenwechsel:</w:t>
      </w:r>
      <w:r>
        <w:br/>
        <w:t>Im Sinne von Thomas S. Kuhn stellen Paradigmenwechsel keine linearen Fortschritte dar, sondern strukturelle Brüche im semantischen System der Wissenschaft (</w:t>
      </w:r>
      <w:r>
        <w:rPr>
          <w:rStyle w:val="Hervorhebung"/>
        </w:rPr>
        <w:t>The Structure of Scientific Revolutions</w:t>
      </w:r>
      <w:r>
        <w:t>, Chicago: University of Chicago Press, 1962, Kap. IX) [40]. Begriffe wie „Kraft“, „Raum“ oder „Beobachtung“ werden in einem neuen theoretischen Rahmen neu zugewiesen. Im FRZK lässt sich dieser Übergang als Operatorwechsel zweiter Ordnung rekonstruieren.</w:t>
      </w:r>
    </w:p>
    <w:p w14:paraId="21032392" w14:textId="77777777" w:rsidR="00946B95" w:rsidRDefault="00946B95" w:rsidP="00946B95">
      <w:pPr>
        <w:pStyle w:val="StandardWeb"/>
      </w:pPr>
      <w:r>
        <w:rPr>
          <w:rStyle w:val="Fett"/>
        </w:rPr>
        <w:t>b) Politik und Gesellschaft – Diskursive Uminterpretationen:</w:t>
      </w:r>
      <w:r>
        <w:br/>
        <w:t xml:space="preserve">Politische Begriffe wie „Sicherheit“, „Freiheit“ oder „Verantwortung“ unterliegen semantischen Rekodierungen, etwa durch Populismus, Aktivismus oder strategische Narrative. Diskurse erzeugen hier Bedeutungsverschiebungen, die kollektive Orientierungssysteme tiefgreifend verändern. Das FRZK zeigt: Diese Prozesse sind rekonstruierbar – etwa im Framing politischer Botschaften (George Lakoff, </w:t>
      </w:r>
      <w:r>
        <w:rPr>
          <w:rStyle w:val="Hervorhebung"/>
        </w:rPr>
        <w:t>Don’t Think of an Elephant!</w:t>
      </w:r>
      <w:r>
        <w:t>, White River Junction, VT: Chelsea Green Publishing, 2004, S. 3–18) [42].</w:t>
      </w:r>
    </w:p>
    <w:p w14:paraId="10785555" w14:textId="77777777" w:rsidR="00946B95" w:rsidRDefault="00946B95" w:rsidP="00946B95">
      <w:pPr>
        <w:pStyle w:val="StandardWeb"/>
      </w:pPr>
      <w:r>
        <w:rPr>
          <w:rStyle w:val="Fett"/>
        </w:rPr>
        <w:t>c) Psychologie und Bildung – Reframing und Kognitionsstruktur:</w:t>
      </w:r>
      <w:r>
        <w:br/>
        <w:t>In der Kognitionspsychologie gelten Reframing-Prozesse als zentrale Technik zur Veränderung dysfunktionaler Denkmuster, etwa in der kognitiven Verhaltenstherapie (</w:t>
      </w:r>
      <w:r>
        <w:rPr>
          <w:rStyle w:val="Hervorhebung"/>
        </w:rPr>
        <w:t>Aaron T. Beck, Cognitive Therapy and the Emotional Disorders</w:t>
      </w:r>
      <w:r>
        <w:t>, New York: International Universities Press, 1976, Kap. 7) [41]. Auch hier handelt es sich um strukturverändernde Operationen, die durch systemische Selbstreflexion eingeleitet werden – ein Prozess, den das FRZK formalisiert.</w:t>
      </w:r>
    </w:p>
    <w:p w14:paraId="736E67AE" w14:textId="77777777" w:rsidR="00946B95" w:rsidRDefault="00000000" w:rsidP="00946B95">
      <w:r>
        <w:pict w14:anchorId="24000D8B">
          <v:rect id="_x0000_i1067" style="width:0;height:1.5pt" o:hralign="center" o:hrstd="t" o:hr="t" fillcolor="#a0a0a0" stroked="f"/>
        </w:pict>
      </w:r>
    </w:p>
    <w:p w14:paraId="235F29E6" w14:textId="77777777" w:rsidR="00722323" w:rsidRPr="00722323" w:rsidRDefault="00A926CA" w:rsidP="00722323">
      <w:pPr>
        <w:pStyle w:val="berschrift2"/>
        <w:rPr>
          <w:rStyle w:val="berschrift2Zchn"/>
          <w:b/>
        </w:rPr>
      </w:pPr>
      <w:r w:rsidRPr="00722323">
        <w:rPr>
          <w:rStyle w:val="berschrift2Zchn"/>
          <w:b/>
        </w:rPr>
        <w:t>4.7 Ko-evolutionäre Natur von semantischer und kultureller Entwicklung</w:t>
      </w:r>
    </w:p>
    <w:p w14:paraId="1DAF0850" w14:textId="1CF47D23" w:rsidR="00A926CA" w:rsidRDefault="00A926CA" w:rsidP="00A926CA">
      <w:pPr>
        <w:pStyle w:val="StandardWeb"/>
      </w:pPr>
      <w:r>
        <w:t>Ich betrachte im FRZK semantische und kulturelle Prozesse nicht als getrennte Phänomene, sondern als wechselseitig strukturierende Systeme, die sich in rekursiver Kopplung entwickeln. Mein Modell geht davon aus, dass Bedeutungsräume und kulturelle Praktiken nicht isoliert, sondern ko-evolutionär organisiert sind – sie formen und transformieren sich gegenseitig durch kontinuierliche Wechselwirkungen.</w:t>
      </w:r>
      <w:r>
        <w:br/>
        <w:t>Diese Vorhersage impliziert: Semantik und Kultur sind keine Sphären mit festen Grenzen, sondern dynamische Kopplungsfelder, deren gemeinsame Entwicklung strukturell modellierbar ist.</w:t>
      </w:r>
    </w:p>
    <w:p w14:paraId="5EDE9457" w14:textId="77777777" w:rsidR="00A926CA" w:rsidRDefault="00000000" w:rsidP="00A926CA">
      <w:r>
        <w:pict w14:anchorId="0CBE04AB">
          <v:rect id="_x0000_i1068" style="width:0;height:1.5pt" o:hralign="center" o:hrstd="t" o:hr="t" fillcolor="#a0a0a0" stroked="f"/>
        </w:pict>
      </w:r>
    </w:p>
    <w:p w14:paraId="3B8D4C95" w14:textId="77777777" w:rsidR="00722323" w:rsidRPr="00722323" w:rsidRDefault="00A926CA" w:rsidP="00722323">
      <w:pPr>
        <w:pStyle w:val="berschrift3"/>
        <w:rPr>
          <w:rStyle w:val="Fett"/>
          <w:b/>
          <w:bCs w:val="0"/>
        </w:rPr>
      </w:pPr>
      <w:r w:rsidRPr="00722323">
        <w:rPr>
          <w:rStyle w:val="Fett"/>
          <w:b/>
          <w:bCs w:val="0"/>
        </w:rPr>
        <w:t>4.7.1 Kulturelle Systeme als semantische Felder</w:t>
      </w:r>
    </w:p>
    <w:p w14:paraId="1BEDBF0D" w14:textId="3AC584AB" w:rsidR="00A926CA" w:rsidRDefault="00A926CA" w:rsidP="00A926CA">
      <w:pPr>
        <w:pStyle w:val="StandardWeb"/>
      </w:pPr>
      <w:r>
        <w:t>Ich verstehe kulturelle Systeme im FRZK als emergente semantische Felder, die durch wiederkehrende symbolische Zuweisungen, narrative Strukturen und performative Praktiken erzeugt werden. Kultur entsteht hier nicht als äußerer Kontext, sondern als intern generierter Bedeutungsraum – gebildet durch Akteursfunktionen, Diskurse, institutionelle Praktiken und semantische Attraktoren.</w:t>
      </w:r>
      <w:r>
        <w:br/>
        <w:t>Diese Perspektive knüpft an systemische Kulturmodelle an, wie sie etwa von Clifford Geertz formuliert wurden, der Kultur als „System von Bedeutungen“ begreift, die symbolisch erzeugt und sozial getragen werden (Geertz, C. (1973) [35]. Im FRZK beschreibe ich diese Prozesse funktional: Kultur ist eine strukturierte Ordnungsbildung innerhalb eines dynamischen Feldes operativer Zuweisung.</w:t>
      </w:r>
    </w:p>
    <w:p w14:paraId="0AC7095A" w14:textId="77777777" w:rsidR="00A926CA" w:rsidRDefault="00000000" w:rsidP="00A926CA">
      <w:r>
        <w:pict w14:anchorId="70C5BE3A">
          <v:rect id="_x0000_i1069" style="width:0;height:1.5pt" o:hralign="center" o:hrstd="t" o:hr="t" fillcolor="#a0a0a0" stroked="f"/>
        </w:pict>
      </w:r>
    </w:p>
    <w:p w14:paraId="1EECE799" w14:textId="77777777" w:rsidR="00722323" w:rsidRPr="00722323" w:rsidRDefault="00A926CA" w:rsidP="00722323">
      <w:pPr>
        <w:pStyle w:val="berschrift3"/>
        <w:rPr>
          <w:rStyle w:val="Fett"/>
          <w:b/>
          <w:bCs w:val="0"/>
        </w:rPr>
      </w:pPr>
      <w:r w:rsidRPr="00722323">
        <w:rPr>
          <w:rStyle w:val="Fett"/>
          <w:b/>
          <w:bCs w:val="0"/>
        </w:rPr>
        <w:t>4.7.2 Ko-Evolution als wechselseitige Strukturmodifikation</w:t>
      </w:r>
    </w:p>
    <w:p w14:paraId="10BE7AF2" w14:textId="467F5BAD" w:rsidR="00A926CA" w:rsidRDefault="00A926CA" w:rsidP="00A926CA">
      <w:pPr>
        <w:pStyle w:val="StandardWeb"/>
      </w:pPr>
      <w:r>
        <w:br/>
        <w:t>Ich prognostiziere, dass sich kulturelle und semantische Systeme ko-evolutionär verändern. Dabei handelt es sich nicht um bloße Parallelentwicklung, sondern um reziproke strukturelle Modifikation:</w:t>
      </w:r>
      <w:r>
        <w:br/>
        <w:t>• Semantische Zuweisungen prägen kulturelle Institutionen,</w:t>
      </w:r>
      <w:r>
        <w:br/>
        <w:t>• kulturelle Praktiken reorganisieren semantische Felder.</w:t>
      </w:r>
      <w:r>
        <w:br/>
        <w:t xml:space="preserve">Dieser Ansatz findet interdisziplinär Anschluss – etwa in der Technikfolgenforschung, wo gesellschaftliche Leitbilder und technologische Artefakte wechselseitig aufeinander wirken (Nissen, M. (2019): </w:t>
      </w:r>
      <w:r>
        <w:rPr>
          <w:rStyle w:val="Hervorhebung"/>
        </w:rPr>
        <w:t>Ko-Evolutionärer Wandel zwischen Technik, Organisation und Kultur</w:t>
      </w:r>
      <w:r>
        <w:t xml:space="preserve">. In: </w:t>
      </w:r>
      <w:r>
        <w:rPr>
          <w:rStyle w:val="Hervorhebung"/>
        </w:rPr>
        <w:t>Technikfolgenabschätzung – Theorie und Praxis</w:t>
      </w:r>
      <w:r>
        <w:t xml:space="preserve"> (TATuP), 28(1), 4–10) [43]. Auch in der Kognitionswissenschaft werden sprachliche Repräsentationen als formative Kräfte gesellschaftlicher Selbststrukturierung betrachtet – insbeso...</w:t>
      </w:r>
      <w:r>
        <w:br/>
        <w:t>Ko-Evolution bedeutet im FRZK: Es gibt keine statische Ordnung, sondern nur funktionale Kopplung, Differenzbildung und Transformation.</w:t>
      </w:r>
    </w:p>
    <w:p w14:paraId="767F40B2" w14:textId="77777777" w:rsidR="00A926CA" w:rsidRDefault="00000000" w:rsidP="00A926CA">
      <w:r>
        <w:pict w14:anchorId="6D1FBA6B">
          <v:rect id="_x0000_i1070" style="width:0;height:1.5pt" o:hralign="center" o:hrstd="t" o:hr="t" fillcolor="#a0a0a0" stroked="f"/>
        </w:pict>
      </w:r>
    </w:p>
    <w:p w14:paraId="49981FEE" w14:textId="77777777" w:rsidR="00722323" w:rsidRPr="00722323" w:rsidRDefault="00A926CA" w:rsidP="00722323">
      <w:pPr>
        <w:pStyle w:val="berschrift3"/>
        <w:rPr>
          <w:rStyle w:val="Fett"/>
          <w:b/>
          <w:bCs w:val="0"/>
        </w:rPr>
      </w:pPr>
      <w:r w:rsidRPr="00722323">
        <w:rPr>
          <w:rStyle w:val="Fett"/>
          <w:b/>
          <w:bCs w:val="0"/>
        </w:rPr>
        <w:t>4.7.3 Modellierung durch funktionale Kopplung</w:t>
      </w:r>
    </w:p>
    <w:p w14:paraId="0AE1E201" w14:textId="017D93B4" w:rsidR="00A926CA" w:rsidRDefault="00A926CA" w:rsidP="00A926CA">
      <w:pPr>
        <w:pStyle w:val="StandardWeb"/>
      </w:pPr>
      <w:r>
        <w:br/>
        <w:t>Im funktionalen Modell beschreibe ich Ko-Evolution als strukturierte Kopplung zweier Operatorräume:</w:t>
      </w:r>
    </w:p>
    <w:p w14:paraId="16A8053A" w14:textId="77777777" w:rsidR="00A926CA" w:rsidRDefault="00A926CA" w:rsidP="00A926CA">
      <w:pPr>
        <w:pStyle w:val="StandardWeb"/>
        <w:numPr>
          <w:ilvl w:val="0"/>
          <w:numId w:val="23"/>
        </w:numPr>
      </w:pPr>
      <w:r>
        <w:t>Ein Raum semantischer Feldlogik (z. B. Sprachgebrauch, symbolische Differenzierung),</w:t>
      </w:r>
    </w:p>
    <w:p w14:paraId="46DD32C6" w14:textId="77777777" w:rsidR="00A926CA" w:rsidRDefault="00A926CA" w:rsidP="00A926CA">
      <w:pPr>
        <w:pStyle w:val="StandardWeb"/>
        <w:numPr>
          <w:ilvl w:val="0"/>
          <w:numId w:val="23"/>
        </w:numPr>
      </w:pPr>
      <w:r>
        <w:t>Ein Raum kultureller Repräsentationspraxis (z. B. Rituale, Medien, Institutionen).</w:t>
      </w:r>
      <w:r>
        <w:br/>
        <w:t>Diese Räume sind kopplungsfähig, wenn Veränderungen im einen systematisch Transformationen im anderen auslösen. Beispiele reichen von medial induzierten Diskursverschiebungen bis zu bildungspolitischen Reformen, die neue Begriffe erzeugen – und damit Rückwirkungen auf kulturelle Ordnungssysteme initiieren.</w:t>
      </w:r>
      <w:r>
        <w:br/>
        <w:t xml:space="preserve">Die Kopplung ist nicht linear: Sie erfolgt nichttrivial, dynamisch und rückbezüglich – vergleichbar mit den Strukturen autopoietischer Systeme (Luhmann, N. (1997): </w:t>
      </w:r>
      <w:r>
        <w:rPr>
          <w:rStyle w:val="Hervorhebung"/>
        </w:rPr>
        <w:t>Die Gesellschaft der Gesellschaft</w:t>
      </w:r>
      <w:r>
        <w:t>. Frankfurt am Main: Suhrkamp, Bd. 1, Kap. 3) [44].</w:t>
      </w:r>
    </w:p>
    <w:p w14:paraId="2EF1B251" w14:textId="77777777" w:rsidR="00A926CA" w:rsidRDefault="00000000" w:rsidP="00A926CA">
      <w:r>
        <w:pict w14:anchorId="753F84BE">
          <v:rect id="_x0000_i1071" style="width:0;height:1.5pt" o:hralign="center" o:hrstd="t" o:hr="t" fillcolor="#a0a0a0" stroked="f"/>
        </w:pict>
      </w:r>
    </w:p>
    <w:p w14:paraId="0278932E" w14:textId="77777777" w:rsidR="00722323" w:rsidRPr="00722323" w:rsidRDefault="00A926CA" w:rsidP="00722323">
      <w:pPr>
        <w:pStyle w:val="berschrift3"/>
        <w:rPr>
          <w:rStyle w:val="Fett"/>
          <w:b/>
          <w:bCs w:val="0"/>
        </w:rPr>
      </w:pPr>
      <w:r w:rsidRPr="00722323">
        <w:rPr>
          <w:rStyle w:val="Fett"/>
          <w:b/>
          <w:bCs w:val="0"/>
        </w:rPr>
        <w:t>4.7.4 Anschluss an interdisziplinäre Ko-Evolutionsmodelle</w:t>
      </w:r>
    </w:p>
    <w:p w14:paraId="0952A5D8" w14:textId="2BB2B939" w:rsidR="00A926CA" w:rsidRDefault="00A926CA" w:rsidP="00A926CA">
      <w:pPr>
        <w:pStyle w:val="StandardWeb"/>
      </w:pPr>
      <w:r>
        <w:br/>
        <w:t>Das FRZK integriert und formalisiert Erkenntnisse aus verschiedenen Disziplinen, in denen Ko-Evolution als analytisches Instrument etabliert ist:</w:t>
      </w:r>
      <w:r>
        <w:br/>
        <w:t xml:space="preserve">• In der Evolutionsökonomik beschreibt Ko-Evolution den wechselseitigen Wandel von Technologie, Institutionen und Märkten (Nelson, R. R. &amp; Winter, S. G. (1982): </w:t>
      </w:r>
      <w:r>
        <w:rPr>
          <w:rStyle w:val="Hervorhebung"/>
        </w:rPr>
        <w:t>An Evolutionary Theory of Economic Change</w:t>
      </w:r>
      <w:r>
        <w:t>. Cambridge, MA: Harvard University Press, Kap. 2) [45].</w:t>
      </w:r>
      <w:r>
        <w:br/>
        <w:t>• In der Technikfolgenabschätzung dient der Begriff zur Beschreibung struktureller Rückkopplungen zwischen sozialen Werten, kulturellen Praktiken und technischen Artefakten.</w:t>
      </w:r>
      <w:r>
        <w:br/>
        <w:t>• In der Kognitionswissenschaft wird untersucht, wie semantische Innovationen gesellschaftliche Praktiken neu ordnen und neue symbolische Rahmen schaffen.</w:t>
      </w:r>
      <w:r>
        <w:br/>
        <w:t>Das FRZK bietet hier ein formalisiertes Bezugssystem, das nicht nur diese Dynamiken qualitativ beschreibt, sondern strukturell modellierbar macht – als Operatorrelationen mit definierbaren Übergängen, Schwellen und Stabilitäten.</w:t>
      </w:r>
    </w:p>
    <w:p w14:paraId="42B10FD5" w14:textId="77777777" w:rsidR="00A926CA" w:rsidRDefault="00000000" w:rsidP="00A926CA">
      <w:r>
        <w:pict w14:anchorId="20D46031">
          <v:rect id="_x0000_i1072" style="width:0;height:1.5pt" o:hralign="center" o:hrstd="t" o:hr="t" fillcolor="#a0a0a0" stroked="f"/>
        </w:pict>
      </w:r>
    </w:p>
    <w:p w14:paraId="7DF44F17" w14:textId="77777777" w:rsidR="00722323" w:rsidRPr="00722323" w:rsidRDefault="00A926CA" w:rsidP="00722323">
      <w:pPr>
        <w:pStyle w:val="berschrift3"/>
        <w:rPr>
          <w:rStyle w:val="Fett"/>
          <w:b/>
          <w:bCs w:val="0"/>
        </w:rPr>
      </w:pPr>
      <w:r w:rsidRPr="00722323">
        <w:rPr>
          <w:rStyle w:val="Fett"/>
          <w:b/>
          <w:bCs w:val="0"/>
        </w:rPr>
        <w:t>4.7.5 Bedeutung für Prognostik und Handlungsplanung</w:t>
      </w:r>
    </w:p>
    <w:p w14:paraId="1DB93958" w14:textId="66B30C86" w:rsidR="00A926CA" w:rsidRDefault="00A926CA" w:rsidP="00A926CA">
      <w:pPr>
        <w:pStyle w:val="StandardWeb"/>
      </w:pPr>
      <w:r>
        <w:br/>
        <w:t>Die zentrale Vorhersage des FRZK lautet: Kulturelle und semantische Entwicklungen sind untrennbar miteinander verbunden – und nicht getrennt prognostizierbar. Jede Veränderung im semantischen Raum (z. B. durch neue Begriffe, Rahmungen, Narrative) erzeugt Rückwirkungen auf kulturelle Praktiken – oft nichtlinear, verzögert oder qualitativ emergent.</w:t>
      </w:r>
      <w:r>
        <w:br/>
        <w:t>Für reflexive Handlungsplanung – etwa in Bildung, Politik, Medien oder Technologiegestaltung – bedeutet das:</w:t>
      </w:r>
      <w:r>
        <w:br/>
        <w:t>• Semantische Interventionen (z. B. neue Begriffe, Diskurse, Deutungsmuster) erzeugen kulturelle Folgen.</w:t>
      </w:r>
      <w:r>
        <w:br/>
        <w:t>• Umgekehrt verändern kulturelle Dynamiken die semantischen Felder, in denen wir denken, handeln und planen.</w:t>
      </w:r>
      <w:r>
        <w:br/>
        <w:t>Das FRZK ermöglicht, diese Interdependenz systematisch zu modellieren und in Prognose-, Planungs- und Interventionsmodelle zu integrieren – nicht linear, aber strukturell nachvollziehbar.</w:t>
      </w:r>
    </w:p>
    <w:p w14:paraId="65D9AC13" w14:textId="77777777" w:rsidR="00A926CA" w:rsidRDefault="00000000" w:rsidP="00A926CA">
      <w:r>
        <w:pict w14:anchorId="0E7AF253">
          <v:rect id="_x0000_i1073" style="width:0;height:1.5pt" o:hralign="center" o:hrstd="t" o:hr="t" fillcolor="#a0a0a0" stroked="f"/>
        </w:pict>
      </w:r>
    </w:p>
    <w:p w14:paraId="490E553D" w14:textId="77777777" w:rsidR="002C4B29" w:rsidRDefault="002C4B29" w:rsidP="002C4B29">
      <w:pPr>
        <w:pStyle w:val="berschrift2"/>
        <w:rPr>
          <w:sz w:val="36"/>
          <w:szCs w:val="36"/>
        </w:rPr>
      </w:pPr>
      <w:r>
        <w:t>4.8 Ethische Implikationen der Modellwahl</w:t>
      </w:r>
    </w:p>
    <w:p w14:paraId="45E8CE84" w14:textId="77777777" w:rsidR="002C4B29" w:rsidRDefault="002C4B29" w:rsidP="002C4B29">
      <w:pPr>
        <w:pStyle w:val="StandardWeb"/>
      </w:pPr>
      <w:r>
        <w:t>Ich begreife Modellwahl im Rahmen des FRZK nicht als technische oder neutrale Entscheidung, sondern als epistemisch und normativ relevante Setzung. Jedes funktionale Bezugssystem erzeugt spezifische Möglichkeitsräume – und schließt gleichzeitig andere aus. Das bedeutet: Modelle konstruieren Wirklichkeit. Und diese Konstruktion ist nicht ethikfrei.</w:t>
      </w:r>
    </w:p>
    <w:p w14:paraId="0F477120" w14:textId="476ED862" w:rsidR="002C4B29" w:rsidRDefault="002C4B29" w:rsidP="002C4B29">
      <w:pPr>
        <w:pStyle w:val="StandardWeb"/>
      </w:pPr>
      <w:r>
        <w:t>Die ethische Dimension liegt dabei nicht „außerhalb“ der Funktionalität, sondern innerhalb der Modellarchitektur selbst – als Strukturentscheidung mit sozialen, politischen und erkenntnistheoretischen Folgen. Die Modellwahl wird damit zum normativen Akt mit realen Konsequenzen.</w:t>
      </w:r>
    </w:p>
    <w:p w14:paraId="78DC2978" w14:textId="77777777" w:rsidR="0050154A" w:rsidRPr="0050154A" w:rsidRDefault="0050154A" w:rsidP="0050154A">
      <w:r w:rsidRPr="0050154A">
        <w:t>Im Rahmen des FRZK betrachte ich Ethik nicht als externes, universelles Normensystem, sondern als strukturinterne Operation, die aktiv die bestehenden Funktionsstrukturen meines Modells beeinflusst. Diese ethische Bewertung ist daher direkt in das Modell eingebettet, indem ethische Operatoren als Meta-Operatoren wirken, die die Funktions- und Entscheidungsprozesse im System lenken. Auf diese Weise kann Ethik innerhalb des Modells als ein formalisierbarer und rekursiver Prozess betrachtet werden.</w:t>
      </w:r>
    </w:p>
    <w:p w14:paraId="312FC9A5" w14:textId="77777777" w:rsidR="0050154A" w:rsidRPr="0050154A" w:rsidRDefault="0050154A" w:rsidP="0050154A">
      <w:r w:rsidRPr="0050154A">
        <w:t>Ich integriere fünf zentrale ethische Prinzipien, die als regulative Meta-Operatoren fungieren: Wohltun, Nicht-Schaden, Autonomie, Gerechtigkeit und Erklärbarkeit. Diese Prinzipien ermöglichen es mir, die Handlungsspielräume und Wirkungen im Modell aus einer normativen Perspektive zu bewerten und sie formal zu evaluieren. Die Prinzipien wirken nicht nur auf die Struktur des Modells ein, sondern sind selbst evaluiert und spiegeln die verantwortliche Gestaltung des Modells wider.</w:t>
      </w:r>
    </w:p>
    <w:p w14:paraId="02700976" w14:textId="1850AA62" w:rsidR="0050154A" w:rsidRPr="0050154A" w:rsidRDefault="0050154A" w:rsidP="0050154A">
      <w:r w:rsidRPr="0050154A">
        <w:t>In Anlage 4.G habe ich eine Strukturübersicht der ethischen Operatorprinzipien erstellt, die klar darstellt, wie diese Prinzipien auf die Funktionsstrukturen im Modell wirken und wie deren Bewertungslogik integriert ist. Sie zeigt mir auf, wie Ethik im Modell nicht nur als theoretisches Konzept, sondern als konkret anwendbare Bewertungsstruktur operiert.</w:t>
      </w:r>
    </w:p>
    <w:p w14:paraId="42CBA3EE" w14:textId="77777777" w:rsidR="002C4B29" w:rsidRDefault="00000000" w:rsidP="002C4B29">
      <w:r>
        <w:pict w14:anchorId="56D59D1D">
          <v:rect id="_x0000_i1074" style="width:0;height:1.5pt" o:hralign="center" o:hrstd="t" o:hr="t" fillcolor="#a0a0a0" stroked="f"/>
        </w:pict>
      </w:r>
    </w:p>
    <w:p w14:paraId="195CA9FF" w14:textId="77777777" w:rsidR="002C4B29" w:rsidRDefault="002C4B29" w:rsidP="002C4B29">
      <w:pPr>
        <w:pStyle w:val="berschrift3"/>
      </w:pPr>
      <w:r>
        <w:t>4.8.1 Modellwahl als normativer Akt</w:t>
      </w:r>
    </w:p>
    <w:p w14:paraId="12F24886" w14:textId="77777777" w:rsidR="002C4B29" w:rsidRDefault="002C4B29" w:rsidP="002C4B29">
      <w:pPr>
        <w:pStyle w:val="StandardWeb"/>
      </w:pPr>
      <w:r>
        <w:t>Ich argumentiere, dass jedes Modell nicht nur beschreibt, sondern auch prägt, was als Realität gilt: welche Objekte unterscheidbar sind, welche Kausalitäten gelten, welche Perspektiven sichtbar bleiben. Die Wahl eines Modells ist somit eine Entscheidung über epistemische Sichtbarkeit und moralische Relevanz.</w:t>
      </w:r>
    </w:p>
    <w:p w14:paraId="73D4E896" w14:textId="77777777" w:rsidR="002C4B29" w:rsidRDefault="002C4B29" w:rsidP="002C4B29">
      <w:pPr>
        <w:pStyle w:val="StandardWeb"/>
      </w:pPr>
      <w:r>
        <w:t xml:space="preserve">Dieser Gedanke entspricht der These, dass Technik und Modelle Weltbilder erzeugen – eine These, wie sie etwa in der kritischen Technikphilosophie bei Langdon Winner vertreten wird (Langdon Winner, </w:t>
      </w:r>
      <w:r>
        <w:rPr>
          <w:rStyle w:val="Hervorhebung"/>
        </w:rPr>
        <w:t>Do Artifacts Have Politics?</w:t>
      </w:r>
      <w:r>
        <w:t xml:space="preserve">, in: </w:t>
      </w:r>
      <w:r>
        <w:rPr>
          <w:rStyle w:val="Hervorhebung"/>
        </w:rPr>
        <w:t>Daedalus</w:t>
      </w:r>
      <w:r>
        <w:t>, 109(1), 1980, S. 121–136) [47]. Im FRZK lässt sich dieser Zusammenhang strukturell modellieren: Ein funktionales Bezugssystem ist immer auch eine ethische Rahmensetzung.</w:t>
      </w:r>
    </w:p>
    <w:p w14:paraId="49EBAD44" w14:textId="77777777" w:rsidR="002C4B29" w:rsidRDefault="00000000" w:rsidP="002C4B29">
      <w:r>
        <w:pict w14:anchorId="5BF947F6">
          <v:rect id="_x0000_i1075" style="width:0;height:1.5pt" o:hralign="center" o:hrstd="t" o:hr="t" fillcolor="#a0a0a0" stroked="f"/>
        </w:pict>
      </w:r>
    </w:p>
    <w:p w14:paraId="7162DD65" w14:textId="77777777" w:rsidR="002C4B29" w:rsidRDefault="002C4B29" w:rsidP="002C4B29">
      <w:pPr>
        <w:pStyle w:val="berschrift3"/>
      </w:pPr>
      <w:r>
        <w:t>4.8.2 Ethische Prinzipien im Modellkontext</w:t>
      </w:r>
    </w:p>
    <w:p w14:paraId="78D467C5" w14:textId="77777777" w:rsidR="002C4B29" w:rsidRDefault="002C4B29" w:rsidP="002C4B29">
      <w:pPr>
        <w:pStyle w:val="StandardWeb"/>
      </w:pPr>
      <w:r>
        <w:t xml:space="preserve">Zur expliziten Bewertung solcher Modellentscheidungen integriere ich im FRZK fünf normative Prinzipien – in Anlehnung an das AI4People-Framework (Luciano Floridi et al., </w:t>
      </w:r>
      <w:r>
        <w:rPr>
          <w:rStyle w:val="Hervorhebung"/>
        </w:rPr>
        <w:t>AI4People – An Ethical Framework for a Good AI Society</w:t>
      </w:r>
      <w:r>
        <w:t xml:space="preserve">, in: </w:t>
      </w:r>
      <w:r>
        <w:rPr>
          <w:rStyle w:val="Hervorhebung"/>
        </w:rPr>
        <w:t>Minds and Machines</w:t>
      </w:r>
      <w:r>
        <w:t>, 28(4), 2018, S. 689–707) [48]:</w:t>
      </w:r>
    </w:p>
    <w:p w14:paraId="079DE8FB" w14:textId="77777777" w:rsidR="002C4B29" w:rsidRDefault="002C4B29" w:rsidP="002C4B29">
      <w:pPr>
        <w:pStyle w:val="StandardWeb"/>
        <w:numPr>
          <w:ilvl w:val="0"/>
          <w:numId w:val="24"/>
        </w:numPr>
      </w:pPr>
      <w:r>
        <w:rPr>
          <w:rStyle w:val="Fett"/>
        </w:rPr>
        <w:t>Wohltun (beneficence)</w:t>
      </w:r>
      <w:r>
        <w:t xml:space="preserve"> – Erhöhung des individuellen und kollektiven Wohls</w:t>
      </w:r>
    </w:p>
    <w:p w14:paraId="4FFF94C3" w14:textId="77777777" w:rsidR="002C4B29" w:rsidRDefault="002C4B29" w:rsidP="002C4B29">
      <w:pPr>
        <w:pStyle w:val="StandardWeb"/>
        <w:numPr>
          <w:ilvl w:val="0"/>
          <w:numId w:val="24"/>
        </w:numPr>
      </w:pPr>
      <w:r>
        <w:rPr>
          <w:rStyle w:val="Fett"/>
        </w:rPr>
        <w:t>Nicht-Schaden (non-maleficence)</w:t>
      </w:r>
      <w:r>
        <w:t xml:space="preserve"> – Vermeidung negativer Folgen</w:t>
      </w:r>
    </w:p>
    <w:p w14:paraId="1AFAE3CB" w14:textId="77777777" w:rsidR="002C4B29" w:rsidRDefault="002C4B29" w:rsidP="002C4B29">
      <w:pPr>
        <w:pStyle w:val="StandardWeb"/>
        <w:numPr>
          <w:ilvl w:val="0"/>
          <w:numId w:val="24"/>
        </w:numPr>
      </w:pPr>
      <w:r>
        <w:rPr>
          <w:rStyle w:val="Fett"/>
        </w:rPr>
        <w:t>Autonomie</w:t>
      </w:r>
      <w:r>
        <w:t xml:space="preserve"> – Wahrung individueller Entscheidungsfreiheit</w:t>
      </w:r>
    </w:p>
    <w:p w14:paraId="2601AC41" w14:textId="77777777" w:rsidR="002C4B29" w:rsidRDefault="002C4B29" w:rsidP="002C4B29">
      <w:pPr>
        <w:pStyle w:val="StandardWeb"/>
        <w:numPr>
          <w:ilvl w:val="0"/>
          <w:numId w:val="24"/>
        </w:numPr>
      </w:pPr>
      <w:r>
        <w:rPr>
          <w:rStyle w:val="Fett"/>
        </w:rPr>
        <w:t>Gerechtigkeit</w:t>
      </w:r>
      <w:r>
        <w:t xml:space="preserve"> – faire Zugangs- und Verteilungschancen</w:t>
      </w:r>
    </w:p>
    <w:p w14:paraId="2939F45C" w14:textId="77777777" w:rsidR="002C4B29" w:rsidRDefault="002C4B29" w:rsidP="002C4B29">
      <w:pPr>
        <w:pStyle w:val="StandardWeb"/>
        <w:numPr>
          <w:ilvl w:val="0"/>
          <w:numId w:val="24"/>
        </w:numPr>
      </w:pPr>
      <w:r>
        <w:rPr>
          <w:rStyle w:val="Fett"/>
        </w:rPr>
        <w:t>Erklärbarkeit (explicability)</w:t>
      </w:r>
      <w:r>
        <w:t xml:space="preserve"> – Nachvollziehbarkeit modellinterner Prozesse</w:t>
      </w:r>
    </w:p>
    <w:p w14:paraId="2F60307C" w14:textId="77777777" w:rsidR="002C4B29" w:rsidRDefault="002C4B29" w:rsidP="002C4B29">
      <w:pPr>
        <w:pStyle w:val="StandardWeb"/>
      </w:pPr>
      <w:r>
        <w:t>Diese Prinzipien wirken im Modell als regulative Operatoren, die Strukturentscheidungen nicht nur technisch, sondern auch normativ bewertbar machen – etwa bei Zielkonflikten zwischen Transparenz, Performanz und sozialer Verträglichkeit.</w:t>
      </w:r>
    </w:p>
    <w:p w14:paraId="1830CE54" w14:textId="77777777" w:rsidR="002C4B29" w:rsidRDefault="00000000" w:rsidP="002C4B29">
      <w:r>
        <w:pict w14:anchorId="054A8DD3">
          <v:rect id="_x0000_i1076" style="width:0;height:1.5pt" o:hralign="center" o:hrstd="t" o:hr="t" fillcolor="#a0a0a0" stroked="f"/>
        </w:pict>
      </w:r>
    </w:p>
    <w:p w14:paraId="236838B8" w14:textId="77777777" w:rsidR="002C4B29" w:rsidRDefault="002C4B29" w:rsidP="002C4B29">
      <w:pPr>
        <w:pStyle w:val="berschrift3"/>
      </w:pPr>
      <w:r>
        <w:t>4.8.3 Kritik an Prinzipienorientierung: Implementierungsethik</w:t>
      </w:r>
    </w:p>
    <w:p w14:paraId="7054BA44" w14:textId="77777777" w:rsidR="002C4B29" w:rsidRDefault="002C4B29" w:rsidP="002C4B29">
      <w:pPr>
        <w:pStyle w:val="StandardWeb"/>
      </w:pPr>
      <w:r>
        <w:t xml:space="preserve">Gleichzeitig ist mir bewusst: Prinzipien allein garantieren keine ethische Praxis. Wie Brent Mittelstadt betont, bleibt Ethik wirkungslos, wenn sie nicht institutionell verankert und operativ eingebunden ist (Brent D. Mittelstadt, </w:t>
      </w:r>
      <w:r>
        <w:rPr>
          <w:rStyle w:val="Hervorhebung"/>
        </w:rPr>
        <w:t>Principles alone cannot guarantee ethical AI</w:t>
      </w:r>
      <w:r>
        <w:t xml:space="preserve">, in: </w:t>
      </w:r>
      <w:r>
        <w:rPr>
          <w:rStyle w:val="Hervorhebung"/>
        </w:rPr>
        <w:t>Nature Machine Intelligence</w:t>
      </w:r>
      <w:r>
        <w:t>, 1(11), 2019, S. 501–507) [49].</w:t>
      </w:r>
    </w:p>
    <w:p w14:paraId="7D7AB138" w14:textId="77777777" w:rsidR="002C4B29" w:rsidRDefault="002C4B29" w:rsidP="002C4B29">
      <w:pPr>
        <w:pStyle w:val="StandardWeb"/>
      </w:pPr>
      <w:r>
        <w:t>Im FRZK berücksichtige ich das durch die Modellierung strukturierter Audit-Mechanismen. Diese erlauben es, ethische Kohärenz nicht nur vorauszusetzen, sondern systemintern zu überprüfen – etwa durch funktionale Prüfpfade, Verantwortungsattributionen oder Reflexionsoperationen. Die Ethik ist so nicht angeklebt, sondern integrativer Teil der Systemarchitektur.</w:t>
      </w:r>
    </w:p>
    <w:p w14:paraId="66EDAE8C" w14:textId="77777777" w:rsidR="002C4B29" w:rsidRDefault="00000000" w:rsidP="002C4B29">
      <w:r>
        <w:pict w14:anchorId="182F88E2">
          <v:rect id="_x0000_i1077" style="width:0;height:1.5pt" o:hralign="center" o:hrstd="t" o:hr="t" fillcolor="#a0a0a0" stroked="f"/>
        </w:pict>
      </w:r>
    </w:p>
    <w:p w14:paraId="474E1EC7" w14:textId="77777777" w:rsidR="002C4B29" w:rsidRDefault="002C4B29" w:rsidP="002C4B29">
      <w:pPr>
        <w:pStyle w:val="berschrift3"/>
      </w:pPr>
      <w:r>
        <w:t>4.8.4 Narrative Verantwortung und demokratische Legitimation</w:t>
      </w:r>
    </w:p>
    <w:p w14:paraId="1AFFA40B" w14:textId="77777777" w:rsidR="002C4B29" w:rsidRDefault="002C4B29" w:rsidP="002C4B29">
      <w:pPr>
        <w:pStyle w:val="StandardWeb"/>
      </w:pPr>
      <w:r>
        <w:t xml:space="preserve">Mark Coeckelbergh erweitert die ethische Perspektive um den Begriff der narrativen Verantwortung: Systeme müssen nicht nur funktionieren – sie müssen auch gesellschaftlich legitimierbar und erzählbar sein (Mark Coeckelbergh, </w:t>
      </w:r>
      <w:r>
        <w:rPr>
          <w:rStyle w:val="Hervorhebung"/>
        </w:rPr>
        <w:t>Narrative Responsibility and Artificial Intelligence</w:t>
      </w:r>
      <w:r>
        <w:t xml:space="preserve">, in: </w:t>
      </w:r>
      <w:r>
        <w:rPr>
          <w:rStyle w:val="Hervorhebung"/>
        </w:rPr>
        <w:t>AI &amp; Society</w:t>
      </w:r>
      <w:r>
        <w:t>, 36(3), 2021, S. 623–634) [50].</w:t>
      </w:r>
    </w:p>
    <w:p w14:paraId="5C44F51D" w14:textId="77777777" w:rsidR="002C4B29" w:rsidRDefault="002C4B29" w:rsidP="002C4B29">
      <w:pPr>
        <w:pStyle w:val="StandardWeb"/>
      </w:pPr>
      <w:r>
        <w:t>Ich greife diese Dimension im FRZK auf, indem ich narrative Zuschreibungen und Verantwortungszuweisungen als Operatoren formuliere, die das Beobachtungssystem strukturieren. Wer handelt? Wer verantwortet? Wer profitiert oder wird ausgeschlossen? Diese Fragen lassen sich strukturell modellieren, indem narrative Bezüge auf Operatorverhältnisse abgebildet werden.</w:t>
      </w:r>
    </w:p>
    <w:p w14:paraId="5C7C3F70" w14:textId="77777777" w:rsidR="002C4B29" w:rsidRDefault="002C4B29" w:rsidP="002C4B29">
      <w:pPr>
        <w:pStyle w:val="StandardWeb"/>
      </w:pPr>
      <w:r>
        <w:t>Dadurch entsteht ein ethisch sensibler Raum für demokratische Technikgestaltung, in dem Akzeptanz, Kritik und Teilhabe nicht außerhalb, sondern innerhalb des Modells rekonstruierbar sind.</w:t>
      </w:r>
    </w:p>
    <w:p w14:paraId="259A86BA" w14:textId="77777777" w:rsidR="002C4B29" w:rsidRDefault="00000000" w:rsidP="002C4B29">
      <w:r>
        <w:pict w14:anchorId="72A3068A">
          <v:rect id="_x0000_i1078" style="width:0;height:1.5pt" o:hralign="center" o:hrstd="t" o:hr="t" fillcolor="#a0a0a0" stroked="f"/>
        </w:pict>
      </w:r>
    </w:p>
    <w:p w14:paraId="342F5BA6" w14:textId="77777777" w:rsidR="002C4B29" w:rsidRDefault="002C4B29" w:rsidP="002C4B29">
      <w:pPr>
        <w:pStyle w:val="berschrift3"/>
      </w:pPr>
      <w:r>
        <w:t>4.8.5 Ethische Vorhersagefähigkeit</w:t>
      </w:r>
    </w:p>
    <w:p w14:paraId="17DBAD20" w14:textId="77777777" w:rsidR="002C4B29" w:rsidRDefault="002C4B29" w:rsidP="002C4B29">
      <w:pPr>
        <w:pStyle w:val="StandardWeb"/>
      </w:pPr>
      <w:r>
        <w:t>Ich vertrete die Prognose, dass Systeme, die ihre Modelllogik nicht reflektieren, dazu tendieren, blinde epistemische Zonen zu erzeugen – mit potenziell destruktiven sozialen Folgen. Die strukturelle Nichtbeachtung ethischer Modellimplikationen kann zu Intransparenz, Machtasymmetrien und normativer Unkontrollierbarkeit führen.</w:t>
      </w:r>
    </w:p>
    <w:p w14:paraId="618D527B" w14:textId="77777777" w:rsidR="002C4B29" w:rsidRDefault="002C4B29" w:rsidP="002C4B29">
      <w:pPr>
        <w:pStyle w:val="StandardWeb"/>
      </w:pPr>
      <w:r>
        <w:t>Das FRZK bietet demgegenüber eine strukturierte Vorhersageethik:</w:t>
      </w:r>
      <w:r>
        <w:br/>
        <w:t>Es macht mögliche Systemwirkungen simulierbar – und erlaubt, diese funktional-normativ zu bewerten, bevor sie realisiert werden.</w:t>
      </w:r>
      <w:r>
        <w:br/>
        <w:t>Damit wird Ethik nicht nur retrospektiv, sondern vorausschauend – eine notwendige Eigenschaft reflexiver Modellbildung im 21. Jahrhundert.</w:t>
      </w:r>
    </w:p>
    <w:p w14:paraId="05A218D2" w14:textId="77777777" w:rsidR="002C4B29" w:rsidRDefault="00000000" w:rsidP="002C4B29">
      <w:r>
        <w:pict w14:anchorId="733EBE10">
          <v:rect id="_x0000_i1079" style="width:0;height:1.5pt" o:hralign="center" o:hrstd="t" o:hr="t" fillcolor="#a0a0a0" stroked="f"/>
        </w:pict>
      </w:r>
    </w:p>
    <w:p w14:paraId="369EE57D" w14:textId="77777777" w:rsidR="002C4B29" w:rsidRDefault="002C4B29" w:rsidP="002C4B29">
      <w:pPr>
        <w:pStyle w:val="StandardWeb"/>
      </w:pPr>
      <w:r>
        <w:rPr>
          <w:rFonts w:ascii="Segoe UI Emoji" w:hAnsi="Segoe UI Emoji" w:cs="Segoe UI Emoji"/>
        </w:rPr>
        <w:t>📚</w:t>
      </w:r>
      <w:r>
        <w:t xml:space="preserve"> </w:t>
      </w:r>
      <w:r>
        <w:rPr>
          <w:rStyle w:val="Fett"/>
        </w:rPr>
        <w:t>Ergänzendes Quellenverzeichnis für Abschnitt 4.8</w:t>
      </w:r>
    </w:p>
    <w:p w14:paraId="08D6C4E7" w14:textId="77777777" w:rsidR="002C4B29" w:rsidRDefault="002C4B29" w:rsidP="002C4B29">
      <w:pPr>
        <w:pStyle w:val="StandardWeb"/>
      </w:pPr>
      <w:r>
        <w:t xml:space="preserve">[47] Winner, L. (1980): </w:t>
      </w:r>
      <w:r>
        <w:rPr>
          <w:rStyle w:val="Hervorhebung"/>
        </w:rPr>
        <w:t>Do Artifacts Have Politics?</w:t>
      </w:r>
      <w:r>
        <w:t xml:space="preserve"> In: </w:t>
      </w:r>
      <w:r>
        <w:rPr>
          <w:rStyle w:val="Hervorhebung"/>
        </w:rPr>
        <w:t>Daedalus</w:t>
      </w:r>
      <w:r>
        <w:t>, 109(1), 121–136.</w:t>
      </w:r>
      <w:r>
        <w:br/>
        <w:t xml:space="preserve">[48] Floridi, L., Cowls, J., Beltrametti, M. et al. (2018): </w:t>
      </w:r>
      <w:r>
        <w:rPr>
          <w:rStyle w:val="Hervorhebung"/>
        </w:rPr>
        <w:t>AI4People – An Ethical Framework for a Good AI Society</w:t>
      </w:r>
      <w:r>
        <w:t xml:space="preserve">. In: </w:t>
      </w:r>
      <w:r>
        <w:rPr>
          <w:rStyle w:val="Hervorhebung"/>
        </w:rPr>
        <w:t>Minds and Machines</w:t>
      </w:r>
      <w:r>
        <w:t>, 28(4), 689–707.</w:t>
      </w:r>
      <w:r>
        <w:br/>
        <w:t xml:space="preserve">[49] Mittelstadt, B. D. (2019): </w:t>
      </w:r>
      <w:r>
        <w:rPr>
          <w:rStyle w:val="Hervorhebung"/>
        </w:rPr>
        <w:t>Principles alone cannot guarantee ethical AI</w:t>
      </w:r>
      <w:r>
        <w:t xml:space="preserve">. In: </w:t>
      </w:r>
      <w:r>
        <w:rPr>
          <w:rStyle w:val="Hervorhebung"/>
        </w:rPr>
        <w:t>Nature Machine Intelligence</w:t>
      </w:r>
      <w:r>
        <w:t>, 1(11), 501–507.</w:t>
      </w:r>
      <w:r>
        <w:br/>
        <w:t xml:space="preserve">[50] Coeckelbergh, M. (2021): </w:t>
      </w:r>
      <w:r>
        <w:rPr>
          <w:rStyle w:val="Hervorhebung"/>
        </w:rPr>
        <w:t>Narrative Responsibility and Artificial Intelligence</w:t>
      </w:r>
      <w:r>
        <w:t xml:space="preserve">. In: </w:t>
      </w:r>
      <w:r>
        <w:rPr>
          <w:rStyle w:val="Hervorhebung"/>
        </w:rPr>
        <w:t>AI &amp; Society</w:t>
      </w:r>
      <w:r>
        <w:t>, 36(3), 623–634.</w:t>
      </w:r>
    </w:p>
    <w:p w14:paraId="27068111" w14:textId="6FA03DBF" w:rsidR="002C4B29" w:rsidRDefault="002C4B29" w:rsidP="006A2AE6">
      <w:pPr>
        <w:pStyle w:val="StandardWeb"/>
      </w:pPr>
      <w:r>
        <w:sym w:font="Wingdings" w:char="F0E0"/>
      </w:r>
    </w:p>
    <w:p w14:paraId="716DBE2C" w14:textId="77777777" w:rsidR="002C4B29" w:rsidRDefault="002C4B29" w:rsidP="006A2AE6">
      <w:pPr>
        <w:pStyle w:val="StandardWeb"/>
      </w:pPr>
    </w:p>
    <w:p w14:paraId="543CED0A" w14:textId="77777777" w:rsidR="006A2AE6" w:rsidRDefault="006A2AE6" w:rsidP="00722323">
      <w:pPr>
        <w:pStyle w:val="berschrift1"/>
        <w:rPr>
          <w:sz w:val="27"/>
          <w:szCs w:val="27"/>
        </w:rPr>
      </w:pPr>
      <w:r>
        <w:rPr>
          <w:rStyle w:val="Fett"/>
          <w:b/>
          <w:bCs w:val="0"/>
        </w:rPr>
        <w:t>4.9 Zusammenfassung</w:t>
      </w:r>
    </w:p>
    <w:p w14:paraId="405E868E" w14:textId="77777777" w:rsidR="006A2AE6" w:rsidRDefault="006A2AE6" w:rsidP="006A2AE6">
      <w:pPr>
        <w:pStyle w:val="StandardWeb"/>
      </w:pPr>
      <w:r>
        <w:t xml:space="preserve">Abschließend lässt sich sagen: Das FRZK stellt </w:t>
      </w:r>
      <w:r>
        <w:rPr>
          <w:rStyle w:val="Fett"/>
        </w:rPr>
        <w:t>kein empirisches Prognosemodell</w:t>
      </w:r>
      <w:r>
        <w:t xml:space="preserve"> im klassischen Sinne bereit. Es liefert vielmehr einen </w:t>
      </w:r>
      <w:r>
        <w:rPr>
          <w:rStyle w:val="Fett"/>
        </w:rPr>
        <w:t>funktionalen Bezugsrahmen</w:t>
      </w:r>
      <w:r>
        <w:t xml:space="preserve">, der es erlaubt, die </w:t>
      </w:r>
      <w:r>
        <w:rPr>
          <w:rStyle w:val="Fett"/>
        </w:rPr>
        <w:t>Entstehung, Organisation und Transformation</w:t>
      </w:r>
      <w:r>
        <w:t xml:space="preserve"> von Realität und Erkenntnis in komplexen Systemen </w:t>
      </w:r>
      <w:r>
        <w:rPr>
          <w:rStyle w:val="Fett"/>
        </w:rPr>
        <w:t>strukturell zu rekonstruieren</w:t>
      </w:r>
      <w:r>
        <w:t>.</w:t>
      </w:r>
    </w:p>
    <w:p w14:paraId="055CBAF9" w14:textId="5A38E72B" w:rsidR="006A2AE6" w:rsidRDefault="006A2AE6" w:rsidP="006A2AE6">
      <w:pPr>
        <w:pStyle w:val="StandardWeb"/>
      </w:pPr>
      <w:r>
        <w:t xml:space="preserve">Die modelllogischen Vorhersagen des FRZK beziehen sich nicht auf zukünftige Einzelereignisse, sondern auf die </w:t>
      </w:r>
      <w:r>
        <w:rPr>
          <w:rStyle w:val="Fett"/>
        </w:rPr>
        <w:t>formale Architektur von Emergenz, Differenz und Reflexion</w:t>
      </w:r>
      <w:r>
        <w:t xml:space="preserve"> – also auf jene dynamischen Ordnungsprinzipien, aus denen sich beobachtbare Realität ergibt. Die Aussagekraft liegt in der </w:t>
      </w:r>
      <w:r>
        <w:rPr>
          <w:rStyle w:val="Fett"/>
        </w:rPr>
        <w:t>strukturtheoretischen Generativität</w:t>
      </w:r>
      <w:r>
        <w:t xml:space="preserve"> des Modells.</w:t>
      </w:r>
    </w:p>
    <w:p w14:paraId="504C86D7" w14:textId="4AE6EB12" w:rsidR="00812645" w:rsidRDefault="00812645" w:rsidP="00812645">
      <w:pPr>
        <w:pStyle w:val="StandardWeb"/>
      </w:pPr>
      <w:r>
        <w:t>Im Rahmen des Funktionalen Raum-Zeit-Kohärenzsystems (FRZK) formuliere ich Vorhersagen, die sich nicht aus empirischer Beobachtung, sondern aus den strukturellen Konsequenzen des Modells ableiten lassen. Diese Vorhersagen basieren auf der internen Kohärenz und den funktionalen Operatorstrukturen des Modells, die eine neue Sicht auf die grundlegenden Konzepte von Raum, Zeit, Kausalität und Bedeutung ermöglichen.</w:t>
      </w:r>
    </w:p>
    <w:p w14:paraId="17D4F8DE" w14:textId="3D02A209" w:rsidR="00722323" w:rsidRDefault="00722323" w:rsidP="00812645">
      <w:pPr>
        <w:pStyle w:val="StandardWeb"/>
      </w:pPr>
      <w:r>
        <w:t xml:space="preserve">Die systematische </w:t>
      </w:r>
      <w:r>
        <w:rPr>
          <w:rStyle w:val="Fett"/>
        </w:rPr>
        <w:t>Übersicht der Vorhersagen des FRZK</w:t>
      </w:r>
      <w:r>
        <w:t xml:space="preserve"> in </w:t>
      </w:r>
      <w:r>
        <w:rPr>
          <w:rStyle w:val="Fett"/>
        </w:rPr>
        <w:t>Anlage 4.</w:t>
      </w:r>
      <w:r w:rsidR="00FF0522">
        <w:rPr>
          <w:rStyle w:val="Fett"/>
        </w:rPr>
        <w:t>I</w:t>
      </w:r>
      <w:r>
        <w:t xml:space="preserve"> stellt alle relevanten Vorhersagen zusammen und bietet eine </w:t>
      </w:r>
      <w:r>
        <w:rPr>
          <w:rStyle w:val="Fett"/>
        </w:rPr>
        <w:t>strukturierte Darlegung</w:t>
      </w:r>
      <w:r>
        <w:t xml:space="preserve"> ihrer Verbindung zu bestehenden Forschungslinien sowie der daraus resultierenden </w:t>
      </w:r>
      <w:r>
        <w:rPr>
          <w:rStyle w:val="Fett"/>
        </w:rPr>
        <w:t>modellspezifischen Ergebnisse</w:t>
      </w:r>
      <w:r>
        <w:t>.</w:t>
      </w:r>
    </w:p>
    <w:p w14:paraId="781CC850" w14:textId="7A10BB59" w:rsidR="001D6EC2" w:rsidRDefault="001D6EC2" w:rsidP="00812645">
      <w:pPr>
        <w:pStyle w:val="StandardWeb"/>
      </w:pPr>
      <w:r>
        <w:t xml:space="preserve">Die </w:t>
      </w:r>
      <w:r>
        <w:rPr>
          <w:rStyle w:val="Fett"/>
        </w:rPr>
        <w:t>Übersicht über die im FRZK formulierten Vorhersagen</w:t>
      </w:r>
      <w:r>
        <w:t xml:space="preserve"> mit ihrem </w:t>
      </w:r>
      <w:r>
        <w:rPr>
          <w:rStyle w:val="Fett"/>
        </w:rPr>
        <w:t>Forschungsthema</w:t>
      </w:r>
      <w:r>
        <w:t xml:space="preserve"> und dem </w:t>
      </w:r>
      <w:r>
        <w:rPr>
          <w:rStyle w:val="Fett"/>
        </w:rPr>
        <w:t>gegenwärtigen Forschungsstand</w:t>
      </w:r>
      <w:r>
        <w:t xml:space="preserve"> ist in </w:t>
      </w:r>
      <w:r>
        <w:rPr>
          <w:rStyle w:val="Fett"/>
        </w:rPr>
        <w:t>Anlage 4.J</w:t>
      </w:r>
      <w:r>
        <w:t xml:space="preserve"> zusammengefasst. Diese Tabelle stellt eine wertvolle </w:t>
      </w:r>
      <w:r>
        <w:rPr>
          <w:rStyle w:val="Fett"/>
        </w:rPr>
        <w:t>Referenz</w:t>
      </w:r>
      <w:r>
        <w:t xml:space="preserve"> dar, um den </w:t>
      </w:r>
      <w:r>
        <w:rPr>
          <w:rStyle w:val="Fett"/>
        </w:rPr>
        <w:t>Forschungsanschluss</w:t>
      </w:r>
      <w:r>
        <w:t xml:space="preserve"> der Vorhersagen klar zu erkennen und die </w:t>
      </w:r>
      <w:r>
        <w:rPr>
          <w:rStyle w:val="Fett"/>
        </w:rPr>
        <w:t>Relevanz</w:t>
      </w:r>
      <w:r>
        <w:t xml:space="preserve"> der behandelten Themen in aktuellen wissenschaftlichen Diskursen nachzuvollziehen.</w:t>
      </w:r>
    </w:p>
    <w:p w14:paraId="3459C9B4" w14:textId="77777777" w:rsidR="001D6EC2" w:rsidRDefault="001D6EC2" w:rsidP="001D6EC2">
      <w:pPr>
        <w:pStyle w:val="StandardWeb"/>
        <w:rPr>
          <w:rFonts w:ascii="Times New Roman" w:hAnsi="Times New Roman"/>
        </w:rPr>
      </w:pPr>
      <w:r>
        <w:t xml:space="preserve">Im </w:t>
      </w:r>
      <w:r>
        <w:rPr>
          <w:rStyle w:val="Fett"/>
        </w:rPr>
        <w:t>FRZK</w:t>
      </w:r>
      <w:r>
        <w:t xml:space="preserve"> gehe ich über bestehende Theorien hinaus, indem ich funktionale Strukturen und Operatorlogiken entwerfe, die eine neue Form der </w:t>
      </w:r>
      <w:r>
        <w:rPr>
          <w:rStyle w:val="Fett"/>
        </w:rPr>
        <w:t>Prognosefähigkeit</w:t>
      </w:r>
      <w:r>
        <w:t xml:space="preserve"> und der </w:t>
      </w:r>
      <w:r>
        <w:rPr>
          <w:rStyle w:val="Fett"/>
        </w:rPr>
        <w:t>semantischen Dynamik</w:t>
      </w:r>
      <w:r>
        <w:t xml:space="preserve"> ermöglichen. In </w:t>
      </w:r>
      <w:r>
        <w:rPr>
          <w:rStyle w:val="Fett"/>
        </w:rPr>
        <w:t>Anlage 4.K</w:t>
      </w:r>
      <w:r>
        <w:t xml:space="preserve"> habe ich die </w:t>
      </w:r>
      <w:r>
        <w:rPr>
          <w:rStyle w:val="Fett"/>
        </w:rPr>
        <w:t>Innovationen</w:t>
      </w:r>
      <w:r>
        <w:t xml:space="preserve"> des FRZK in Bezug auf </w:t>
      </w:r>
      <w:r>
        <w:rPr>
          <w:rStyle w:val="Fett"/>
        </w:rPr>
        <w:t>bestehende Forschungsthemen</w:t>
      </w:r>
      <w:r>
        <w:t xml:space="preserve"> und deren </w:t>
      </w:r>
      <w:r>
        <w:rPr>
          <w:rStyle w:val="Fett"/>
        </w:rPr>
        <w:t>Aktualität</w:t>
      </w:r>
      <w:r>
        <w:t xml:space="preserve"> systematisch zusammengefasst. Die Tabelle stellt klar und präzise dar, wie das FRZK nicht nur theoretische Entwicklungen fortführt, sondern auch </w:t>
      </w:r>
      <w:r>
        <w:rPr>
          <w:rStyle w:val="Fett"/>
        </w:rPr>
        <w:t>Brücken zwischen Disziplinen</w:t>
      </w:r>
      <w:r>
        <w:t xml:space="preserve"> schlägt und neue </w:t>
      </w:r>
      <w:r>
        <w:rPr>
          <w:rStyle w:val="Fett"/>
        </w:rPr>
        <w:t>modellspezifische Erkenntnisse</w:t>
      </w:r>
      <w:r>
        <w:t xml:space="preserve"> liefert.</w:t>
      </w:r>
    </w:p>
    <w:p w14:paraId="6EF034D3" w14:textId="7D2BA4EF" w:rsidR="001D6EC2" w:rsidRDefault="001D6EC2" w:rsidP="00812645">
      <w:pPr>
        <w:pStyle w:val="StandardWeb"/>
      </w:pPr>
      <w:r>
        <w:t xml:space="preserve">Diese Tabelle veranschaulicht, dass das </w:t>
      </w:r>
      <w:r>
        <w:rPr>
          <w:rStyle w:val="Fett"/>
        </w:rPr>
        <w:t>FRZK</w:t>
      </w:r>
      <w:r>
        <w:t xml:space="preserve"> durch seine </w:t>
      </w:r>
      <w:r>
        <w:rPr>
          <w:rStyle w:val="Fett"/>
        </w:rPr>
        <w:t>strukturinterne Operatorarchitektur</w:t>
      </w:r>
      <w:r>
        <w:t xml:space="preserve"> und die </w:t>
      </w:r>
      <w:r>
        <w:rPr>
          <w:rStyle w:val="Fett"/>
        </w:rPr>
        <w:t>Verknüpfung von Theorie und Praxis</w:t>
      </w:r>
      <w:r>
        <w:t xml:space="preserve"> neue Wege in der </w:t>
      </w:r>
      <w:r>
        <w:rPr>
          <w:rStyle w:val="Fett"/>
        </w:rPr>
        <w:t>Forschung</w:t>
      </w:r>
      <w:r>
        <w:t xml:space="preserve"> eröffnet. Die </w:t>
      </w:r>
      <w:r>
        <w:rPr>
          <w:rStyle w:val="Fett"/>
        </w:rPr>
        <w:t>Innovation</w:t>
      </w:r>
      <w:r>
        <w:t xml:space="preserve"> des Modells liegt nicht nur in der </w:t>
      </w:r>
      <w:r>
        <w:rPr>
          <w:rStyle w:val="Fett"/>
        </w:rPr>
        <w:t>formalisierten Rekonstruktion</w:t>
      </w:r>
      <w:r>
        <w:t xml:space="preserve"> komplexer Systemstrukturen, sondern auch in der </w:t>
      </w:r>
      <w:r>
        <w:rPr>
          <w:rStyle w:val="Fett"/>
        </w:rPr>
        <w:t>Integration ethischer</w:t>
      </w:r>
      <w:r>
        <w:t xml:space="preserve"> und </w:t>
      </w:r>
      <w:r>
        <w:rPr>
          <w:rStyle w:val="Fett"/>
        </w:rPr>
        <w:t>kultureller Dimensionen</w:t>
      </w:r>
      <w:r>
        <w:t xml:space="preserve"> in die Modellstruktur. Darüber hinaus wird das </w:t>
      </w:r>
      <w:r>
        <w:rPr>
          <w:rStyle w:val="Fett"/>
        </w:rPr>
        <w:t>FRZK</w:t>
      </w:r>
      <w:r>
        <w:t xml:space="preserve"> als eine </w:t>
      </w:r>
      <w:r>
        <w:rPr>
          <w:rStyle w:val="Fett"/>
        </w:rPr>
        <w:t>Brücke</w:t>
      </w:r>
      <w:r>
        <w:t xml:space="preserve"> zwischen </w:t>
      </w:r>
      <w:r>
        <w:rPr>
          <w:rStyle w:val="Fett"/>
        </w:rPr>
        <w:t>verschiedenen Forschungsansätzen</w:t>
      </w:r>
      <w:r>
        <w:t xml:space="preserve"> genutzt – insbesondere durch die Verbindung von </w:t>
      </w:r>
      <w:r>
        <w:rPr>
          <w:rStyle w:val="Fett"/>
        </w:rPr>
        <w:t>Konstruktivismus</w:t>
      </w:r>
      <w:r>
        <w:t xml:space="preserve">, </w:t>
      </w:r>
      <w:r>
        <w:rPr>
          <w:rStyle w:val="Fett"/>
        </w:rPr>
        <w:t>Kybernetik</w:t>
      </w:r>
      <w:r>
        <w:t xml:space="preserve">, </w:t>
      </w:r>
      <w:r>
        <w:rPr>
          <w:rStyle w:val="Fett"/>
        </w:rPr>
        <w:t>Quantenphysik</w:t>
      </w:r>
      <w:r>
        <w:t xml:space="preserve"> und </w:t>
      </w:r>
      <w:r>
        <w:rPr>
          <w:rStyle w:val="Fett"/>
        </w:rPr>
        <w:t>Soziologie</w:t>
      </w:r>
      <w:r>
        <w:t>.</w:t>
      </w:r>
    </w:p>
    <w:p w14:paraId="22DDD2D4" w14:textId="77777777" w:rsidR="00812645" w:rsidRDefault="00812645" w:rsidP="00812645">
      <w:pPr>
        <w:pStyle w:val="StandardWeb"/>
      </w:pPr>
      <w:r>
        <w:t>Die Vorhersagen des FRZK sind nicht empirisch verifizierbar im klassischen Sinne. Sie bieten jedoch eine neue Möglichkeit, diese grundlegenden Konzepte als emergente Größen innerhalb eines funktionalen Bezugssystems zu rekonstruieren. Nachfolgend sind die wichtigsten Vorhersagen des FRZK zusammengefasst:</w:t>
      </w:r>
    </w:p>
    <w:p w14:paraId="32EDD7FF" w14:textId="257EADB7" w:rsidR="00812645" w:rsidRDefault="00812645" w:rsidP="00812645">
      <w:pPr>
        <w:pStyle w:val="StandardWeb"/>
        <w:numPr>
          <w:ilvl w:val="0"/>
          <w:numId w:val="25"/>
        </w:numPr>
      </w:pPr>
      <w:r>
        <w:rPr>
          <w:rStyle w:val="Fett"/>
        </w:rPr>
        <w:t>Emergenz durch funktionale Zuweisung</w:t>
      </w:r>
      <w:r>
        <w:br/>
        <w:t>Realität entsteht aus Operatorstrukturen, nicht aus ontologischen Gegebenheiten. Dies führt zu einer rekursiven und strukturellen Generierung von Raum, Zeit, Objektivität und Kausalität.</w:t>
      </w:r>
      <w:r>
        <w:br/>
      </w:r>
    </w:p>
    <w:p w14:paraId="69842854" w14:textId="2CF05908" w:rsidR="00812645" w:rsidRDefault="00812645" w:rsidP="00812645">
      <w:pPr>
        <w:pStyle w:val="StandardWeb"/>
        <w:numPr>
          <w:ilvl w:val="0"/>
          <w:numId w:val="25"/>
        </w:numPr>
      </w:pPr>
      <w:r>
        <w:rPr>
          <w:rStyle w:val="Fett"/>
        </w:rPr>
        <w:t>Hierarchie von Gleichungstypen</w:t>
      </w:r>
      <w:r>
        <w:br/>
        <w:t>Funktionssysteme entwickeln sich in gestuften Operatorfolgen mit zunehmender Reflexivität, wobei sich die Systemkomplexität und die Möglichkeit zur Selbstbeobachtung mit der Zeit steigern.</w:t>
      </w:r>
    </w:p>
    <w:p w14:paraId="0E0BFE6D" w14:textId="7DA11EE7" w:rsidR="00812645" w:rsidRDefault="00812645" w:rsidP="00812645">
      <w:pPr>
        <w:pStyle w:val="StandardWeb"/>
        <w:numPr>
          <w:ilvl w:val="0"/>
          <w:numId w:val="25"/>
        </w:numPr>
      </w:pPr>
      <w:r>
        <w:rPr>
          <w:rStyle w:val="Fett"/>
        </w:rPr>
        <w:t>Beobachtung als rekursiver Operator</w:t>
      </w:r>
      <w:r>
        <w:br/>
        <w:t>Beobachtung erzeugt Realität und kann sich selbst beobachten (zweite Ordnung). Beobachtungen sind nicht nur passive Aufzeichnungen, sondern aktiv konstruktive und rekursive Prozesse.</w:t>
      </w:r>
    </w:p>
    <w:p w14:paraId="7D2C6240" w14:textId="73EFDB32" w:rsidR="00812645" w:rsidRDefault="00812645" w:rsidP="00812645">
      <w:pPr>
        <w:pStyle w:val="StandardWeb"/>
        <w:numPr>
          <w:ilvl w:val="0"/>
          <w:numId w:val="25"/>
        </w:numPr>
      </w:pPr>
      <w:r>
        <w:rPr>
          <w:rStyle w:val="Fett"/>
        </w:rPr>
        <w:t>Kausalität und Energie als emergente Funktionen</w:t>
      </w:r>
      <w:r>
        <w:br/>
        <w:t>Kausalität und Energie entstehen nicht als gegebene, sondern als emergente Effekte, die aus Veränderungen in feldabhängigen Operatoren resultieren.</w:t>
      </w:r>
    </w:p>
    <w:p w14:paraId="2AC23C78" w14:textId="5012C95C" w:rsidR="00812645" w:rsidRDefault="00812645" w:rsidP="00812645">
      <w:pPr>
        <w:pStyle w:val="StandardWeb"/>
        <w:numPr>
          <w:ilvl w:val="0"/>
          <w:numId w:val="25"/>
        </w:numPr>
      </w:pPr>
      <w:r>
        <w:rPr>
          <w:rStyle w:val="Fett"/>
        </w:rPr>
        <w:t>Dynamische Bedeutungsfelder</w:t>
      </w:r>
      <w:r>
        <w:br/>
        <w:t>Bedeutung ist kein statisches Attribut, sondern ein dynamisches, kontextuelles und veränderbares Konstrukt. Bedeutungsfelder sind flexibel und unterliegen der kontinuierlichen Umdeutung.</w:t>
      </w:r>
    </w:p>
    <w:p w14:paraId="78968DF3" w14:textId="0D0E3A10" w:rsidR="00812645" w:rsidRDefault="00812645" w:rsidP="00812645">
      <w:pPr>
        <w:pStyle w:val="StandardWeb"/>
        <w:numPr>
          <w:ilvl w:val="0"/>
          <w:numId w:val="25"/>
        </w:numPr>
      </w:pPr>
      <w:r>
        <w:rPr>
          <w:rStyle w:val="Fett"/>
        </w:rPr>
        <w:t>Reflexive Transformation symbolischer Ordnung</w:t>
      </w:r>
      <w:r>
        <w:br/>
        <w:t>Symbolische Systeme sind durch Meta-Operationen rekonfigurierbar. Die Transformation symbolischer Ordnungen erfolgt durch reflexive, strukturtragende Operatoren, die bestehende Bedeutungszuweisungen modifizieren können.</w:t>
      </w:r>
    </w:p>
    <w:p w14:paraId="42D0929F" w14:textId="7A82BFD7" w:rsidR="00812645" w:rsidRDefault="00812645" w:rsidP="00812645">
      <w:pPr>
        <w:pStyle w:val="StandardWeb"/>
        <w:numPr>
          <w:ilvl w:val="0"/>
          <w:numId w:val="25"/>
        </w:numPr>
      </w:pPr>
      <w:r>
        <w:rPr>
          <w:rStyle w:val="Fett"/>
        </w:rPr>
        <w:t>Ko-Evolution von Semantik und Kultur</w:t>
      </w:r>
      <w:r>
        <w:br/>
        <w:t>Semantik und kulturelle Praktiken entwickeln sich nicht isoliert, sondern in einer wechselseitigen, rekursiven Kopplung, wobei jede Veränderung im einen Bereich Auswirkungen auf den anderen hat.</w:t>
      </w:r>
    </w:p>
    <w:p w14:paraId="5695B49A" w14:textId="5B689128" w:rsidR="00812645" w:rsidRDefault="00812645" w:rsidP="00812645">
      <w:pPr>
        <w:pStyle w:val="StandardWeb"/>
        <w:numPr>
          <w:ilvl w:val="0"/>
          <w:numId w:val="25"/>
        </w:numPr>
      </w:pPr>
      <w:r>
        <w:rPr>
          <w:rStyle w:val="Fett"/>
        </w:rPr>
        <w:t>Ethik als modellinterne Strukturfrage</w:t>
      </w:r>
      <w:r>
        <w:br/>
        <w:t>Modellarchitekturen haben ethische Implikationen, die intern überprüfbar sind. Der ethische Aspekt ist integraler Bestandteil der Modellwahl und bestimmt die Auswirkungen auf soziale, politische und epistemische Felder.</w:t>
      </w:r>
    </w:p>
    <w:p w14:paraId="2AD1FF72" w14:textId="6B08DD29" w:rsidR="0050154A" w:rsidRDefault="00812645" w:rsidP="0050154A">
      <w:pPr>
        <w:pStyle w:val="StandardWeb"/>
        <w:numPr>
          <w:ilvl w:val="0"/>
          <w:numId w:val="25"/>
        </w:numPr>
      </w:pPr>
      <w:r>
        <w:rPr>
          <w:rStyle w:val="Fett"/>
        </w:rPr>
        <w:t>Strukturgeleitete Vorhersagefähigkeit</w:t>
      </w:r>
      <w:r>
        <w:br/>
        <w:t>Das Modell erlaubt eine strukturierte Prognose zukünftiger Ordnungszustände, indem es funktionale Beziehungen vorab simuliert und bewertet. Dies macht die ethische und strukturelle Entwicklung eines Systems im Voraus überprüfbar.</w:t>
      </w:r>
    </w:p>
    <w:p w14:paraId="6B556ED7" w14:textId="77777777" w:rsidR="0050154A" w:rsidRDefault="0050154A" w:rsidP="0050154A">
      <w:pPr>
        <w:pStyle w:val="StandardWeb"/>
        <w:rPr>
          <w:rFonts w:ascii="Times New Roman" w:hAnsi="Times New Roman"/>
        </w:rPr>
      </w:pPr>
      <w:r>
        <w:t xml:space="preserve">Im </w:t>
      </w:r>
      <w:r>
        <w:rPr>
          <w:rStyle w:val="Fett"/>
        </w:rPr>
        <w:t>FRZK</w:t>
      </w:r>
      <w:r>
        <w:t xml:space="preserve"> verfolge ich eine neue Herangehensweise an die </w:t>
      </w:r>
      <w:r>
        <w:rPr>
          <w:rStyle w:val="Fett"/>
        </w:rPr>
        <w:t>Prognosefähigkeit</w:t>
      </w:r>
      <w:r>
        <w:t xml:space="preserve">, die sich von klassischen Modellen unterscheidet. Während klassische Prognosemodelle häufig auf </w:t>
      </w:r>
      <w:r>
        <w:rPr>
          <w:rStyle w:val="Fett"/>
        </w:rPr>
        <w:t>empirische Daten</w:t>
      </w:r>
      <w:r>
        <w:t xml:space="preserve">, </w:t>
      </w:r>
      <w:r>
        <w:rPr>
          <w:rStyle w:val="Fett"/>
        </w:rPr>
        <w:t>Trendanalysen</w:t>
      </w:r>
      <w:r>
        <w:t xml:space="preserve"> und </w:t>
      </w:r>
      <w:r>
        <w:rPr>
          <w:rStyle w:val="Fett"/>
        </w:rPr>
        <w:t>statistische Wahrscheinlichkeiten</w:t>
      </w:r>
      <w:r>
        <w:t xml:space="preserve"> setzen, basiert das </w:t>
      </w:r>
      <w:r>
        <w:rPr>
          <w:rStyle w:val="Fett"/>
        </w:rPr>
        <w:t>FRZK</w:t>
      </w:r>
      <w:r>
        <w:t xml:space="preserve"> auf einer </w:t>
      </w:r>
      <w:r>
        <w:rPr>
          <w:rStyle w:val="Fett"/>
        </w:rPr>
        <w:t>modellinternen Strukturlogik</w:t>
      </w:r>
      <w:r>
        <w:t xml:space="preserve">, die </w:t>
      </w:r>
      <w:r>
        <w:rPr>
          <w:rStyle w:val="Fett"/>
        </w:rPr>
        <w:t>emergente Ordnung</w:t>
      </w:r>
      <w:r>
        <w:t xml:space="preserve"> und </w:t>
      </w:r>
      <w:r>
        <w:rPr>
          <w:rStyle w:val="Fett"/>
        </w:rPr>
        <w:t>funktionale Operatorarchitektur</w:t>
      </w:r>
      <w:r>
        <w:t xml:space="preserve"> integriert. Diese Unterscheidung stellt einen grundlegenden Paradigmenwechsel dar, da das FRZK nicht einfach vergangenheitsorientierte Daten extrapoliert, sondern </w:t>
      </w:r>
      <w:r>
        <w:rPr>
          <w:rStyle w:val="Fett"/>
        </w:rPr>
        <w:t>Systemzustände ableitet</w:t>
      </w:r>
      <w:r>
        <w:t xml:space="preserve">, die durch </w:t>
      </w:r>
      <w:r>
        <w:rPr>
          <w:rStyle w:val="Fett"/>
        </w:rPr>
        <w:t>Operatorenfolgen</w:t>
      </w:r>
      <w:r>
        <w:t xml:space="preserve"> entstehen.</w:t>
      </w:r>
    </w:p>
    <w:p w14:paraId="7A393BDD" w14:textId="75BB2E97" w:rsidR="0050154A" w:rsidRDefault="0050154A" w:rsidP="001D6EC2">
      <w:pPr>
        <w:pStyle w:val="StandardWeb"/>
      </w:pPr>
      <w:r>
        <w:t xml:space="preserve">Die folgende </w:t>
      </w:r>
      <w:r>
        <w:rPr>
          <w:rStyle w:val="Fett"/>
        </w:rPr>
        <w:t>Gegenüberstellung</w:t>
      </w:r>
      <w:r>
        <w:t xml:space="preserve"> der beiden </w:t>
      </w:r>
      <w:r>
        <w:rPr>
          <w:rStyle w:val="Fett"/>
        </w:rPr>
        <w:t>Prognoseansätze</w:t>
      </w:r>
      <w:r>
        <w:t xml:space="preserve"> in </w:t>
      </w:r>
      <w:r>
        <w:rPr>
          <w:rStyle w:val="Fett"/>
        </w:rPr>
        <w:t>Anlage 4.H</w:t>
      </w:r>
      <w:r>
        <w:t xml:space="preserve"> bietet eine detaillierte Analyse der zentralen Unterschiede zwischen den </w:t>
      </w:r>
      <w:r>
        <w:rPr>
          <w:rStyle w:val="Fett"/>
        </w:rPr>
        <w:t>klassischen</w:t>
      </w:r>
      <w:r>
        <w:t xml:space="preserve"> und den </w:t>
      </w:r>
      <w:r>
        <w:rPr>
          <w:rStyle w:val="Fett"/>
        </w:rPr>
        <w:t>funktionalen Prognosemodellen</w:t>
      </w:r>
      <w:r>
        <w:t xml:space="preserve">. Sie verdeutlicht, dass das FRZK nicht nur auf bekannten Entwicklungen aufbaut, sondern auch </w:t>
      </w:r>
      <w:r>
        <w:rPr>
          <w:rStyle w:val="Fett"/>
        </w:rPr>
        <w:t>emergente und dynamische Systemzustände</w:t>
      </w:r>
      <w:r>
        <w:t xml:space="preserve"> rekonstruieren kann. Diese Fähigkeit zur </w:t>
      </w:r>
      <w:r>
        <w:rPr>
          <w:rStyle w:val="Fett"/>
        </w:rPr>
        <w:t>dynamischen Modellierung</w:t>
      </w:r>
      <w:r>
        <w:t xml:space="preserve"> ist besonders relevant in Bereichen, in denen klassische Modelle scheitern, etwa bei </w:t>
      </w:r>
      <w:r>
        <w:rPr>
          <w:rStyle w:val="Fett"/>
        </w:rPr>
        <w:t>komplexen, offenen Systemen</w:t>
      </w:r>
      <w:r>
        <w:t>.</w:t>
      </w:r>
    </w:p>
    <w:p w14:paraId="517D9D93" w14:textId="77777777" w:rsidR="006A2AE6" w:rsidRDefault="006A2AE6" w:rsidP="006A2AE6">
      <w:pPr>
        <w:pStyle w:val="StandardWeb"/>
      </w:pPr>
      <w:r>
        <w:t xml:space="preserve">Die </w:t>
      </w:r>
      <w:r>
        <w:rPr>
          <w:rStyle w:val="Fett"/>
        </w:rPr>
        <w:t>„Beweisbarkeit“</w:t>
      </w:r>
      <w:r>
        <w:t xml:space="preserve"> dieser Vorhersagen ergibt sich nicht durch externe Verifikation, sondern durch drei eng aufeinander bezogene Kriterien:</w:t>
      </w:r>
    </w:p>
    <w:p w14:paraId="5B12F64E" w14:textId="77777777" w:rsidR="006A2AE6" w:rsidRDefault="006A2AE6" w:rsidP="006A2AE6">
      <w:pPr>
        <w:pStyle w:val="StandardWeb"/>
        <w:numPr>
          <w:ilvl w:val="0"/>
          <w:numId w:val="12"/>
        </w:numPr>
      </w:pPr>
      <w:r>
        <w:rPr>
          <w:rStyle w:val="Fett"/>
        </w:rPr>
        <w:t>Interne Konsistenz</w:t>
      </w:r>
      <w:r>
        <w:t xml:space="preserve"> – Jede Funktion ist logisch aus vorhergehenden ableitbar.</w:t>
      </w:r>
    </w:p>
    <w:p w14:paraId="017FE961" w14:textId="77777777" w:rsidR="006A2AE6" w:rsidRDefault="006A2AE6" w:rsidP="006A2AE6">
      <w:pPr>
        <w:pStyle w:val="StandardWeb"/>
        <w:numPr>
          <w:ilvl w:val="0"/>
          <w:numId w:val="12"/>
        </w:numPr>
      </w:pPr>
      <w:r>
        <w:rPr>
          <w:rStyle w:val="Fett"/>
        </w:rPr>
        <w:t>Erklärende und generierende Kraft</w:t>
      </w:r>
      <w:r>
        <w:t xml:space="preserve"> – Das Modell kann die Emergenz beobachtbarer Strukturen rekonstruieren.</w:t>
      </w:r>
    </w:p>
    <w:p w14:paraId="2328D5F4" w14:textId="77777777" w:rsidR="006A2AE6" w:rsidRDefault="006A2AE6" w:rsidP="006A2AE6">
      <w:pPr>
        <w:pStyle w:val="StandardWeb"/>
        <w:numPr>
          <w:ilvl w:val="0"/>
          <w:numId w:val="12"/>
        </w:numPr>
      </w:pPr>
      <w:r>
        <w:rPr>
          <w:rStyle w:val="Fett"/>
        </w:rPr>
        <w:t>Interdisziplinäre Anschlussfähigkeit</w:t>
      </w:r>
      <w:r>
        <w:t xml:space="preserve"> – Die Operatorarchitektur ist mit physikalischen, systemtheoretischen, kognitiven und philosophischen Modellen kompatibel.</w:t>
      </w:r>
    </w:p>
    <w:p w14:paraId="70A4AF74" w14:textId="59B7D4D7" w:rsidR="006A2AE6" w:rsidRDefault="006A2AE6" w:rsidP="006A2AE6">
      <w:pPr>
        <w:pStyle w:val="StandardWeb"/>
      </w:pPr>
      <w:r>
        <w:t xml:space="preserve">Ich begreife das FRZK als ein </w:t>
      </w:r>
      <w:r>
        <w:rPr>
          <w:rStyle w:val="Fett"/>
        </w:rPr>
        <w:t>architektonisches Modell</w:t>
      </w:r>
      <w:r>
        <w:t xml:space="preserve">: Es beschreibt </w:t>
      </w:r>
      <w:r>
        <w:rPr>
          <w:rStyle w:val="Fett"/>
        </w:rPr>
        <w:t>nicht primär Ergebnisse</w:t>
      </w:r>
      <w:r>
        <w:t xml:space="preserve">, sondern zeigt </w:t>
      </w:r>
      <w:r>
        <w:rPr>
          <w:rStyle w:val="Fett"/>
        </w:rPr>
        <w:t>die Funktionsprinzipien auf, durch die Realität konstruiert wird</w:t>
      </w:r>
      <w:r>
        <w:t xml:space="preserve"> – epistemologisch, semantisch und operativ.</w:t>
      </w:r>
    </w:p>
    <w:p w14:paraId="7C6D2A3F" w14:textId="5E11DC63" w:rsidR="0050154A" w:rsidRDefault="0050154A" w:rsidP="006A2AE6">
      <w:pPr>
        <w:pStyle w:val="StandardWeb"/>
      </w:pPr>
      <w:r>
        <w:t xml:space="preserve">Die </w:t>
      </w:r>
      <w:r>
        <w:rPr>
          <w:rStyle w:val="Fett"/>
        </w:rPr>
        <w:t>Erkenntnistheorie</w:t>
      </w:r>
      <w:r>
        <w:t xml:space="preserve"> des FRZK hebt hervor, dass klassische Modelle lediglich Prognosen über das Zukünftige auf Grundlage des Vergangenen abgeben, während das FRZK </w:t>
      </w:r>
      <w:r>
        <w:rPr>
          <w:rStyle w:val="Fett"/>
        </w:rPr>
        <w:t>neue Entstehungsmöglichkeiten</w:t>
      </w:r>
      <w:r>
        <w:t xml:space="preserve"> aufzeigt, unabhängig davon, ob diese in der Vergangenheit bereits beobachtet wurden.</w:t>
      </w:r>
    </w:p>
    <w:p w14:paraId="78EBFB39" w14:textId="77777777" w:rsidR="006A2AE6" w:rsidRDefault="006A2AE6" w:rsidP="006A2AE6">
      <w:pPr>
        <w:pStyle w:val="StandardWeb"/>
      </w:pPr>
      <w:r>
        <w:t xml:space="preserve">Diese Prinzipien basieren – wie in Kapitel 3 systematisch hergeleitet – auf </w:t>
      </w:r>
      <w:r>
        <w:rPr>
          <w:rStyle w:val="Fett"/>
        </w:rPr>
        <w:t>mathematisch und erkenntnistheoretisch begründeten Operatorstrukturen</w:t>
      </w:r>
      <w:r>
        <w:t xml:space="preserve">. Das Bezugssystem entsteht nicht aus Datentrends oder empirischen Extrapolationen, sondern aus einer </w:t>
      </w:r>
      <w:r>
        <w:rPr>
          <w:rStyle w:val="Fett"/>
        </w:rPr>
        <w:t>funktionalen Modelllogik</w:t>
      </w:r>
      <w:r>
        <w:t>, die emergente Ordnung aus struktureller Differenz erzeugt.</w:t>
      </w:r>
    </w:p>
    <w:p w14:paraId="1011A887" w14:textId="260EC7CC" w:rsidR="006A2AE6" w:rsidRDefault="006A2AE6" w:rsidP="006A2AE6">
      <w:pPr>
        <w:pStyle w:val="StandardWeb"/>
      </w:pPr>
      <w:r>
        <w:t>Daraus folgt ein grundsätzlicher Perspektivwechsel:</w:t>
      </w:r>
      <w:r>
        <w:br/>
        <w:t xml:space="preserve">Die im FRZK entwickelten Szenarien sind </w:t>
      </w:r>
      <w:r>
        <w:rPr>
          <w:rStyle w:val="Fett"/>
        </w:rPr>
        <w:t>nicht Prognosen vergangenheitsbasierter Modelle</w:t>
      </w:r>
      <w:r>
        <w:t xml:space="preserve">, sondern </w:t>
      </w:r>
      <w:r>
        <w:rPr>
          <w:rStyle w:val="Fett"/>
        </w:rPr>
        <w:t>Ableitungen aus systeminterner Dynamik</w:t>
      </w:r>
      <w:r>
        <w:t xml:space="preserve">. Sie zeigen, </w:t>
      </w:r>
      <w:r>
        <w:rPr>
          <w:rStyle w:val="Fett"/>
        </w:rPr>
        <w:t>was entstehen muss</w:t>
      </w:r>
      <w:r>
        <w:t xml:space="preserve">, wenn bestimmte funktionale Voraussetzungen erfüllt sind – und bilden damit die Grundlage für eine neue Form von </w:t>
      </w:r>
      <w:r>
        <w:rPr>
          <w:rStyle w:val="Fett"/>
        </w:rPr>
        <w:t>strukturgeleiteter Vorhersagefähigkeit</w:t>
      </w:r>
      <w:r>
        <w:t xml:space="preserve">, die Erkenntnis, Bedeutung und Realität als </w:t>
      </w:r>
      <w:r>
        <w:rPr>
          <w:rStyle w:val="Fett"/>
        </w:rPr>
        <w:t>prozessuale Ko-Konstruktion</w:t>
      </w:r>
      <w:r>
        <w:t xml:space="preserve"> begreift.</w:t>
      </w:r>
    </w:p>
    <w:p w14:paraId="6C0D1A0F" w14:textId="247894F0" w:rsidR="00756FE2" w:rsidRDefault="00756FE2" w:rsidP="00756FE2">
      <w:pPr>
        <w:pStyle w:val="berschrift2"/>
        <w:rPr>
          <w:rFonts w:ascii="Times New Roman" w:hAnsi="Times New Roman"/>
          <w:sz w:val="36"/>
          <w:szCs w:val="36"/>
        </w:rPr>
      </w:pPr>
      <w:r>
        <w:t>4.10 Fazit</w:t>
      </w:r>
    </w:p>
    <w:p w14:paraId="4DADA5AA" w14:textId="77777777" w:rsidR="00756FE2" w:rsidRDefault="00756FE2" w:rsidP="00756FE2">
      <w:pPr>
        <w:pStyle w:val="StandardWeb"/>
      </w:pPr>
      <w:r>
        <w:t>Kapitel 4 hat die modelllogischen Vorhersagen des FRZK herausgearbeitet und gezeigt, dass Raum, Zeit, Kausalität und Objektivität nicht als Gegebenheiten verstanden werden müssen, sondern als notwendige Konsequenzen der im Modell angelegten Operationen. Diese Vorhersagen markieren keine empirischen Prognosen im engeren Sinn, sondern logische Effekte der Modellarchitektur. Damit gewinnt das FRZK seinen spezifischen epistemischen Status: Es beschreibt nicht, wie Wirklichkeit „ist“, sondern welche Strukturen unvermeidlich hervortreten, wenn aus der Leere heraus kohärente Ordnung erzeugt wird.</w:t>
      </w:r>
    </w:p>
    <w:p w14:paraId="19B93A1C" w14:textId="77777777" w:rsidR="00756FE2" w:rsidRDefault="00756FE2" w:rsidP="00756FE2">
      <w:pPr>
        <w:pStyle w:val="StandardWeb"/>
      </w:pPr>
      <w:r>
        <w:t>Die Stärke dieser Vorhersagen liegt in ihrer Reflexivität: Sie machen die Bedingungen sichtbar, unter denen Erkenntnis möglich wird, und weisen zugleich die Grenzen empiristischer Erklärungsmodelle auf. Damit entsteht eine erkenntnistheoretische Perspektive, die sich sowohl mit aktuellen Diskussionen in der Physik als auch mit systemtheoretischen Überlegungen zur Selbstreferenz verbindet.</w:t>
      </w:r>
    </w:p>
    <w:p w14:paraId="71F7055B" w14:textId="77777777" w:rsidR="00756FE2" w:rsidRDefault="00756FE2" w:rsidP="00756FE2">
      <w:pPr>
        <w:pStyle w:val="StandardWeb"/>
      </w:pPr>
      <w:r>
        <w:t>Für die Didaktik bedeutet dies, dass auch Lernprozesse nicht als lineare Akkumulation von Inhalten zu verstehen sind, sondern als emergente Struktur, die durch rekursive Operationen stabilisiert wird. Kapitel 6 knüpft hier an, indem es zeigt, wie die im Modell vorhergesagte Emergenz praktisch genutzt werden kann – etwa in der kognitiven Dichtekartierung, in reflexiven Unterrichtsarchitekturen oder in Simulationen epistemischer Felder. Damit werden die abstrakten Vorhersagen aus Kapitel 4 in konkrete didaktische Szenarien übersetzt, wodurch der praktische Wert des FRZK sichtbar wird.</w:t>
      </w:r>
    </w:p>
    <w:p w14:paraId="2013977B" w14:textId="77777777" w:rsidR="00756FE2" w:rsidRDefault="00756FE2" w:rsidP="006A2AE6">
      <w:pPr>
        <w:pStyle w:val="StandardWeb"/>
      </w:pPr>
    </w:p>
    <w:p w14:paraId="107B0F66" w14:textId="77777777" w:rsidR="006A2AE6" w:rsidRDefault="00000000" w:rsidP="006A2AE6">
      <w:r>
        <w:pict w14:anchorId="6D2C36BD">
          <v:rect id="_x0000_i1080" style="width:0;height:1.5pt" o:hralign="center" o:hrstd="t" o:hr="t" fillcolor="#a0a0a0" stroked="f"/>
        </w:pict>
      </w:r>
    </w:p>
    <w:p w14:paraId="449BB69B" w14:textId="77777777" w:rsidR="002C4B29" w:rsidRDefault="002C4B29" w:rsidP="002C4B29">
      <w:pPr>
        <w:pStyle w:val="berschrift3"/>
        <w:rPr>
          <w:sz w:val="27"/>
          <w:szCs w:val="27"/>
        </w:rPr>
      </w:pPr>
      <w:r>
        <w:rPr>
          <w:rFonts w:ascii="Segoe UI Emoji" w:hAnsi="Segoe UI Emoji" w:cs="Segoe UI Emoji"/>
        </w:rPr>
        <w:t>📚</w:t>
      </w:r>
      <w:r>
        <w:t xml:space="preserve"> Quellenverzeichnis Kapitel 4 (1–50)</w:t>
      </w:r>
    </w:p>
    <w:p w14:paraId="24B94422" w14:textId="77777777" w:rsidR="002C4B29" w:rsidRDefault="002C4B29" w:rsidP="002C4B29">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r>
        <w:br/>
        <w:t xml:space="preserve">[12] Goldblatt, R. (2006): </w:t>
      </w:r>
      <w:r>
        <w:rPr>
          <w:rStyle w:val="Hervorhebung"/>
        </w:rPr>
        <w:t>Topoi: The Categorial Analysis of Logic</w:t>
      </w:r>
      <w:r>
        <w:t>. Dover.</w:t>
      </w:r>
      <w:r>
        <w:br/>
        <w:t xml:space="preserve">[13] Barwise, J. / Moss, L. (1996): </w:t>
      </w:r>
      <w:r>
        <w:rPr>
          <w:rStyle w:val="Hervorhebung"/>
        </w:rPr>
        <w:t>Vicious Circles: On the Mathematics of Non-Wellfounded Phenomena</w:t>
      </w:r>
      <w:r>
        <w:t>. Stanford: CSLI Publications.</w:t>
      </w:r>
      <w:r>
        <w:br/>
        <w:t xml:space="preserve">[14] Ortega, J. M. / Rheinboldt, W. C. (2000): </w:t>
      </w:r>
      <w:r>
        <w:rPr>
          <w:rStyle w:val="Hervorhebung"/>
        </w:rPr>
        <w:t>Iterative Solution of Nonlinear Equations in Several Variables</w:t>
      </w:r>
      <w:r>
        <w:t>. Philadelphia: SIAM.</w:t>
      </w:r>
      <w:r>
        <w:br/>
        <w:t xml:space="preserve">[15] Troelstra, A. S. / van Dalen, D. (1988): </w:t>
      </w:r>
      <w:r>
        <w:rPr>
          <w:rStyle w:val="Hervorhebung"/>
        </w:rPr>
        <w:t>Constructivism in Mathematics</w:t>
      </w:r>
      <w:r>
        <w:t>. North-Holland.</w:t>
      </w:r>
      <w:r>
        <w:br/>
        <w:t xml:space="preserve">[16] Barwise, J. / Perry, J. (1983): </w:t>
      </w:r>
      <w:r>
        <w:rPr>
          <w:rStyle w:val="Hervorhebung"/>
        </w:rPr>
        <w:t>Situations and Attitudes</w:t>
      </w:r>
      <w:r>
        <w:t>. Cambridge, MA: MIT Press.</w:t>
      </w:r>
      <w:r>
        <w:br/>
        <w:t xml:space="preserve">[17] Nicolis, G. / Prigogine, I. (1977): </w:t>
      </w:r>
      <w:r>
        <w:rPr>
          <w:rStyle w:val="Hervorhebung"/>
        </w:rPr>
        <w:t>Self-Organization in Nonequilibrium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Gödel, Escher, Bach: An Eternal Golden Braid</w:t>
      </w:r>
      <w:r>
        <w:t>. Basic Books.</w:t>
      </w:r>
      <w:r>
        <w:br/>
        <w:t xml:space="preserve">[20] Foerster, H. von (2003): </w:t>
      </w:r>
      <w:r>
        <w:rPr>
          <w:rStyle w:val="Hervorhebung"/>
        </w:rPr>
        <w:t>Understanding Understanding: Essays on Cybernetics and Cognition</w:t>
      </w:r>
      <w:r>
        <w:t>. New York: Springer.</w:t>
      </w:r>
      <w:r>
        <w:br/>
        <w:t xml:space="preserve">[21] Church, A. (1941): </w:t>
      </w:r>
      <w:r>
        <w:rPr>
          <w:rStyle w:val="Hervorhebung"/>
        </w:rPr>
        <w:t>The Calculi of Lambda Conversion</w:t>
      </w:r>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The Philosophical Writings of Niels Bohr, Vol. I</w:t>
      </w:r>
      <w:r>
        <w:t>. Oxford: Oxford University Press.</w:t>
      </w:r>
      <w:r>
        <w:br/>
        <w:t xml:space="preserve">[25] Weinberg, S. (1995): </w:t>
      </w:r>
      <w:r>
        <w:rPr>
          <w:rStyle w:val="Hervorhebung"/>
        </w:rPr>
        <w:t>The Quantum Theory of Fields, Vol. 1</w:t>
      </w:r>
      <w:r>
        <w:t>. Cambridge: Cambridge University Press.</w:t>
      </w:r>
      <w:r>
        <w:br/>
        <w:t xml:space="preserve">[26] Lanczos, C. (1986): </w:t>
      </w:r>
      <w:r>
        <w:rPr>
          <w:rStyle w:val="Hervorhebung"/>
        </w:rPr>
        <w:t>The Variational Principles of Mechanics</w:t>
      </w:r>
      <w:r>
        <w:t>. New York: Dover Publications.</w:t>
      </w:r>
      <w:r>
        <w:br/>
        <w:t xml:space="preserve">[27] Noether, E. (1918): </w:t>
      </w:r>
      <w:r>
        <w:rPr>
          <w:rStyle w:val="Hervorhebung"/>
        </w:rPr>
        <w:t>Invariante Variationsprobleme</w:t>
      </w:r>
      <w:r>
        <w:t>. Nachrichten von der Königlichen Gesellschaft der Wissenschaften zu Göttingen, Mathematisch-physikalische Klasse, 235–257.</w:t>
      </w:r>
      <w:r>
        <w:br/>
        <w:t xml:space="preserve">[28] Peskin, M. E., &amp; Schroeder, D. V. (1995): </w:t>
      </w:r>
      <w:r>
        <w:rPr>
          <w:rStyle w:val="Hervorhebung"/>
        </w:rPr>
        <w:t>An Introduction to Quantum Field Theory</w:t>
      </w:r>
      <w:r>
        <w:t>. Reading, MA: Addison-Wesley.</w:t>
      </w:r>
      <w:r>
        <w:br/>
        <w:t xml:space="preserve">[29] Prigogine, I. / Stengers, I. (1985): </w:t>
      </w:r>
      <w:r>
        <w:rPr>
          <w:rStyle w:val="Hervorhebung"/>
        </w:rPr>
        <w:t>Order Out of Chaos: Man’s New Dialogue with Nature</w:t>
      </w:r>
      <w:r>
        <w:t>. London: Flamingo.</w:t>
      </w:r>
      <w:r>
        <w:br/>
        <w:t xml:space="preserve">[30] Lakoff, G., &amp; Johnson, M. (1980): </w:t>
      </w:r>
      <w:r>
        <w:rPr>
          <w:rStyle w:val="Hervorhebung"/>
        </w:rPr>
        <w:t>Metaphors We Live By</w:t>
      </w:r>
      <w:r>
        <w:t>. Chicago: University of Chicago Press.</w:t>
      </w:r>
      <w:r>
        <w:br/>
        <w:t xml:space="preserve">[31] Eco, U. (1976): </w:t>
      </w:r>
      <w:r>
        <w:rPr>
          <w:rStyle w:val="Hervorhebung"/>
        </w:rPr>
        <w:t>A Theory of Semiotics</w:t>
      </w:r>
      <w:r>
        <w:t>. Bloomington: Indiana University Press.</w:t>
      </w:r>
      <w:r>
        <w:br/>
        <w:t xml:space="preserve">[32] Gärdenfors, P. (2000): </w:t>
      </w:r>
      <w:r>
        <w:rPr>
          <w:rStyle w:val="Hervorhebung"/>
        </w:rPr>
        <w:t>Conceptual Spaces: The Geometry of Thought</w:t>
      </w:r>
      <w:r>
        <w:t>. Cambridge, MA: MIT Press.</w:t>
      </w:r>
      <w:r>
        <w:br/>
        <w:t xml:space="preserve">[33] Rosch, E. (1978): </w:t>
      </w:r>
      <w:r>
        <w:rPr>
          <w:rStyle w:val="Hervorhebung"/>
        </w:rPr>
        <w:t>Principles of Categorization</w:t>
      </w:r>
      <w:r>
        <w:t xml:space="preserve">. In: Rosch, E., &amp; Lloyd, B. (Eds.), </w:t>
      </w:r>
      <w:r>
        <w:rPr>
          <w:rStyle w:val="Hervorhebung"/>
        </w:rPr>
        <w:t>Cognition and Categorization</w:t>
      </w:r>
      <w:r>
        <w:t xml:space="preserve"> (pp. 27–48). Hillsdale: Lawrence Erlbaum.</w:t>
      </w:r>
      <w:r>
        <w:br/>
        <w:t xml:space="preserve">[34] Butler, J. (1997): </w:t>
      </w:r>
      <w:r>
        <w:rPr>
          <w:rStyle w:val="Hervorhebung"/>
        </w:rPr>
        <w:t>Excitable Speech: A Politics of the Performative</w:t>
      </w:r>
      <w:r>
        <w:t>. New York: Routledge.</w:t>
      </w:r>
      <w:r>
        <w:br/>
        <w:t xml:space="preserve">[35] Geertz, C. (1973): </w:t>
      </w:r>
      <w:r>
        <w:rPr>
          <w:rStyle w:val="Hervorhebung"/>
        </w:rPr>
        <w:t>The Interpretation of Cultures</w:t>
      </w:r>
      <w:r>
        <w:t>. New York: Basic Books.</w:t>
      </w:r>
      <w:r>
        <w:br/>
        <w:t xml:space="preserve">[36] Gabora, L. (2000): </w:t>
      </w:r>
      <w:r>
        <w:rPr>
          <w:rStyle w:val="Hervorhebung"/>
        </w:rPr>
        <w:t>Conceptual Closure: Weaving Memories into an Interconnected Worldview</w:t>
      </w:r>
      <w:r>
        <w:t xml:space="preserve">. </w:t>
      </w:r>
      <w:r>
        <w:rPr>
          <w:rStyle w:val="Hervorhebung"/>
        </w:rPr>
        <w:t>Journal of Cognitive Science</w:t>
      </w:r>
      <w:r>
        <w:t>, 1(2), 213–235.</w:t>
      </w:r>
      <w:r>
        <w:br/>
        <w:t xml:space="preserve">[37] Foucault, M. (1971): </w:t>
      </w:r>
      <w:r>
        <w:rPr>
          <w:rStyle w:val="Hervorhebung"/>
        </w:rPr>
        <w:t>L’Ordre du discours</w:t>
      </w:r>
      <w:r>
        <w:t>. Paris: Gallimard.</w:t>
      </w:r>
      <w:r>
        <w:br/>
        <w:t xml:space="preserve">[38] Link, J. (1996): </w:t>
      </w:r>
      <w:r>
        <w:rPr>
          <w:rStyle w:val="Hervorhebung"/>
        </w:rPr>
        <w:t>Versuch über den Normalismus</w:t>
      </w:r>
      <w:r>
        <w:t>. Göttingen: Vandenhoeck &amp; Ruprecht.</w:t>
      </w:r>
      <w:r>
        <w:br/>
        <w:t xml:space="preserve">[39] Flavell, J. H. (1979): </w:t>
      </w:r>
      <w:r>
        <w:rPr>
          <w:rStyle w:val="Hervorhebung"/>
        </w:rPr>
        <w:t>Metacognition and Cognitive Monitoring: A New Area of Cognitive-Developmental Inquiry</w:t>
      </w:r>
      <w:r>
        <w:t xml:space="preserve">. </w:t>
      </w:r>
      <w:r>
        <w:rPr>
          <w:rStyle w:val="Hervorhebung"/>
        </w:rPr>
        <w:t>American Psychologist</w:t>
      </w:r>
      <w:r>
        <w:t>, 34(10), 906–911.</w:t>
      </w:r>
      <w:r>
        <w:br/>
        <w:t xml:space="preserve">[40] Kuhn, T. S. (1962): </w:t>
      </w:r>
      <w:r>
        <w:rPr>
          <w:rStyle w:val="Hervorhebung"/>
        </w:rPr>
        <w:t>The Structure of Scientific Revolutions</w:t>
      </w:r>
      <w:r>
        <w:t>. Chicago: University of Chicago Press.</w:t>
      </w:r>
      <w:r>
        <w:br/>
        <w:t xml:space="preserve">[41] Beck, A. T. (1976): </w:t>
      </w:r>
      <w:r>
        <w:rPr>
          <w:rStyle w:val="Hervorhebung"/>
        </w:rPr>
        <w:t>Cognitive Therapy and the Emotional Disorders</w:t>
      </w:r>
      <w:r>
        <w:t>. New York: International Universities Press.</w:t>
      </w:r>
      <w:r>
        <w:br/>
        <w:t xml:space="preserve">[42] Lakoff, G. (2004): </w:t>
      </w:r>
      <w:r>
        <w:rPr>
          <w:rStyle w:val="Hervorhebung"/>
        </w:rPr>
        <w:t>Don’t Think of an Elephant! Know Your Values and Frame the Debate</w:t>
      </w:r>
      <w:r>
        <w:t>. White River Junction, VT: Chelsea Green Publishing.</w:t>
      </w:r>
      <w:r>
        <w:br/>
        <w:t xml:space="preserve">[43] Nissen, M. (2019): </w:t>
      </w:r>
      <w:r>
        <w:rPr>
          <w:rStyle w:val="Hervorhebung"/>
        </w:rPr>
        <w:t>Ko-Evolutionärer Wandel zwischen Technik, Organisation und Kultur</w:t>
      </w:r>
      <w:r>
        <w:t xml:space="preserve">. In: </w:t>
      </w:r>
      <w:r>
        <w:rPr>
          <w:rStyle w:val="Hervorhebung"/>
        </w:rPr>
        <w:t>Technikfolgenabschätzung – Theorie und Praxis (TATuP)</w:t>
      </w:r>
      <w:r>
        <w:t>, 28(1), 4–10.</w:t>
      </w:r>
      <w:r>
        <w:br/>
        <w:t xml:space="preserve">[44] Gabora, L. (2013): </w:t>
      </w:r>
      <w:r>
        <w:rPr>
          <w:rStyle w:val="Hervorhebung"/>
        </w:rPr>
        <w:t>An Evolutionary Framework for Culture: Selectionism versus Communal Exchange</w:t>
      </w:r>
      <w:r>
        <w:t xml:space="preserve">. In: </w:t>
      </w:r>
      <w:r>
        <w:rPr>
          <w:rStyle w:val="Hervorhebung"/>
        </w:rPr>
        <w:t>Biosystems</w:t>
      </w:r>
      <w:r>
        <w:t>, 114(1), 102–110.</w:t>
      </w:r>
      <w:r>
        <w:br/>
        <w:t xml:space="preserve">[45] Luhmann, N. (1997): </w:t>
      </w:r>
      <w:r>
        <w:rPr>
          <w:rStyle w:val="Hervorhebung"/>
        </w:rPr>
        <w:t>Die Gesellschaft der Gesellschaft</w:t>
      </w:r>
      <w:r>
        <w:t>. Frankfurt am Main: Suhrkamp.</w:t>
      </w:r>
      <w:r>
        <w:br/>
        <w:t xml:space="preserve">[46] Nelson, R. R. &amp; Winter, S. G. (1982): </w:t>
      </w:r>
      <w:r>
        <w:rPr>
          <w:rStyle w:val="Hervorhebung"/>
        </w:rPr>
        <w:t>An Evolutionary Theory of Economic Change</w:t>
      </w:r>
      <w:r>
        <w:t>. Cambridge, MA: Harvard University Press.</w:t>
      </w:r>
      <w:r>
        <w:br/>
        <w:t xml:space="preserve">[47] Winner, L. (1980): </w:t>
      </w:r>
      <w:r>
        <w:rPr>
          <w:rStyle w:val="Hervorhebung"/>
        </w:rPr>
        <w:t>Do Artifacts Have Politics?</w:t>
      </w:r>
      <w:r>
        <w:t xml:space="preserve"> In: </w:t>
      </w:r>
      <w:r>
        <w:rPr>
          <w:rStyle w:val="Hervorhebung"/>
        </w:rPr>
        <w:t>Daedalus</w:t>
      </w:r>
      <w:r>
        <w:t>, 109(1), 121–136.</w:t>
      </w:r>
      <w:r>
        <w:br/>
        <w:t xml:space="preserve">[48] Floridi, L., Cowls, J., Beltrametti, M. et al. (2018): </w:t>
      </w:r>
      <w:r>
        <w:rPr>
          <w:rStyle w:val="Hervorhebung"/>
        </w:rPr>
        <w:t>AI4People – An Ethical Framework for a Good AI Society</w:t>
      </w:r>
      <w:r>
        <w:t xml:space="preserve">. In: </w:t>
      </w:r>
      <w:r>
        <w:rPr>
          <w:rStyle w:val="Hervorhebung"/>
        </w:rPr>
        <w:t>Minds and Machines</w:t>
      </w:r>
      <w:r>
        <w:t>, 28(4), 689–707.</w:t>
      </w:r>
      <w:r>
        <w:br/>
        <w:t xml:space="preserve">[49] Mittelstadt, B. D. (2019): </w:t>
      </w:r>
      <w:r>
        <w:rPr>
          <w:rStyle w:val="Hervorhebung"/>
        </w:rPr>
        <w:t>Principles alone cannot guarantee ethical AI</w:t>
      </w:r>
      <w:r>
        <w:t xml:space="preserve">. In: </w:t>
      </w:r>
      <w:r>
        <w:rPr>
          <w:rStyle w:val="Hervorhebung"/>
        </w:rPr>
        <w:t>Nature Machine Intelligence</w:t>
      </w:r>
      <w:r>
        <w:t>, 1(11), 501–507.</w:t>
      </w:r>
      <w:r>
        <w:br/>
        <w:t xml:space="preserve">[50] Coeckelbergh, M. (2021): </w:t>
      </w:r>
      <w:r>
        <w:rPr>
          <w:rStyle w:val="Hervorhebung"/>
        </w:rPr>
        <w:t>Narrative Responsibility and Artificial Intelligence</w:t>
      </w:r>
      <w:r>
        <w:t xml:space="preserve">. In: </w:t>
      </w:r>
      <w:r>
        <w:rPr>
          <w:rStyle w:val="Hervorhebung"/>
        </w:rPr>
        <w:t>AI &amp; Society</w:t>
      </w:r>
      <w:r>
        <w:t>, 36(3), 623–634.</w:t>
      </w:r>
    </w:p>
    <w:p w14:paraId="7A1218FE" w14:textId="77777777" w:rsidR="002029E6" w:rsidRDefault="002029E6">
      <w:pPr>
        <w:rPr>
          <w:rFonts w:ascii="Segoe UI Emoji" w:hAnsi="Segoe UI Emoji" w:cs="Segoe UI Emoji"/>
          <w:b/>
          <w:sz w:val="32"/>
          <w:szCs w:val="26"/>
        </w:rPr>
      </w:pPr>
      <w:r>
        <w:rPr>
          <w:rFonts w:ascii="Segoe UI Emoji" w:hAnsi="Segoe UI Emoji" w:cs="Segoe UI Emoji"/>
        </w:rPr>
        <w:br w:type="page"/>
      </w:r>
    </w:p>
    <w:p w14:paraId="6A4DFEB1" w14:textId="395A8D75" w:rsidR="002029E6" w:rsidRDefault="002029E6" w:rsidP="002029E6">
      <w:pPr>
        <w:pStyle w:val="StandardWeb"/>
      </w:pPr>
    </w:p>
    <w:p w14:paraId="5F1D5C58" w14:textId="77777777" w:rsidR="002029E6" w:rsidRDefault="002029E6">
      <w:r>
        <w:br w:type="page"/>
      </w:r>
    </w:p>
    <w:p w14:paraId="67DA6AFC" w14:textId="77777777" w:rsidR="00C359A6" w:rsidRDefault="00000000" w:rsidP="00C359A6">
      <w:bookmarkStart w:id="0" w:name="_Hlk202065839"/>
      <w:r>
        <w:pict w14:anchorId="779248B7">
          <v:rect id="_x0000_i1081" style="width:0;height:1.5pt" o:hralign="center" o:hrstd="t" o:hr="t" fillcolor="#a0a0a0" stroked="f"/>
        </w:pict>
      </w:r>
    </w:p>
    <w:p w14:paraId="414740A8" w14:textId="77777777" w:rsidR="00C359A6" w:rsidRDefault="00C359A6" w:rsidP="00C359A6">
      <w:pPr>
        <w:pStyle w:val="berschrift3"/>
      </w:pPr>
      <w:r>
        <w:rPr>
          <w:rFonts w:ascii="Segoe UI Emoji" w:hAnsi="Segoe UI Emoji" w:cs="Segoe UI Emoji"/>
        </w:rPr>
        <w:t>📌</w:t>
      </w:r>
      <w:r>
        <w:t xml:space="preserve"> Hinweise zur Nutzung:</w:t>
      </w:r>
    </w:p>
    <w:p w14:paraId="65883137" w14:textId="77777777" w:rsidR="00C359A6" w:rsidRDefault="00C359A6" w:rsidP="00C359A6">
      <w:pPr>
        <w:pStyle w:val="StandardWeb"/>
        <w:numPr>
          <w:ilvl w:val="0"/>
          <w:numId w:val="14"/>
        </w:numPr>
      </w:pPr>
      <w:r>
        <w:t>Diese Tabelle eignet sich hervorragend für:</w:t>
      </w:r>
    </w:p>
    <w:p w14:paraId="34D4F00F" w14:textId="77777777" w:rsidR="00C359A6" w:rsidRDefault="00C359A6" w:rsidP="00C359A6">
      <w:pPr>
        <w:pStyle w:val="StandardWeb"/>
        <w:numPr>
          <w:ilvl w:val="1"/>
          <w:numId w:val="14"/>
        </w:numPr>
      </w:pPr>
      <w:r>
        <w:t xml:space="preserve">den </w:t>
      </w:r>
      <w:r>
        <w:rPr>
          <w:rStyle w:val="Fett"/>
        </w:rPr>
        <w:t>Forschungsstandteil</w:t>
      </w:r>
      <w:r>
        <w:t xml:space="preserve"> deiner Dissertation,</w:t>
      </w:r>
    </w:p>
    <w:p w14:paraId="680A4A8F" w14:textId="77777777" w:rsidR="00C359A6" w:rsidRDefault="00C359A6" w:rsidP="00C359A6">
      <w:pPr>
        <w:pStyle w:val="StandardWeb"/>
        <w:numPr>
          <w:ilvl w:val="1"/>
          <w:numId w:val="14"/>
        </w:numPr>
      </w:pPr>
      <w:r>
        <w:t xml:space="preserve">die </w:t>
      </w:r>
      <w:r>
        <w:rPr>
          <w:rStyle w:val="Fett"/>
        </w:rPr>
        <w:t>Einordnung der Modellleistung des FRZK</w:t>
      </w:r>
      <w:r>
        <w:t>,</w:t>
      </w:r>
    </w:p>
    <w:p w14:paraId="6DDB4B5B" w14:textId="77777777" w:rsidR="00C359A6" w:rsidRDefault="00C359A6" w:rsidP="00C359A6">
      <w:pPr>
        <w:pStyle w:val="StandardWeb"/>
        <w:numPr>
          <w:ilvl w:val="1"/>
          <w:numId w:val="14"/>
        </w:numPr>
      </w:pPr>
      <w:r>
        <w:t xml:space="preserve">oder für ein </w:t>
      </w:r>
      <w:r>
        <w:rPr>
          <w:rStyle w:val="Fett"/>
        </w:rPr>
        <w:t>Vorwort zur Anschlussfähigkeit</w:t>
      </w:r>
      <w:r>
        <w:t xml:space="preserve"> des Modells.</w:t>
      </w:r>
    </w:p>
    <w:p w14:paraId="10E6C21F" w14:textId="77777777" w:rsidR="00C359A6" w:rsidRDefault="00C359A6" w:rsidP="00C359A6">
      <w:pPr>
        <w:pStyle w:val="StandardWeb"/>
        <w:numPr>
          <w:ilvl w:val="0"/>
          <w:numId w:val="14"/>
        </w:numPr>
      </w:pPr>
      <w:r>
        <w:t>Auf Wunsch kann ich:</w:t>
      </w:r>
    </w:p>
    <w:p w14:paraId="7FB1CDA4" w14:textId="77777777" w:rsidR="00C359A6" w:rsidRDefault="00C359A6" w:rsidP="00C359A6">
      <w:pPr>
        <w:pStyle w:val="StandardWeb"/>
        <w:numPr>
          <w:ilvl w:val="1"/>
          <w:numId w:val="14"/>
        </w:numPr>
      </w:pPr>
      <w:r>
        <w:t xml:space="preserve">diese Tabelle als </w:t>
      </w:r>
      <w:r>
        <w:rPr>
          <w:rStyle w:val="Fett"/>
        </w:rPr>
        <w:t>Word- oder Excel-Datei</w:t>
      </w:r>
      <w:r>
        <w:t xml:space="preserve"> bereitstellen,</w:t>
      </w:r>
    </w:p>
    <w:p w14:paraId="632AF720" w14:textId="77777777" w:rsidR="00C359A6" w:rsidRDefault="00C359A6" w:rsidP="00C359A6">
      <w:pPr>
        <w:pStyle w:val="StandardWeb"/>
        <w:numPr>
          <w:ilvl w:val="1"/>
          <w:numId w:val="14"/>
        </w:numPr>
      </w:pPr>
      <w:r>
        <w:t xml:space="preserve">daraus eine </w:t>
      </w:r>
      <w:r>
        <w:rPr>
          <w:rStyle w:val="Fett"/>
        </w:rPr>
        <w:t>visuelle Forschungslandkarte</w:t>
      </w:r>
      <w:r>
        <w:t xml:space="preserve"> entwickeln,</w:t>
      </w:r>
    </w:p>
    <w:p w14:paraId="02576BDB" w14:textId="77777777" w:rsidR="00C359A6" w:rsidRDefault="00C359A6" w:rsidP="00C359A6">
      <w:pPr>
        <w:pStyle w:val="StandardWeb"/>
        <w:numPr>
          <w:ilvl w:val="1"/>
          <w:numId w:val="14"/>
        </w:numPr>
      </w:pPr>
      <w:r>
        <w:t xml:space="preserve">oder jede Forschungslinie </w:t>
      </w:r>
      <w:r>
        <w:rPr>
          <w:rStyle w:val="Fett"/>
        </w:rPr>
        <w:t>mit vertiefter Literaturbasis</w:t>
      </w:r>
      <w:r>
        <w:t xml:space="preserve"> ergänzen (z. B. Annotated Bibliography).</w:t>
      </w:r>
    </w:p>
    <w:bookmarkEnd w:id="0"/>
    <w:p w14:paraId="6ED1733E" w14:textId="77777777" w:rsidR="00C359A6" w:rsidRDefault="00C359A6" w:rsidP="00C359A6">
      <w:pPr>
        <w:pStyle w:val="StandardWeb"/>
      </w:pPr>
      <w:r>
        <w:t>Möchtest du das?</w:t>
      </w:r>
    </w:p>
    <w:p w14:paraId="743F04B0" w14:textId="77777777" w:rsidR="00C359A6" w:rsidRDefault="00C359A6" w:rsidP="00C359A6">
      <w:pPr>
        <w:pStyle w:val="berschrift5"/>
      </w:pPr>
      <w:r>
        <w:t>Du:</w:t>
      </w:r>
    </w:p>
    <w:p w14:paraId="30A3CBC0" w14:textId="77777777" w:rsidR="00C359A6" w:rsidRDefault="00C359A6" w:rsidP="00C359A6">
      <w:r>
        <w:t>upps, dann brauche ich jetzt genau zu diesen forschungsthemen eine aus kapitel 3 und 4 abgeleitete tabelle, wo denn nun genau die innovationen/anschlussfähigkeit liegen</w:t>
      </w:r>
    </w:p>
    <w:p w14:paraId="16CC4950" w14:textId="77777777" w:rsidR="00C359A6" w:rsidRDefault="00C359A6" w:rsidP="00C359A6">
      <w:pPr>
        <w:pStyle w:val="berschrift6"/>
      </w:pPr>
      <w:r>
        <w:t>ChatGPT:</w:t>
      </w:r>
    </w:p>
    <w:p w14:paraId="15C2A28C" w14:textId="571C1C49" w:rsidR="00C359A6" w:rsidRDefault="00C359A6" w:rsidP="00C359A6">
      <w:pPr>
        <w:pStyle w:val="StandardWeb"/>
        <w:numPr>
          <w:ilvl w:val="1"/>
          <w:numId w:val="15"/>
        </w:numPr>
      </w:pPr>
    </w:p>
    <w:tbl>
      <w:tblPr>
        <w:tblW w:w="9451" w:type="dxa"/>
        <w:tblCellSpacing w:w="15" w:type="dxa"/>
        <w:tblCellMar>
          <w:top w:w="15" w:type="dxa"/>
          <w:left w:w="15" w:type="dxa"/>
          <w:bottom w:w="15" w:type="dxa"/>
          <w:right w:w="15" w:type="dxa"/>
        </w:tblCellMar>
        <w:tblLook w:val="04A0" w:firstRow="1" w:lastRow="0" w:firstColumn="1" w:lastColumn="0" w:noHBand="0" w:noVBand="1"/>
      </w:tblPr>
      <w:tblGrid>
        <w:gridCol w:w="914"/>
        <w:gridCol w:w="955"/>
        <w:gridCol w:w="1224"/>
        <w:gridCol w:w="1159"/>
        <w:gridCol w:w="2517"/>
        <w:gridCol w:w="2411"/>
        <w:gridCol w:w="2368"/>
        <w:gridCol w:w="45"/>
      </w:tblGrid>
      <w:tr w:rsidR="00C359A6" w14:paraId="6A60C2D2" w14:textId="77777777" w:rsidTr="00C359A6">
        <w:trPr>
          <w:gridAfter w:val="1"/>
          <w:tblHeader/>
          <w:tblCellSpacing w:w="15" w:type="dxa"/>
        </w:trPr>
        <w:tc>
          <w:tcPr>
            <w:tcW w:w="0" w:type="auto"/>
            <w:gridSpan w:val="2"/>
            <w:vAlign w:val="center"/>
            <w:hideMark/>
          </w:tcPr>
          <w:p w14:paraId="7DD89B6D" w14:textId="77777777" w:rsidR="00C359A6" w:rsidRDefault="00C359A6">
            <w:pPr>
              <w:jc w:val="center"/>
              <w:rPr>
                <w:b/>
                <w:bCs/>
              </w:rPr>
            </w:pPr>
            <w:r>
              <w:rPr>
                <w:rStyle w:val="Fett"/>
              </w:rPr>
              <w:t>Abschnitt</w:t>
            </w:r>
          </w:p>
        </w:tc>
        <w:tc>
          <w:tcPr>
            <w:tcW w:w="0" w:type="auto"/>
            <w:gridSpan w:val="2"/>
            <w:vAlign w:val="center"/>
            <w:hideMark/>
          </w:tcPr>
          <w:p w14:paraId="79CF8EB2" w14:textId="77777777" w:rsidR="00C359A6" w:rsidRDefault="00C359A6">
            <w:pPr>
              <w:jc w:val="center"/>
              <w:rPr>
                <w:b/>
                <w:bCs/>
              </w:rPr>
            </w:pPr>
            <w:r>
              <w:rPr>
                <w:rStyle w:val="Fett"/>
              </w:rPr>
              <w:t>Textstelle</w:t>
            </w:r>
          </w:p>
        </w:tc>
        <w:tc>
          <w:tcPr>
            <w:tcW w:w="0" w:type="auto"/>
            <w:vAlign w:val="center"/>
            <w:hideMark/>
          </w:tcPr>
          <w:p w14:paraId="2AA22FD6" w14:textId="77777777" w:rsidR="00C359A6" w:rsidRDefault="00C359A6">
            <w:pPr>
              <w:jc w:val="center"/>
              <w:rPr>
                <w:b/>
                <w:bCs/>
              </w:rPr>
            </w:pPr>
            <w:r>
              <w:rPr>
                <w:rStyle w:val="Fett"/>
              </w:rPr>
              <w:t>Abbildungsbeschreibung</w:t>
            </w:r>
          </w:p>
        </w:tc>
        <w:tc>
          <w:tcPr>
            <w:tcW w:w="0" w:type="auto"/>
            <w:gridSpan w:val="2"/>
            <w:vAlign w:val="center"/>
            <w:hideMark/>
          </w:tcPr>
          <w:p w14:paraId="2B11F13F" w14:textId="77777777" w:rsidR="00C359A6" w:rsidRDefault="00C359A6">
            <w:pPr>
              <w:jc w:val="center"/>
              <w:rPr>
                <w:b/>
                <w:bCs/>
              </w:rPr>
            </w:pPr>
            <w:r>
              <w:rPr>
                <w:rStyle w:val="Fett"/>
              </w:rPr>
              <w:t>Quelle / Link</w:t>
            </w:r>
          </w:p>
        </w:tc>
      </w:tr>
      <w:tr w:rsidR="00C359A6" w14:paraId="6A69594D" w14:textId="77777777" w:rsidTr="00C359A6">
        <w:trPr>
          <w:gridAfter w:val="1"/>
          <w:tblCellSpacing w:w="15" w:type="dxa"/>
        </w:trPr>
        <w:tc>
          <w:tcPr>
            <w:tcW w:w="0" w:type="auto"/>
            <w:gridSpan w:val="2"/>
            <w:vAlign w:val="center"/>
            <w:hideMark/>
          </w:tcPr>
          <w:p w14:paraId="1D1ED054" w14:textId="77777777" w:rsidR="00C359A6" w:rsidRDefault="00C359A6">
            <w:r>
              <w:rPr>
                <w:rStyle w:val="Fett"/>
              </w:rPr>
              <w:t>4.5</w:t>
            </w:r>
            <w:r>
              <w:t xml:space="preserve"> Bedeutungsfelder</w:t>
            </w:r>
          </w:p>
        </w:tc>
        <w:tc>
          <w:tcPr>
            <w:tcW w:w="0" w:type="auto"/>
            <w:gridSpan w:val="2"/>
            <w:vAlign w:val="center"/>
            <w:hideMark/>
          </w:tcPr>
          <w:p w14:paraId="422AD86B" w14:textId="77777777" w:rsidR="00C359A6" w:rsidRDefault="00C359A6">
            <w:r>
              <w:t>„semantische Attraktorlandschaften“</w:t>
            </w:r>
          </w:p>
        </w:tc>
        <w:tc>
          <w:tcPr>
            <w:tcW w:w="0" w:type="auto"/>
            <w:vAlign w:val="center"/>
            <w:hideMark/>
          </w:tcPr>
          <w:p w14:paraId="00BD59AA" w14:textId="77777777" w:rsidR="00C359A6" w:rsidRDefault="00C359A6">
            <w:r>
              <w:t xml:space="preserve">ForceAtlas2-Netzwerkvisualisierung zum semantischen Feld des Begriffs „meme“ mit farbcodierten Clustern (blau, orange, grün) </w:t>
            </w:r>
            <w:r>
              <w:rPr>
                <w:rFonts w:ascii="Segoe UI Symbol" w:hAnsi="Segoe UI Symbol" w:cs="Segoe UI Symbol"/>
              </w:rPr>
              <w:t>★</w:t>
            </w:r>
            <w:r>
              <w:t xml:space="preserve"> ideal zur Darstellung dynamischer Bedeutungsfelder und Attraktoren.</w:t>
            </w:r>
          </w:p>
        </w:tc>
        <w:tc>
          <w:tcPr>
            <w:tcW w:w="0" w:type="auto"/>
            <w:gridSpan w:val="2"/>
            <w:vAlign w:val="center"/>
            <w:hideMark/>
          </w:tcPr>
          <w:p w14:paraId="7B258B99" w14:textId="77777777" w:rsidR="00C359A6" w:rsidRDefault="00000000">
            <w:hyperlink r:id="rId10" w:history="1">
              <w:r w:rsidR="00C359A6">
                <w:rPr>
                  <w:rStyle w:val="Hyperlink"/>
                </w:rPr>
                <w:t>https://www.researchgate.net/figure/Figure1-Complex-network-visualization-of-the-semantic-field-of-term-meme-created-with_fig1_322526107</w:t>
              </w:r>
            </w:hyperlink>
            <w:r w:rsidR="00C359A6">
              <w:t xml:space="preserve"> (</w:t>
            </w:r>
            <w:hyperlink r:id="rId11" w:tooltip="Figure1. Complex network visualization of the semantic field of term..." w:history="1">
              <w:r w:rsidR="00C359A6">
                <w:rPr>
                  <w:rStyle w:val="Hyperlink"/>
                </w:rPr>
                <w:t>researchgate.net</w:t>
              </w:r>
            </w:hyperlink>
            <w:r w:rsidR="00C359A6">
              <w:t>)</w:t>
            </w:r>
          </w:p>
        </w:tc>
      </w:tr>
      <w:tr w:rsidR="00C359A6" w14:paraId="41FDB99B" w14:textId="77777777" w:rsidTr="00C359A6">
        <w:trPr>
          <w:gridAfter w:val="1"/>
          <w:tblCellSpacing w:w="15" w:type="dxa"/>
        </w:trPr>
        <w:tc>
          <w:tcPr>
            <w:tcW w:w="0" w:type="auto"/>
            <w:gridSpan w:val="2"/>
            <w:vAlign w:val="center"/>
            <w:hideMark/>
          </w:tcPr>
          <w:p w14:paraId="6693D9EE" w14:textId="77777777" w:rsidR="00C359A6" w:rsidRDefault="00C359A6">
            <w:r>
              <w:rPr>
                <w:rStyle w:val="Fett"/>
              </w:rPr>
              <w:t>4.5</w:t>
            </w:r>
            <w:r>
              <w:t xml:space="preserve"> Semantik</w:t>
            </w:r>
          </w:p>
        </w:tc>
        <w:tc>
          <w:tcPr>
            <w:tcW w:w="0" w:type="auto"/>
            <w:gridSpan w:val="2"/>
            <w:vAlign w:val="center"/>
            <w:hideMark/>
          </w:tcPr>
          <w:p w14:paraId="511C5C12" w14:textId="77777777" w:rsidR="00C359A6" w:rsidRDefault="00C359A6">
            <w:r>
              <w:t>„semantische Feldstrukturen … kontextabhängig“</w:t>
            </w:r>
          </w:p>
        </w:tc>
        <w:tc>
          <w:tcPr>
            <w:tcW w:w="0" w:type="auto"/>
            <w:vAlign w:val="center"/>
            <w:hideMark/>
          </w:tcPr>
          <w:p w14:paraId="48050BDC" w14:textId="77777777" w:rsidR="00C359A6" w:rsidRDefault="00C359A6">
            <w:r>
              <w:t>Diagramm zweier semantischer Felder („City“ vs. „Network“) – verdeutlicht unterschiedliche Bedeutungsräume innerhalb derselben Methode.</w:t>
            </w:r>
          </w:p>
        </w:tc>
        <w:tc>
          <w:tcPr>
            <w:tcW w:w="0" w:type="auto"/>
            <w:gridSpan w:val="2"/>
            <w:vAlign w:val="center"/>
            <w:hideMark/>
          </w:tcPr>
          <w:p w14:paraId="04A4D14A" w14:textId="77777777" w:rsidR="00C359A6" w:rsidRDefault="00000000">
            <w:hyperlink r:id="rId12" w:history="1">
              <w:r w:rsidR="00C359A6">
                <w:rPr>
                  <w:rStyle w:val="Hyperlink"/>
                </w:rPr>
                <w:t>https://www.researchgate.net/figure/Semantic-fields-A-City-B-Network_fig5_327173390</w:t>
              </w:r>
            </w:hyperlink>
            <w:r w:rsidR="00C359A6">
              <w:t xml:space="preserve"> </w:t>
            </w:r>
          </w:p>
        </w:tc>
      </w:tr>
      <w:tr w:rsidR="00C359A6" w14:paraId="406FDC1D" w14:textId="77777777" w:rsidTr="00C359A6">
        <w:trPr>
          <w:gridAfter w:val="1"/>
          <w:tblCellSpacing w:w="15" w:type="dxa"/>
        </w:trPr>
        <w:tc>
          <w:tcPr>
            <w:tcW w:w="0" w:type="auto"/>
            <w:gridSpan w:val="2"/>
            <w:vAlign w:val="center"/>
            <w:hideMark/>
          </w:tcPr>
          <w:p w14:paraId="3DC65237" w14:textId="77777777" w:rsidR="00C359A6" w:rsidRDefault="00C359A6">
            <w:r>
              <w:rPr>
                <w:rStyle w:val="Fett"/>
              </w:rPr>
              <w:t>4.2 / 4.7</w:t>
            </w:r>
            <w:r>
              <w:t xml:space="preserve"> Systemstruktur</w:t>
            </w:r>
          </w:p>
        </w:tc>
        <w:tc>
          <w:tcPr>
            <w:tcW w:w="0" w:type="auto"/>
            <w:gridSpan w:val="2"/>
            <w:vAlign w:val="center"/>
            <w:hideMark/>
          </w:tcPr>
          <w:p w14:paraId="7C4CD8D3" w14:textId="77777777" w:rsidR="00C359A6" w:rsidRDefault="00C359A6">
            <w:r>
              <w:t>„funktionale Kopplung zwischen semantischen und kulturellen Operatoren“</w:t>
            </w:r>
          </w:p>
        </w:tc>
        <w:tc>
          <w:tcPr>
            <w:tcW w:w="0" w:type="auto"/>
            <w:vAlign w:val="center"/>
            <w:hideMark/>
          </w:tcPr>
          <w:p w14:paraId="2B27167B" w14:textId="77777777" w:rsidR="00C359A6" w:rsidRDefault="00C359A6">
            <w:r>
              <w:t>Illustration der hierarchischen Struktur komplexer Systeme mit mehreren Ebenen und Rückkopplung zwischen Subsystemen.</w:t>
            </w:r>
          </w:p>
        </w:tc>
        <w:tc>
          <w:tcPr>
            <w:tcW w:w="0" w:type="auto"/>
            <w:gridSpan w:val="2"/>
            <w:vAlign w:val="center"/>
            <w:hideMark/>
          </w:tcPr>
          <w:p w14:paraId="15964208" w14:textId="77777777" w:rsidR="00C359A6" w:rsidRDefault="00000000">
            <w:hyperlink r:id="rId13" w:history="1">
              <w:r w:rsidR="00C359A6">
                <w:rPr>
                  <w:rStyle w:val="Hyperlink"/>
                </w:rPr>
                <w:t>https://www.researchgate.net/figure/The-hierarchical-structure-of-complex-product-systems_fig1_276896368</w:t>
              </w:r>
            </w:hyperlink>
            <w:r w:rsidR="00C359A6">
              <w:t xml:space="preserve"> </w:t>
            </w:r>
          </w:p>
        </w:tc>
      </w:tr>
      <w:tr w:rsidR="00C359A6" w14:paraId="738DC210" w14:textId="77777777" w:rsidTr="00C359A6">
        <w:trPr>
          <w:gridAfter w:val="1"/>
          <w:tblCellSpacing w:w="15" w:type="dxa"/>
        </w:trPr>
        <w:tc>
          <w:tcPr>
            <w:tcW w:w="0" w:type="auto"/>
            <w:gridSpan w:val="2"/>
            <w:vAlign w:val="center"/>
            <w:hideMark/>
          </w:tcPr>
          <w:p w14:paraId="1E5C08A6" w14:textId="77777777" w:rsidR="00C359A6" w:rsidRDefault="00C359A6">
            <w:r>
              <w:rPr>
                <w:rStyle w:val="Fett"/>
              </w:rPr>
              <w:t>4.2 / 4.3</w:t>
            </w:r>
            <w:r>
              <w:t xml:space="preserve"> Rekursion, Emergenz</w:t>
            </w:r>
          </w:p>
        </w:tc>
        <w:tc>
          <w:tcPr>
            <w:tcW w:w="0" w:type="auto"/>
            <w:gridSpan w:val="2"/>
            <w:vAlign w:val="center"/>
            <w:hideMark/>
          </w:tcPr>
          <w:p w14:paraId="4BC4800D" w14:textId="77777777" w:rsidR="00C359A6" w:rsidRDefault="00C359A6">
            <w:r>
              <w:t>„hierarchisch organisierter komplexer Systeme mit dynamischen Relationen“</w:t>
            </w:r>
          </w:p>
        </w:tc>
        <w:tc>
          <w:tcPr>
            <w:tcW w:w="0" w:type="auto"/>
            <w:vAlign w:val="center"/>
            <w:hideMark/>
          </w:tcPr>
          <w:p w14:paraId="4C7151F5" w14:textId="77777777" w:rsidR="00C359A6" w:rsidRDefault="00C359A6">
            <w:r>
              <w:t>Grafische Darstellung mehrstufiger Hierarchie mit Elementen und relationaler Emergenz – unterstützt die Visualisierung operatorischer Emergenz.</w:t>
            </w:r>
          </w:p>
        </w:tc>
        <w:tc>
          <w:tcPr>
            <w:tcW w:w="0" w:type="auto"/>
            <w:gridSpan w:val="2"/>
            <w:vAlign w:val="center"/>
            <w:hideMark/>
          </w:tcPr>
          <w:p w14:paraId="3261F8AD" w14:textId="77777777" w:rsidR="00C359A6" w:rsidRDefault="00000000">
            <w:hyperlink r:id="rId14" w:history="1">
              <w:r w:rsidR="00C359A6">
                <w:rPr>
                  <w:rStyle w:val="Hyperlink"/>
                </w:rPr>
                <w:t>https://www.researchgate.net/figure/The-Representation-of-a-Hierarchical-Complex-System_fig1_324178213</w:t>
              </w:r>
            </w:hyperlink>
            <w:r w:rsidR="00C359A6">
              <w:t xml:space="preserve"> </w:t>
            </w:r>
          </w:p>
        </w:tc>
      </w:tr>
      <w:tr w:rsidR="00C359A6" w14:paraId="0A4487AF" w14:textId="77777777" w:rsidTr="00C359A6">
        <w:trPr>
          <w:gridAfter w:val="1"/>
          <w:tblCellSpacing w:w="15" w:type="dxa"/>
        </w:trPr>
        <w:tc>
          <w:tcPr>
            <w:tcW w:w="0" w:type="auto"/>
            <w:gridSpan w:val="2"/>
            <w:vAlign w:val="center"/>
            <w:hideMark/>
          </w:tcPr>
          <w:p w14:paraId="205AC904" w14:textId="77777777" w:rsidR="00C359A6" w:rsidRDefault="00C359A6">
            <w:r>
              <w:rPr>
                <w:rStyle w:val="Fett"/>
              </w:rPr>
              <w:t>4.2 / 4.3</w:t>
            </w:r>
            <w:r>
              <w:t xml:space="preserve"> Rekursive Operatorstruktur</w:t>
            </w:r>
          </w:p>
        </w:tc>
        <w:tc>
          <w:tcPr>
            <w:tcW w:w="0" w:type="auto"/>
            <w:gridSpan w:val="2"/>
            <w:vAlign w:val="center"/>
            <w:hideMark/>
          </w:tcPr>
          <w:p w14:paraId="55DE52D4" w14:textId="77777777" w:rsidR="00C359A6" w:rsidRDefault="00C359A6">
            <w:r>
              <w:t>„rekursive Systemlogik … in selbstbeschreibenden Systemen“</w:t>
            </w:r>
          </w:p>
        </w:tc>
        <w:tc>
          <w:tcPr>
            <w:tcW w:w="0" w:type="auto"/>
            <w:vAlign w:val="center"/>
            <w:hideMark/>
          </w:tcPr>
          <w:p w14:paraId="4D1C6795" w14:textId="77777777" w:rsidR="00C359A6" w:rsidRDefault="00C359A6">
            <w:r>
              <w:t>Abstrakte Hierarchie-Grafik, die Selbstorganisation und übergeordnete Kontrolle in komplexen Systemen illustriert.</w:t>
            </w:r>
          </w:p>
        </w:tc>
        <w:tc>
          <w:tcPr>
            <w:tcW w:w="0" w:type="auto"/>
            <w:gridSpan w:val="2"/>
            <w:vAlign w:val="center"/>
            <w:hideMark/>
          </w:tcPr>
          <w:p w14:paraId="55BE8D6E" w14:textId="77777777" w:rsidR="00C359A6" w:rsidRDefault="00000000">
            <w:hyperlink r:id="rId15" w:history="1">
              <w:r w:rsidR="00C359A6">
                <w:rPr>
                  <w:rStyle w:val="Hyperlink"/>
                </w:rPr>
                <w:t>https://www.researchgate.net/figure/Abstract-representation-and-synthesis-of-Complex-Systems-including-their-constituent_fig1_225270803</w:t>
              </w:r>
            </w:hyperlink>
            <w:r w:rsidR="00C359A6">
              <w:t xml:space="preserve"> </w:t>
            </w:r>
          </w:p>
        </w:tc>
      </w:tr>
      <w:tr w:rsidR="00C359A6" w14:paraId="1B0923F7" w14:textId="77777777" w:rsidTr="00C359A6">
        <w:trPr>
          <w:gridBefore w:val="1"/>
          <w:tblHeader/>
          <w:tblCellSpacing w:w="15" w:type="dxa"/>
        </w:trPr>
        <w:tc>
          <w:tcPr>
            <w:tcW w:w="0" w:type="auto"/>
            <w:gridSpan w:val="2"/>
            <w:vAlign w:val="center"/>
            <w:hideMark/>
          </w:tcPr>
          <w:p w14:paraId="6F417450" w14:textId="77777777" w:rsidR="00C359A6" w:rsidRDefault="00C359A6">
            <w:pPr>
              <w:jc w:val="center"/>
              <w:rPr>
                <w:b/>
                <w:bCs/>
              </w:rPr>
            </w:pPr>
            <w:r>
              <w:rPr>
                <w:rStyle w:val="Fett"/>
              </w:rPr>
              <w:t>Abschnitt / Textstelle</w:t>
            </w:r>
          </w:p>
        </w:tc>
        <w:tc>
          <w:tcPr>
            <w:tcW w:w="0" w:type="auto"/>
            <w:gridSpan w:val="3"/>
            <w:vAlign w:val="center"/>
            <w:hideMark/>
          </w:tcPr>
          <w:p w14:paraId="3D181474" w14:textId="77777777" w:rsidR="00C359A6" w:rsidRDefault="00C359A6">
            <w:pPr>
              <w:jc w:val="center"/>
              <w:rPr>
                <w:b/>
                <w:bCs/>
              </w:rPr>
            </w:pPr>
            <w:r>
              <w:rPr>
                <w:rStyle w:val="Fett"/>
              </w:rPr>
              <w:t>Abbildungsname</w:t>
            </w:r>
          </w:p>
        </w:tc>
        <w:tc>
          <w:tcPr>
            <w:tcW w:w="0" w:type="auto"/>
            <w:gridSpan w:val="2"/>
            <w:vAlign w:val="center"/>
            <w:hideMark/>
          </w:tcPr>
          <w:p w14:paraId="5FD5757D" w14:textId="77777777" w:rsidR="00C359A6" w:rsidRDefault="00C359A6">
            <w:pPr>
              <w:jc w:val="center"/>
              <w:rPr>
                <w:b/>
                <w:bCs/>
              </w:rPr>
            </w:pPr>
            <w:r>
              <w:rPr>
                <w:rStyle w:val="Fett"/>
              </w:rPr>
              <w:t>Informationen zur Generierung</w:t>
            </w:r>
          </w:p>
        </w:tc>
      </w:tr>
      <w:tr w:rsidR="00C359A6" w14:paraId="7FAD2D8C" w14:textId="77777777" w:rsidTr="00C359A6">
        <w:trPr>
          <w:gridBefore w:val="1"/>
          <w:tblCellSpacing w:w="15" w:type="dxa"/>
        </w:trPr>
        <w:tc>
          <w:tcPr>
            <w:tcW w:w="0" w:type="auto"/>
            <w:gridSpan w:val="2"/>
            <w:vAlign w:val="center"/>
            <w:hideMark/>
          </w:tcPr>
          <w:p w14:paraId="48B56F41" w14:textId="77777777" w:rsidR="00C359A6" w:rsidRDefault="00C359A6">
            <w:r>
              <w:rPr>
                <w:rStyle w:val="Fett"/>
              </w:rPr>
              <w:t>4.1 – „Initialpunkt und strukturloser Zustand“</w:t>
            </w:r>
          </w:p>
        </w:tc>
        <w:tc>
          <w:tcPr>
            <w:tcW w:w="0" w:type="auto"/>
            <w:gridSpan w:val="3"/>
            <w:vAlign w:val="center"/>
            <w:hideMark/>
          </w:tcPr>
          <w:p w14:paraId="7379F71D" w14:textId="77777777" w:rsidR="00C359A6" w:rsidRDefault="00C359A6">
            <w:r>
              <w:rPr>
                <w:rStyle w:val="Fett"/>
              </w:rPr>
              <w:t xml:space="preserve">„Entstehung aus </w:t>
            </w:r>
            <w:r>
              <w:rPr>
                <w:rStyle w:val="Fett"/>
                <w:rFonts w:ascii="Cambria Math" w:hAnsi="Cambria Math" w:cs="Cambria Math"/>
              </w:rPr>
              <w:t>∅</w:t>
            </w:r>
            <w:r>
              <w:rPr>
                <w:rStyle w:val="Fett"/>
              </w:rPr>
              <w:t xml:space="preserve"> durch funktionale Zuweisung“</w:t>
            </w:r>
          </w:p>
        </w:tc>
        <w:tc>
          <w:tcPr>
            <w:tcW w:w="0" w:type="auto"/>
            <w:gridSpan w:val="2"/>
            <w:vAlign w:val="center"/>
            <w:hideMark/>
          </w:tcPr>
          <w:p w14:paraId="2909FFF5" w14:textId="77777777" w:rsidR="00C359A6" w:rsidRDefault="00C359A6">
            <w:r>
              <w:t xml:space="preserve">Schematische Grafik: </w:t>
            </w:r>
            <w:r>
              <w:rPr>
                <w:rFonts w:ascii="Cambria Math" w:hAnsi="Cambria Math" w:cs="Cambria Math"/>
              </w:rPr>
              <w:t>∅</w:t>
            </w:r>
            <w:r>
              <w:t xml:space="preserve"> → Unterscheidung → Initialpunkt I → Raumfunktion → erste Feldstruktur. Zeigt, wie aus leerem Zustand durch Operatorwirkung funktionale Welt entsteht.</w:t>
            </w:r>
          </w:p>
        </w:tc>
      </w:tr>
      <w:tr w:rsidR="00C359A6" w14:paraId="635DB2D3" w14:textId="77777777" w:rsidTr="00C359A6">
        <w:trPr>
          <w:gridBefore w:val="1"/>
          <w:tblCellSpacing w:w="15" w:type="dxa"/>
        </w:trPr>
        <w:tc>
          <w:tcPr>
            <w:tcW w:w="0" w:type="auto"/>
            <w:gridSpan w:val="2"/>
            <w:vAlign w:val="center"/>
            <w:hideMark/>
          </w:tcPr>
          <w:p w14:paraId="31B94201" w14:textId="77777777" w:rsidR="00C359A6" w:rsidRDefault="00C359A6">
            <w:r>
              <w:rPr>
                <w:rStyle w:val="Fett"/>
              </w:rPr>
              <w:t>4.2 – „Hierarchie von Gleichungstypen“</w:t>
            </w:r>
          </w:p>
        </w:tc>
        <w:tc>
          <w:tcPr>
            <w:tcW w:w="0" w:type="auto"/>
            <w:gridSpan w:val="3"/>
            <w:vAlign w:val="center"/>
            <w:hideMark/>
          </w:tcPr>
          <w:p w14:paraId="2B25FACE" w14:textId="77777777" w:rsidR="00C359A6" w:rsidRDefault="00C359A6">
            <w:r>
              <w:rPr>
                <w:rStyle w:val="Fett"/>
              </w:rPr>
              <w:t>„Operatorenpyramide“</w:t>
            </w:r>
          </w:p>
        </w:tc>
        <w:tc>
          <w:tcPr>
            <w:tcW w:w="0" w:type="auto"/>
            <w:gridSpan w:val="2"/>
            <w:vAlign w:val="center"/>
            <w:hideMark/>
          </w:tcPr>
          <w:p w14:paraId="6B136D87" w14:textId="77777777" w:rsidR="00C359A6" w:rsidRDefault="00C359A6">
            <w:r>
              <w:t>Vertikale Schichtung: Initialpunkt → Raumfunktion → Brane → Metrik → Dynamik → Handlung → Meta-Operatoren. Farblich kodierte Ebenen, Pfeile für Abhängigkeiten.</w:t>
            </w:r>
          </w:p>
        </w:tc>
      </w:tr>
      <w:tr w:rsidR="00C359A6" w14:paraId="06C908C4" w14:textId="77777777" w:rsidTr="00C359A6">
        <w:trPr>
          <w:gridBefore w:val="1"/>
          <w:tblCellSpacing w:w="15" w:type="dxa"/>
        </w:trPr>
        <w:tc>
          <w:tcPr>
            <w:tcW w:w="0" w:type="auto"/>
            <w:gridSpan w:val="2"/>
            <w:vAlign w:val="center"/>
            <w:hideMark/>
          </w:tcPr>
          <w:p w14:paraId="1CA24051" w14:textId="77777777" w:rsidR="00C359A6" w:rsidRDefault="00C359A6">
            <w:r>
              <w:rPr>
                <w:rStyle w:val="Fett"/>
              </w:rPr>
              <w:t>4.3 – „Beobachtung als rekursive Operation“</w:t>
            </w:r>
          </w:p>
        </w:tc>
        <w:tc>
          <w:tcPr>
            <w:tcW w:w="0" w:type="auto"/>
            <w:gridSpan w:val="3"/>
            <w:vAlign w:val="center"/>
            <w:hideMark/>
          </w:tcPr>
          <w:p w14:paraId="178A19FA" w14:textId="77777777" w:rsidR="00C359A6" w:rsidRDefault="00C359A6">
            <w:r>
              <w:rPr>
                <w:rStyle w:val="Fett"/>
              </w:rPr>
              <w:t>„Beobachtung erster und zweiter Ordnung“</w:t>
            </w:r>
          </w:p>
        </w:tc>
        <w:tc>
          <w:tcPr>
            <w:tcW w:w="0" w:type="auto"/>
            <w:gridSpan w:val="2"/>
            <w:vAlign w:val="center"/>
            <w:hideMark/>
          </w:tcPr>
          <w:p w14:paraId="2813484A" w14:textId="77777777" w:rsidR="00C359A6" w:rsidRDefault="00C359A6">
            <w:r>
              <w:t>Doppeldiagramm: links einfache Beobachtung (System → Welt), rechts rekursive Beobachtung (System → Beobachter → Beobachtetes Beobachten). Einschub von Meta-Funktion.</w:t>
            </w:r>
          </w:p>
        </w:tc>
      </w:tr>
      <w:tr w:rsidR="00C359A6" w14:paraId="5B40BB36" w14:textId="77777777" w:rsidTr="00C359A6">
        <w:trPr>
          <w:gridBefore w:val="1"/>
          <w:tblCellSpacing w:w="15" w:type="dxa"/>
        </w:trPr>
        <w:tc>
          <w:tcPr>
            <w:tcW w:w="0" w:type="auto"/>
            <w:gridSpan w:val="2"/>
            <w:vAlign w:val="center"/>
            <w:hideMark/>
          </w:tcPr>
          <w:p w14:paraId="6961FE6C" w14:textId="77777777" w:rsidR="00C359A6" w:rsidRDefault="00C359A6">
            <w:r>
              <w:rPr>
                <w:rStyle w:val="Fett"/>
              </w:rPr>
              <w:t>4.4 – „Kausalität als feldabhängige Struktur“</w:t>
            </w:r>
          </w:p>
        </w:tc>
        <w:tc>
          <w:tcPr>
            <w:tcW w:w="0" w:type="auto"/>
            <w:gridSpan w:val="3"/>
            <w:vAlign w:val="center"/>
            <w:hideMark/>
          </w:tcPr>
          <w:p w14:paraId="6F6A706A" w14:textId="77777777" w:rsidR="00C359A6" w:rsidRDefault="00C359A6">
            <w:r>
              <w:rPr>
                <w:rStyle w:val="Fett"/>
              </w:rPr>
              <w:t>„Emergente Kausalstruktur aus Feldtopologie“</w:t>
            </w:r>
          </w:p>
        </w:tc>
        <w:tc>
          <w:tcPr>
            <w:tcW w:w="0" w:type="auto"/>
            <w:gridSpan w:val="2"/>
            <w:vAlign w:val="center"/>
            <w:hideMark/>
          </w:tcPr>
          <w:p w14:paraId="61678406" w14:textId="77777777" w:rsidR="00C359A6" w:rsidRDefault="00C359A6">
            <w:r>
              <w:t>2D-Feldgrafik mit Feldlinien, Vorher/Nachher-Ausrichtung und kausalen Vektoren – veranschaulicht: Kausalität entsteht als strukturierte Relation.</w:t>
            </w:r>
          </w:p>
        </w:tc>
      </w:tr>
      <w:tr w:rsidR="00C359A6" w14:paraId="20060D35" w14:textId="77777777" w:rsidTr="00C359A6">
        <w:trPr>
          <w:gridBefore w:val="1"/>
          <w:tblCellSpacing w:w="15" w:type="dxa"/>
        </w:trPr>
        <w:tc>
          <w:tcPr>
            <w:tcW w:w="0" w:type="auto"/>
            <w:gridSpan w:val="2"/>
            <w:vAlign w:val="center"/>
            <w:hideMark/>
          </w:tcPr>
          <w:p w14:paraId="5D5AE912" w14:textId="77777777" w:rsidR="00C359A6" w:rsidRDefault="00C359A6">
            <w:r>
              <w:rPr>
                <w:rStyle w:val="Fett"/>
              </w:rPr>
              <w:t>4.5 – „Bedeutung als dynamisches Feld“</w:t>
            </w:r>
          </w:p>
        </w:tc>
        <w:tc>
          <w:tcPr>
            <w:tcW w:w="0" w:type="auto"/>
            <w:gridSpan w:val="3"/>
            <w:vAlign w:val="center"/>
            <w:hideMark/>
          </w:tcPr>
          <w:p w14:paraId="03AC4B4F" w14:textId="77777777" w:rsidR="00C359A6" w:rsidRDefault="00C359A6">
            <w:r>
              <w:rPr>
                <w:rStyle w:val="Fett"/>
              </w:rPr>
              <w:t>„Semantisches Feld mit Attraktoren“</w:t>
            </w:r>
          </w:p>
        </w:tc>
        <w:tc>
          <w:tcPr>
            <w:tcW w:w="0" w:type="auto"/>
            <w:gridSpan w:val="2"/>
            <w:vAlign w:val="center"/>
            <w:hideMark/>
          </w:tcPr>
          <w:p w14:paraId="03D1BB2B" w14:textId="77777777" w:rsidR="00C359A6" w:rsidRDefault="00C359A6">
            <w:r>
              <w:t>Konturliniendiagramm mit farbigen Attraktorzonen, Bedeutungsvektoren und Kontextverschiebung. Zeigt: Bedeutung ist raumartig, dynamisch, verschiebbar.</w:t>
            </w:r>
          </w:p>
        </w:tc>
      </w:tr>
      <w:tr w:rsidR="00C359A6" w14:paraId="3D336029" w14:textId="77777777" w:rsidTr="00C359A6">
        <w:trPr>
          <w:gridBefore w:val="1"/>
          <w:tblCellSpacing w:w="15" w:type="dxa"/>
        </w:trPr>
        <w:tc>
          <w:tcPr>
            <w:tcW w:w="0" w:type="auto"/>
            <w:gridSpan w:val="2"/>
            <w:vAlign w:val="center"/>
            <w:hideMark/>
          </w:tcPr>
          <w:p w14:paraId="233560A7" w14:textId="77777777" w:rsidR="00C359A6" w:rsidRDefault="00C359A6">
            <w:r>
              <w:rPr>
                <w:rStyle w:val="Fett"/>
              </w:rPr>
              <w:t>4.6 – „Transformation symbolischer Ordnung“</w:t>
            </w:r>
          </w:p>
        </w:tc>
        <w:tc>
          <w:tcPr>
            <w:tcW w:w="0" w:type="auto"/>
            <w:gridSpan w:val="3"/>
            <w:vAlign w:val="center"/>
            <w:hideMark/>
          </w:tcPr>
          <w:p w14:paraId="51C9BB90" w14:textId="77777777" w:rsidR="00C359A6" w:rsidRDefault="00C359A6">
            <w:r>
              <w:rPr>
                <w:rStyle w:val="Fett"/>
              </w:rPr>
              <w:t>„Meta-Operator auf symbolischer Struktur“</w:t>
            </w:r>
          </w:p>
        </w:tc>
        <w:tc>
          <w:tcPr>
            <w:tcW w:w="0" w:type="auto"/>
            <w:gridSpan w:val="2"/>
            <w:vAlign w:val="center"/>
            <w:hideMark/>
          </w:tcPr>
          <w:p w14:paraId="432D556F" w14:textId="77777777" w:rsidR="00C359A6" w:rsidRDefault="00C359A6">
            <w:r>
              <w:t>Zwei Ebenen: symbolisches Ordnungssystem + darüberliegende Meta-Ebene mit Umkodierungs-Operatoren (z. B. Reframing, Diskursinversion).</w:t>
            </w:r>
          </w:p>
        </w:tc>
      </w:tr>
      <w:tr w:rsidR="00C359A6" w14:paraId="7523CA9D" w14:textId="77777777" w:rsidTr="00C359A6">
        <w:trPr>
          <w:gridBefore w:val="1"/>
          <w:tblCellSpacing w:w="15" w:type="dxa"/>
        </w:trPr>
        <w:tc>
          <w:tcPr>
            <w:tcW w:w="0" w:type="auto"/>
            <w:gridSpan w:val="2"/>
            <w:vAlign w:val="center"/>
            <w:hideMark/>
          </w:tcPr>
          <w:p w14:paraId="76FCE0C1" w14:textId="77777777" w:rsidR="00C359A6" w:rsidRDefault="00C359A6">
            <w:r>
              <w:rPr>
                <w:rStyle w:val="Fett"/>
              </w:rPr>
              <w:t>4.7 – „Ko-Evolution von Semantik und Kultur“</w:t>
            </w:r>
          </w:p>
        </w:tc>
        <w:tc>
          <w:tcPr>
            <w:tcW w:w="0" w:type="auto"/>
            <w:gridSpan w:val="3"/>
            <w:vAlign w:val="center"/>
            <w:hideMark/>
          </w:tcPr>
          <w:p w14:paraId="5E47407A" w14:textId="77777777" w:rsidR="00C359A6" w:rsidRDefault="00C359A6">
            <w:r>
              <w:rPr>
                <w:rStyle w:val="Fett"/>
              </w:rPr>
              <w:t>„Kopplung kultureller und semantischer Operatorräume“</w:t>
            </w:r>
          </w:p>
        </w:tc>
        <w:tc>
          <w:tcPr>
            <w:tcW w:w="0" w:type="auto"/>
            <w:gridSpan w:val="2"/>
            <w:vAlign w:val="center"/>
            <w:hideMark/>
          </w:tcPr>
          <w:p w14:paraId="6E81659B" w14:textId="77777777" w:rsidR="00C359A6" w:rsidRDefault="00C359A6">
            <w:r>
              <w:t>Zwei interaktive Felder (z. B. in Form von Netzwerken oder Flächen), verbunden durch rekursive Pfeile. Zeigt: Veränderung im einen erzeugt Rückwirkung im anderen.</w:t>
            </w:r>
          </w:p>
        </w:tc>
      </w:tr>
      <w:tr w:rsidR="00C359A6" w14:paraId="40C1407F" w14:textId="77777777" w:rsidTr="00C359A6">
        <w:trPr>
          <w:gridBefore w:val="1"/>
          <w:tblCellSpacing w:w="15" w:type="dxa"/>
        </w:trPr>
        <w:tc>
          <w:tcPr>
            <w:tcW w:w="0" w:type="auto"/>
            <w:gridSpan w:val="2"/>
            <w:vAlign w:val="center"/>
            <w:hideMark/>
          </w:tcPr>
          <w:p w14:paraId="7920EB08" w14:textId="77777777" w:rsidR="00C359A6" w:rsidRDefault="00C359A6">
            <w:r>
              <w:rPr>
                <w:rStyle w:val="Fett"/>
              </w:rPr>
              <w:t>4.8 – „Ethische Reflexion als systeminterner Prozess“</w:t>
            </w:r>
          </w:p>
        </w:tc>
        <w:tc>
          <w:tcPr>
            <w:tcW w:w="0" w:type="auto"/>
            <w:gridSpan w:val="3"/>
            <w:vAlign w:val="center"/>
            <w:hideMark/>
          </w:tcPr>
          <w:p w14:paraId="7EE597CD" w14:textId="77777777" w:rsidR="00C359A6" w:rsidRDefault="00C359A6">
            <w:r>
              <w:rPr>
                <w:rStyle w:val="Fett"/>
              </w:rPr>
              <w:t>„Audit-Schleife im funktionalen System“</w:t>
            </w:r>
          </w:p>
        </w:tc>
        <w:tc>
          <w:tcPr>
            <w:tcW w:w="0" w:type="auto"/>
            <w:gridSpan w:val="2"/>
            <w:vAlign w:val="center"/>
            <w:hideMark/>
          </w:tcPr>
          <w:p w14:paraId="48FD8417" w14:textId="77777777" w:rsidR="00C359A6" w:rsidRDefault="00C359A6">
            <w:r>
              <w:t>Flussdiagramm: Operatorarchitektur → Audit-Operator → ethische Bewertung → Rückkopplung auf Struktur. Macht ethische Selbstprüfung sichtbar.</w:t>
            </w:r>
          </w:p>
        </w:tc>
      </w:tr>
      <w:tr w:rsidR="00C359A6" w14:paraId="28B132FF" w14:textId="77777777" w:rsidTr="00C359A6">
        <w:trPr>
          <w:gridBefore w:val="1"/>
          <w:tblCellSpacing w:w="15" w:type="dxa"/>
        </w:trPr>
        <w:tc>
          <w:tcPr>
            <w:tcW w:w="0" w:type="auto"/>
            <w:gridSpan w:val="2"/>
            <w:vAlign w:val="center"/>
            <w:hideMark/>
          </w:tcPr>
          <w:p w14:paraId="50D40F51" w14:textId="77777777" w:rsidR="00C359A6" w:rsidRDefault="00C359A6">
            <w:r>
              <w:rPr>
                <w:rStyle w:val="Fett"/>
              </w:rPr>
              <w:t>4.9 – „Strukturgeleitete Vorhersagefähigkeit“</w:t>
            </w:r>
          </w:p>
        </w:tc>
        <w:tc>
          <w:tcPr>
            <w:tcW w:w="0" w:type="auto"/>
            <w:gridSpan w:val="3"/>
            <w:vAlign w:val="center"/>
            <w:hideMark/>
          </w:tcPr>
          <w:p w14:paraId="725C85B1" w14:textId="77777777" w:rsidR="00C359A6" w:rsidRDefault="00C359A6">
            <w:r>
              <w:rPr>
                <w:rStyle w:val="Fett"/>
              </w:rPr>
              <w:t>„FRZK-Prognosepfad“</w:t>
            </w:r>
          </w:p>
        </w:tc>
        <w:tc>
          <w:tcPr>
            <w:tcW w:w="0" w:type="auto"/>
            <w:gridSpan w:val="2"/>
            <w:vAlign w:val="center"/>
            <w:hideMark/>
          </w:tcPr>
          <w:p w14:paraId="6281CD63" w14:textId="77777777" w:rsidR="00C359A6" w:rsidRDefault="00C359A6">
            <w:r>
              <w:t>Ablaufdiagramm: Strukturinput → Funktionslogik → emergente Ordnung → Systemzustand (t1) → mögliche Szenarien (t2–t∞). Mit Differenzierung zu klassischen Prognosemodellen.</w:t>
            </w:r>
          </w:p>
        </w:tc>
      </w:tr>
    </w:tbl>
    <w:p w14:paraId="786DB3E3" w14:textId="6969EE42" w:rsidR="00C359A6" w:rsidRDefault="00C359A6" w:rsidP="00082214">
      <w:pPr>
        <w:rPr>
          <w:rStyle w:val="IntensiveHervorhebung"/>
          <w:i w:val="0"/>
          <w:iCs w:val="0"/>
          <w:color w:val="auto"/>
        </w:rPr>
      </w:pPr>
    </w:p>
    <w:p w14:paraId="4DAEE532" w14:textId="77777777" w:rsidR="00C359A6" w:rsidRPr="00082214" w:rsidRDefault="00C359A6" w:rsidP="00C359A6">
      <w:pPr>
        <w:rPr>
          <w:rStyle w:val="IntensiveHervorhebung"/>
          <w:i w:val="0"/>
          <w:iCs w:val="0"/>
          <w:color w:val="auto"/>
        </w:rPr>
      </w:pPr>
      <w:r>
        <w:rPr>
          <w:rStyle w:val="IntensiveHervorhebung"/>
          <w:i w:val="0"/>
          <w:iCs w:val="0"/>
          <w:color w:val="auto"/>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2666"/>
        <w:gridCol w:w="2893"/>
        <w:gridCol w:w="2348"/>
      </w:tblGrid>
      <w:tr w:rsidR="00162B3D" w14:paraId="30B81FE4" w14:textId="77777777" w:rsidTr="00162B3D">
        <w:trPr>
          <w:tblHeader/>
          <w:tblCellSpacing w:w="15" w:type="dxa"/>
        </w:trPr>
        <w:tc>
          <w:tcPr>
            <w:tcW w:w="0" w:type="auto"/>
            <w:vAlign w:val="center"/>
            <w:hideMark/>
          </w:tcPr>
          <w:p w14:paraId="0547E45E" w14:textId="77777777" w:rsidR="00162B3D" w:rsidRDefault="00162B3D">
            <w:pPr>
              <w:jc w:val="center"/>
              <w:rPr>
                <w:b/>
                <w:bCs/>
              </w:rPr>
            </w:pPr>
            <w:r>
              <w:rPr>
                <w:rStyle w:val="Fett"/>
              </w:rPr>
              <w:t>Abschnitt / Textbezug</w:t>
            </w:r>
          </w:p>
        </w:tc>
        <w:tc>
          <w:tcPr>
            <w:tcW w:w="0" w:type="auto"/>
            <w:vAlign w:val="center"/>
            <w:hideMark/>
          </w:tcPr>
          <w:p w14:paraId="321091DD" w14:textId="77777777" w:rsidR="00162B3D" w:rsidRDefault="00162B3D">
            <w:pPr>
              <w:jc w:val="center"/>
              <w:rPr>
                <w:b/>
                <w:bCs/>
              </w:rPr>
            </w:pPr>
            <w:r>
              <w:rPr>
                <w:rStyle w:val="Fett"/>
              </w:rPr>
              <w:t>Anlagenvorschlag</w:t>
            </w:r>
          </w:p>
        </w:tc>
        <w:tc>
          <w:tcPr>
            <w:tcW w:w="0" w:type="auto"/>
            <w:vAlign w:val="center"/>
            <w:hideMark/>
          </w:tcPr>
          <w:p w14:paraId="40B8891A" w14:textId="77777777" w:rsidR="00162B3D" w:rsidRDefault="00162B3D">
            <w:pPr>
              <w:jc w:val="center"/>
              <w:rPr>
                <w:b/>
                <w:bCs/>
              </w:rPr>
            </w:pPr>
            <w:r>
              <w:rPr>
                <w:rStyle w:val="Fett"/>
              </w:rPr>
              <w:t>Inhalt / Funktion</w:t>
            </w:r>
          </w:p>
        </w:tc>
        <w:tc>
          <w:tcPr>
            <w:tcW w:w="0" w:type="auto"/>
            <w:vAlign w:val="center"/>
            <w:hideMark/>
          </w:tcPr>
          <w:p w14:paraId="02707EAB" w14:textId="77777777" w:rsidR="00162B3D" w:rsidRDefault="00162B3D">
            <w:pPr>
              <w:jc w:val="center"/>
              <w:rPr>
                <w:b/>
                <w:bCs/>
              </w:rPr>
            </w:pPr>
            <w:r>
              <w:rPr>
                <w:rStyle w:val="Fett"/>
              </w:rPr>
              <w:t>Begründung für Relevanz</w:t>
            </w:r>
          </w:p>
        </w:tc>
      </w:tr>
      <w:tr w:rsidR="00162B3D" w14:paraId="1FA82631" w14:textId="77777777" w:rsidTr="00162B3D">
        <w:trPr>
          <w:tblCellSpacing w:w="15" w:type="dxa"/>
        </w:trPr>
        <w:tc>
          <w:tcPr>
            <w:tcW w:w="0" w:type="auto"/>
            <w:vAlign w:val="center"/>
            <w:hideMark/>
          </w:tcPr>
          <w:p w14:paraId="22AC4965" w14:textId="77777777" w:rsidR="00162B3D" w:rsidRDefault="00162B3D">
            <w:r>
              <w:rPr>
                <w:rStyle w:val="Fett"/>
              </w:rPr>
              <w:t>Kap. 4 allgemein</w:t>
            </w:r>
          </w:p>
        </w:tc>
        <w:tc>
          <w:tcPr>
            <w:tcW w:w="0" w:type="auto"/>
            <w:vAlign w:val="center"/>
            <w:hideMark/>
          </w:tcPr>
          <w:p w14:paraId="468870D2" w14:textId="77777777" w:rsidR="00162B3D" w:rsidRDefault="00162B3D">
            <w:r>
              <w:rPr>
                <w:rStyle w:val="Fett"/>
              </w:rPr>
              <w:t>Anlage A: Übersicht der modelllogischen Vorhersagen</w:t>
            </w:r>
          </w:p>
        </w:tc>
        <w:tc>
          <w:tcPr>
            <w:tcW w:w="0" w:type="auto"/>
            <w:vAlign w:val="center"/>
            <w:hideMark/>
          </w:tcPr>
          <w:p w14:paraId="7B5D0CEA" w14:textId="77777777" w:rsidR="00162B3D" w:rsidRDefault="00162B3D">
            <w:r>
              <w:t>Tabellarische Auflistung aller FRZK-Vorhersagen mit Abschnitt, Kurzbeschreibung, Forschungsbezug, erwarteter Effekt.</w:t>
            </w:r>
          </w:p>
        </w:tc>
        <w:tc>
          <w:tcPr>
            <w:tcW w:w="0" w:type="auto"/>
            <w:vAlign w:val="center"/>
            <w:hideMark/>
          </w:tcPr>
          <w:p w14:paraId="3BC56B0A" w14:textId="77777777" w:rsidR="00162B3D" w:rsidRDefault="00162B3D">
            <w:r>
              <w:t>Dient als Referenzrahmen für Lesende, um alle Vorhersagen systematisch zu überblicken.</w:t>
            </w:r>
          </w:p>
        </w:tc>
      </w:tr>
      <w:tr w:rsidR="00162B3D" w14:paraId="4F5753ED" w14:textId="77777777" w:rsidTr="00162B3D">
        <w:trPr>
          <w:tblCellSpacing w:w="15" w:type="dxa"/>
        </w:trPr>
        <w:tc>
          <w:tcPr>
            <w:tcW w:w="0" w:type="auto"/>
            <w:vAlign w:val="center"/>
            <w:hideMark/>
          </w:tcPr>
          <w:p w14:paraId="10CDEB30" w14:textId="77777777" w:rsidR="00162B3D" w:rsidRDefault="00162B3D">
            <w:r>
              <w:rPr>
                <w:rStyle w:val="Fett"/>
              </w:rPr>
              <w:t>4.1–4.3</w:t>
            </w:r>
          </w:p>
        </w:tc>
        <w:tc>
          <w:tcPr>
            <w:tcW w:w="0" w:type="auto"/>
            <w:vAlign w:val="center"/>
            <w:hideMark/>
          </w:tcPr>
          <w:p w14:paraId="46C44B8E" w14:textId="77777777" w:rsidR="00162B3D" w:rsidRDefault="00162B3D">
            <w:r>
              <w:rPr>
                <w:rStyle w:val="Fett"/>
              </w:rPr>
              <w:t>Anlage B: Symbol- und Funktionsverzeichnis (Kap. 4)</w:t>
            </w:r>
          </w:p>
        </w:tc>
        <w:tc>
          <w:tcPr>
            <w:tcW w:w="0" w:type="auto"/>
            <w:vAlign w:val="center"/>
            <w:hideMark/>
          </w:tcPr>
          <w:p w14:paraId="73936C7C" w14:textId="77777777" w:rsidR="00162B3D" w:rsidRDefault="00162B3D">
            <w:r>
              <w:t>Zusammenstellung aller verwendeten Operatoren, Funktionssymbole und deren Bedeutungen.</w:t>
            </w:r>
          </w:p>
        </w:tc>
        <w:tc>
          <w:tcPr>
            <w:tcW w:w="0" w:type="auto"/>
            <w:vAlign w:val="center"/>
            <w:hideMark/>
          </w:tcPr>
          <w:p w14:paraId="79B5D272" w14:textId="77777777" w:rsidR="00162B3D" w:rsidRDefault="00162B3D">
            <w:r>
              <w:t>Ermöglicht präzises Nachvollziehen der Modelllogik und hilft beim Anschluss an Kapitel 3 (symbolische Ableitung).</w:t>
            </w:r>
          </w:p>
        </w:tc>
      </w:tr>
      <w:tr w:rsidR="00162B3D" w14:paraId="7F2B943D" w14:textId="77777777" w:rsidTr="00162B3D">
        <w:trPr>
          <w:tblCellSpacing w:w="15" w:type="dxa"/>
        </w:trPr>
        <w:tc>
          <w:tcPr>
            <w:tcW w:w="0" w:type="auto"/>
            <w:vAlign w:val="center"/>
            <w:hideMark/>
          </w:tcPr>
          <w:p w14:paraId="643B9651" w14:textId="77777777" w:rsidR="00162B3D" w:rsidRDefault="00162B3D">
            <w:r>
              <w:rPr>
                <w:rStyle w:val="Fett"/>
              </w:rPr>
              <w:t>4.2</w:t>
            </w:r>
          </w:p>
        </w:tc>
        <w:tc>
          <w:tcPr>
            <w:tcW w:w="0" w:type="auto"/>
            <w:vAlign w:val="center"/>
            <w:hideMark/>
          </w:tcPr>
          <w:p w14:paraId="5D029EDB" w14:textId="77777777" w:rsidR="00162B3D" w:rsidRDefault="00162B3D">
            <w:r>
              <w:rPr>
                <w:rStyle w:val="Fett"/>
              </w:rPr>
              <w:t>Anlage C: Ableitungsschema funktionaler Gleichungstypen</w:t>
            </w:r>
          </w:p>
        </w:tc>
        <w:tc>
          <w:tcPr>
            <w:tcW w:w="0" w:type="auto"/>
            <w:vAlign w:val="center"/>
            <w:hideMark/>
          </w:tcPr>
          <w:p w14:paraId="489513F2" w14:textId="77777777" w:rsidR="00162B3D" w:rsidRDefault="00162B3D">
            <w:r>
              <w:t>Sequenzielle Darstellung der Operatorverknüpfung von Initialpunkt bis Meta-Funktion.</w:t>
            </w:r>
          </w:p>
        </w:tc>
        <w:tc>
          <w:tcPr>
            <w:tcW w:w="0" w:type="auto"/>
            <w:vAlign w:val="center"/>
            <w:hideMark/>
          </w:tcPr>
          <w:p w14:paraId="1A2B0355" w14:textId="77777777" w:rsidR="00162B3D" w:rsidRDefault="00162B3D">
            <w:r>
              <w:t>Zeigt die innere Logik und Ableitungsreihenfolge der Gleichungsebenen – für Tiefe und Strukturverständnis.</w:t>
            </w:r>
          </w:p>
        </w:tc>
      </w:tr>
      <w:tr w:rsidR="00162B3D" w14:paraId="5636AC90" w14:textId="77777777" w:rsidTr="00162B3D">
        <w:trPr>
          <w:tblCellSpacing w:w="15" w:type="dxa"/>
        </w:trPr>
        <w:tc>
          <w:tcPr>
            <w:tcW w:w="0" w:type="auto"/>
            <w:vAlign w:val="center"/>
            <w:hideMark/>
          </w:tcPr>
          <w:p w14:paraId="45E2E97D" w14:textId="77777777" w:rsidR="00162B3D" w:rsidRDefault="00162B3D">
            <w:r>
              <w:rPr>
                <w:rStyle w:val="Fett"/>
              </w:rPr>
              <w:t>4.3</w:t>
            </w:r>
          </w:p>
        </w:tc>
        <w:tc>
          <w:tcPr>
            <w:tcW w:w="0" w:type="auto"/>
            <w:vAlign w:val="center"/>
            <w:hideMark/>
          </w:tcPr>
          <w:p w14:paraId="2D2427AB" w14:textId="77777777" w:rsidR="00162B3D" w:rsidRDefault="00162B3D">
            <w:r>
              <w:rPr>
                <w:rStyle w:val="Fett"/>
              </w:rPr>
              <w:t>Anlage D: Beobachtungsoperatoren – systematische Typologie</w:t>
            </w:r>
          </w:p>
        </w:tc>
        <w:tc>
          <w:tcPr>
            <w:tcW w:w="0" w:type="auto"/>
            <w:vAlign w:val="center"/>
            <w:hideMark/>
          </w:tcPr>
          <w:p w14:paraId="5F129AFE" w14:textId="77777777" w:rsidR="00162B3D" w:rsidRDefault="00162B3D">
            <w:r>
              <w:t>Tabelle mit Unterscheidung: Beobachtung 1. Ordnung, 2. Ordnung, Meta-Beobachtung, inkl. formaler Beschreibung.</w:t>
            </w:r>
          </w:p>
        </w:tc>
        <w:tc>
          <w:tcPr>
            <w:tcW w:w="0" w:type="auto"/>
            <w:vAlign w:val="center"/>
            <w:hideMark/>
          </w:tcPr>
          <w:p w14:paraId="67D0F43D" w14:textId="77777777" w:rsidR="00162B3D" w:rsidRDefault="00162B3D">
            <w:r>
              <w:t>Dient der präzisen Unterscheidung reflexiver Prozesse und ihrer Modellposition.</w:t>
            </w:r>
          </w:p>
        </w:tc>
      </w:tr>
      <w:tr w:rsidR="00162B3D" w14:paraId="493DA8AF" w14:textId="77777777" w:rsidTr="00162B3D">
        <w:trPr>
          <w:tblCellSpacing w:w="15" w:type="dxa"/>
        </w:trPr>
        <w:tc>
          <w:tcPr>
            <w:tcW w:w="0" w:type="auto"/>
            <w:vAlign w:val="center"/>
            <w:hideMark/>
          </w:tcPr>
          <w:p w14:paraId="0A86F971" w14:textId="77777777" w:rsidR="00162B3D" w:rsidRDefault="00162B3D">
            <w:r>
              <w:rPr>
                <w:rStyle w:val="Fett"/>
              </w:rPr>
              <w:t>4.5 / 4.6</w:t>
            </w:r>
          </w:p>
        </w:tc>
        <w:tc>
          <w:tcPr>
            <w:tcW w:w="0" w:type="auto"/>
            <w:vAlign w:val="center"/>
            <w:hideMark/>
          </w:tcPr>
          <w:p w14:paraId="771C1174" w14:textId="77777777" w:rsidR="00162B3D" w:rsidRDefault="00162B3D">
            <w:r>
              <w:rPr>
                <w:rStyle w:val="Fett"/>
              </w:rPr>
              <w:t>Anlage E: Semantische Felddynamik – Beispiele &amp; Modelle</w:t>
            </w:r>
          </w:p>
        </w:tc>
        <w:tc>
          <w:tcPr>
            <w:tcW w:w="0" w:type="auto"/>
            <w:vAlign w:val="center"/>
            <w:hideMark/>
          </w:tcPr>
          <w:p w14:paraId="0AD69232" w14:textId="77777777" w:rsidR="00162B3D" w:rsidRDefault="00162B3D">
            <w:r>
              <w:t>Beispieltabelle zu möglichen Bedeutungsverschiebungen durch Operatorwirkung (z. B. Begriff „Freiheit“ im Diskurswandel).</w:t>
            </w:r>
          </w:p>
        </w:tc>
        <w:tc>
          <w:tcPr>
            <w:tcW w:w="0" w:type="auto"/>
            <w:vAlign w:val="center"/>
            <w:hideMark/>
          </w:tcPr>
          <w:p w14:paraId="64B32FCD" w14:textId="77777777" w:rsidR="00162B3D" w:rsidRDefault="00162B3D">
            <w:r>
              <w:t>Veranschaulicht dynamische Felder und diskursive Modifikationen – empirisch-theoretischer Anker.</w:t>
            </w:r>
          </w:p>
        </w:tc>
      </w:tr>
      <w:tr w:rsidR="00162B3D" w14:paraId="572E82DC" w14:textId="77777777" w:rsidTr="00162B3D">
        <w:trPr>
          <w:tblCellSpacing w:w="15" w:type="dxa"/>
        </w:trPr>
        <w:tc>
          <w:tcPr>
            <w:tcW w:w="0" w:type="auto"/>
            <w:vAlign w:val="center"/>
            <w:hideMark/>
          </w:tcPr>
          <w:p w14:paraId="5D7D19EA" w14:textId="77777777" w:rsidR="00162B3D" w:rsidRDefault="00162B3D">
            <w:r>
              <w:rPr>
                <w:rStyle w:val="Fett"/>
              </w:rPr>
              <w:t>4.7</w:t>
            </w:r>
          </w:p>
        </w:tc>
        <w:tc>
          <w:tcPr>
            <w:tcW w:w="0" w:type="auto"/>
            <w:vAlign w:val="center"/>
            <w:hideMark/>
          </w:tcPr>
          <w:p w14:paraId="235805C5" w14:textId="77777777" w:rsidR="00162B3D" w:rsidRDefault="00162B3D">
            <w:r>
              <w:rPr>
                <w:rStyle w:val="Fett"/>
              </w:rPr>
              <w:t>Anlage F: Strukturmodell semantisch-kultureller Kopplung</w:t>
            </w:r>
          </w:p>
        </w:tc>
        <w:tc>
          <w:tcPr>
            <w:tcW w:w="0" w:type="auto"/>
            <w:vAlign w:val="center"/>
            <w:hideMark/>
          </w:tcPr>
          <w:p w14:paraId="02E20F4B" w14:textId="77777777" w:rsidR="00162B3D" w:rsidRDefault="00162B3D">
            <w:r>
              <w:t>Tabellarisches Mapping typischer Kopplungsmuster (z. B. Technologiewandel ↔ Bedeutungswandel).</w:t>
            </w:r>
          </w:p>
        </w:tc>
        <w:tc>
          <w:tcPr>
            <w:tcW w:w="0" w:type="auto"/>
            <w:vAlign w:val="center"/>
            <w:hideMark/>
          </w:tcPr>
          <w:p w14:paraId="3571509E" w14:textId="77777777" w:rsidR="00162B3D" w:rsidRDefault="00162B3D">
            <w:r>
              <w:t>Erlaubt die Anwendung des Ko-Evolutionsprinzips auf empirische Felder.</w:t>
            </w:r>
          </w:p>
        </w:tc>
      </w:tr>
      <w:tr w:rsidR="00162B3D" w14:paraId="193FF436" w14:textId="77777777" w:rsidTr="00162B3D">
        <w:trPr>
          <w:tblCellSpacing w:w="15" w:type="dxa"/>
        </w:trPr>
        <w:tc>
          <w:tcPr>
            <w:tcW w:w="0" w:type="auto"/>
            <w:vAlign w:val="center"/>
            <w:hideMark/>
          </w:tcPr>
          <w:p w14:paraId="2E5F0B03" w14:textId="77777777" w:rsidR="00162B3D" w:rsidRDefault="00162B3D">
            <w:r>
              <w:rPr>
                <w:rStyle w:val="Fett"/>
              </w:rPr>
              <w:t>4.8</w:t>
            </w:r>
          </w:p>
        </w:tc>
        <w:tc>
          <w:tcPr>
            <w:tcW w:w="0" w:type="auto"/>
            <w:vAlign w:val="center"/>
            <w:hideMark/>
          </w:tcPr>
          <w:p w14:paraId="0F364ACF" w14:textId="77777777" w:rsidR="00162B3D" w:rsidRDefault="00162B3D">
            <w:r>
              <w:rPr>
                <w:rStyle w:val="Fett"/>
              </w:rPr>
              <w:t>Anlage G: Ethische Operatorprinzipien im FRZK</w:t>
            </w:r>
          </w:p>
        </w:tc>
        <w:tc>
          <w:tcPr>
            <w:tcW w:w="0" w:type="auto"/>
            <w:vAlign w:val="center"/>
            <w:hideMark/>
          </w:tcPr>
          <w:p w14:paraId="30E09D13" w14:textId="77777777" w:rsidR="00162B3D" w:rsidRDefault="00162B3D">
            <w:r>
              <w:t>Matrix: Prinzip (z. B. Wohltun, Erklärbarkeit), Operatorbezug, modellinterne Position, Bewertungsform.</w:t>
            </w:r>
          </w:p>
        </w:tc>
        <w:tc>
          <w:tcPr>
            <w:tcW w:w="0" w:type="auto"/>
            <w:vAlign w:val="center"/>
            <w:hideMark/>
          </w:tcPr>
          <w:p w14:paraId="33F6AC62" w14:textId="77777777" w:rsidR="00162B3D" w:rsidRDefault="00162B3D">
            <w:r>
              <w:t>Zeigt, wie ethische Reflexion formal im Modell verankert ist – jenseits normativer Appelle.</w:t>
            </w:r>
          </w:p>
        </w:tc>
      </w:tr>
      <w:tr w:rsidR="00162B3D" w14:paraId="198DDE24" w14:textId="77777777" w:rsidTr="00162B3D">
        <w:trPr>
          <w:tblCellSpacing w:w="15" w:type="dxa"/>
        </w:trPr>
        <w:tc>
          <w:tcPr>
            <w:tcW w:w="0" w:type="auto"/>
            <w:vAlign w:val="center"/>
            <w:hideMark/>
          </w:tcPr>
          <w:p w14:paraId="45886F78" w14:textId="77777777" w:rsidR="00162B3D" w:rsidRDefault="00162B3D">
            <w:r>
              <w:rPr>
                <w:rStyle w:val="Fett"/>
              </w:rPr>
              <w:t>4.9</w:t>
            </w:r>
          </w:p>
        </w:tc>
        <w:tc>
          <w:tcPr>
            <w:tcW w:w="0" w:type="auto"/>
            <w:vAlign w:val="center"/>
            <w:hideMark/>
          </w:tcPr>
          <w:p w14:paraId="1E291CBF" w14:textId="77777777" w:rsidR="00162B3D" w:rsidRDefault="00162B3D">
            <w:r>
              <w:rPr>
                <w:rStyle w:val="Fett"/>
              </w:rPr>
              <w:t>Anlage H: Strukturvergleich klassischer vs. funktionaler Prognosemodelle</w:t>
            </w:r>
          </w:p>
        </w:tc>
        <w:tc>
          <w:tcPr>
            <w:tcW w:w="0" w:type="auto"/>
            <w:vAlign w:val="center"/>
            <w:hideMark/>
          </w:tcPr>
          <w:p w14:paraId="2A40902C" w14:textId="77777777" w:rsidR="00162B3D" w:rsidRDefault="00162B3D">
            <w:r>
              <w:t>Gegenüberstellung: lineare Extrapolation vs. emergente Strukturprognose (Begriff, Kriterium, Beispiel).</w:t>
            </w:r>
          </w:p>
        </w:tc>
        <w:tc>
          <w:tcPr>
            <w:tcW w:w="0" w:type="auto"/>
            <w:vAlign w:val="center"/>
            <w:hideMark/>
          </w:tcPr>
          <w:p w14:paraId="09E7B816" w14:textId="77777777" w:rsidR="00162B3D" w:rsidRDefault="00162B3D">
            <w:r>
              <w:t>Verdeutlicht den Unterschied des FRZK gegenüber konventionellen Prognoseverfahren.</w:t>
            </w:r>
          </w:p>
        </w:tc>
      </w:tr>
      <w:tr w:rsidR="00162B3D" w14:paraId="2392A58E" w14:textId="77777777" w:rsidTr="00162B3D">
        <w:trPr>
          <w:tblCellSpacing w:w="15" w:type="dxa"/>
        </w:trPr>
        <w:tc>
          <w:tcPr>
            <w:tcW w:w="0" w:type="auto"/>
            <w:vAlign w:val="center"/>
            <w:hideMark/>
          </w:tcPr>
          <w:p w14:paraId="728FBCC1" w14:textId="77777777" w:rsidR="00162B3D" w:rsidRDefault="00162B3D">
            <w:r>
              <w:rPr>
                <w:rStyle w:val="Fett"/>
              </w:rPr>
              <w:t>alle Abschnitte</w:t>
            </w:r>
          </w:p>
        </w:tc>
        <w:tc>
          <w:tcPr>
            <w:tcW w:w="0" w:type="auto"/>
            <w:vAlign w:val="center"/>
            <w:hideMark/>
          </w:tcPr>
          <w:p w14:paraId="0F49225D" w14:textId="77777777" w:rsidR="00162B3D" w:rsidRDefault="00162B3D">
            <w:r>
              <w:rPr>
                <w:rStyle w:val="Fett"/>
              </w:rPr>
              <w:t>Anlage I: Quellensystematik Kapitel 4 (nach Nrn.)</w:t>
            </w:r>
          </w:p>
        </w:tc>
        <w:tc>
          <w:tcPr>
            <w:tcW w:w="0" w:type="auto"/>
            <w:vAlign w:val="center"/>
            <w:hideMark/>
          </w:tcPr>
          <w:p w14:paraId="03B81325" w14:textId="77777777" w:rsidR="00162B3D" w:rsidRDefault="00162B3D">
            <w:r>
              <w:t>Reine Liste der verwendeten Quellen (mit interner Zitierstruktur), getrennt von der Literaturliste.</w:t>
            </w:r>
          </w:p>
        </w:tc>
        <w:tc>
          <w:tcPr>
            <w:tcW w:w="0" w:type="auto"/>
            <w:vAlign w:val="center"/>
            <w:hideMark/>
          </w:tcPr>
          <w:p w14:paraId="47C31F40" w14:textId="77777777" w:rsidR="00162B3D" w:rsidRDefault="00162B3D">
            <w:r>
              <w:t>Sichert Transparenz über Quelle–Zitation–Abschnitt-Verknüpfung. Optional mit Zitiermatrix.</w:t>
            </w:r>
          </w:p>
        </w:tc>
      </w:tr>
    </w:tbl>
    <w:p w14:paraId="3329E604" w14:textId="1FAEB8FB" w:rsidR="00C359A6" w:rsidRDefault="00C359A6" w:rsidP="00C359A6">
      <w:pPr>
        <w:rPr>
          <w:rStyle w:val="IntensiveHervorhebung"/>
          <w:i w:val="0"/>
          <w:iCs w:val="0"/>
          <w:color w:val="auto"/>
        </w:rPr>
      </w:pPr>
    </w:p>
    <w:p w14:paraId="0ECD243A" w14:textId="77777777" w:rsidR="00966E8C" w:rsidRDefault="00966E8C" w:rsidP="00966E8C">
      <w:pPr>
        <w:pStyle w:val="StandardWeb"/>
        <w:rPr>
          <w:rFonts w:ascii="Times New Roman" w:hAnsi="Times New Roman"/>
        </w:rPr>
      </w:pPr>
      <w:r>
        <w:t xml:space="preserve">Hier ist die angeforderte Tabelle mit den </w:t>
      </w:r>
      <w:r>
        <w:rPr>
          <w:rStyle w:val="Fett"/>
        </w:rPr>
        <w:t>Abschnitten</w:t>
      </w:r>
      <w:r>
        <w:t xml:space="preserve">, </w:t>
      </w:r>
      <w:r>
        <w:rPr>
          <w:rStyle w:val="Fett"/>
        </w:rPr>
        <w:t>Anlagenamen</w:t>
      </w:r>
      <w:r>
        <w:t xml:space="preserve">, </w:t>
      </w:r>
      <w:r>
        <w:rPr>
          <w:rStyle w:val="Fett"/>
        </w:rPr>
        <w:t>Textstellen (alt)</w:t>
      </w:r>
      <w:r>
        <w:t xml:space="preserve"> und </w:t>
      </w:r>
      <w:r>
        <w:rPr>
          <w:rStyle w:val="Fett"/>
        </w:rPr>
        <w:t>Textstellen mit Erwähnung der Anlage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701"/>
        <w:gridCol w:w="2085"/>
        <w:gridCol w:w="3124"/>
      </w:tblGrid>
      <w:tr w:rsidR="00966E8C" w14:paraId="3A019CB7" w14:textId="77777777" w:rsidTr="00966E8C">
        <w:trPr>
          <w:tblHeader/>
          <w:tblCellSpacing w:w="15" w:type="dxa"/>
        </w:trPr>
        <w:tc>
          <w:tcPr>
            <w:tcW w:w="0" w:type="auto"/>
            <w:vAlign w:val="center"/>
            <w:hideMark/>
          </w:tcPr>
          <w:p w14:paraId="6EF38C06" w14:textId="77777777" w:rsidR="00966E8C" w:rsidRDefault="00966E8C">
            <w:pPr>
              <w:jc w:val="center"/>
              <w:rPr>
                <w:b/>
                <w:bCs/>
              </w:rPr>
            </w:pPr>
            <w:r>
              <w:rPr>
                <w:rStyle w:val="Fett"/>
              </w:rPr>
              <w:t>Abschnitt</w:t>
            </w:r>
          </w:p>
        </w:tc>
        <w:tc>
          <w:tcPr>
            <w:tcW w:w="0" w:type="auto"/>
            <w:vAlign w:val="center"/>
            <w:hideMark/>
          </w:tcPr>
          <w:p w14:paraId="104FC2E9" w14:textId="77777777" w:rsidR="00966E8C" w:rsidRDefault="00966E8C">
            <w:pPr>
              <w:jc w:val="center"/>
              <w:rPr>
                <w:b/>
                <w:bCs/>
              </w:rPr>
            </w:pPr>
            <w:r>
              <w:rPr>
                <w:rStyle w:val="Fett"/>
              </w:rPr>
              <w:t>Anlagename</w:t>
            </w:r>
          </w:p>
        </w:tc>
        <w:tc>
          <w:tcPr>
            <w:tcW w:w="0" w:type="auto"/>
            <w:vAlign w:val="center"/>
            <w:hideMark/>
          </w:tcPr>
          <w:p w14:paraId="5EF51A84" w14:textId="77777777" w:rsidR="00966E8C" w:rsidRDefault="00966E8C">
            <w:pPr>
              <w:jc w:val="center"/>
              <w:rPr>
                <w:b/>
                <w:bCs/>
              </w:rPr>
            </w:pPr>
            <w:r>
              <w:rPr>
                <w:rStyle w:val="Fett"/>
              </w:rPr>
              <w:t>Textstelle alt</w:t>
            </w:r>
          </w:p>
        </w:tc>
        <w:tc>
          <w:tcPr>
            <w:tcW w:w="0" w:type="auto"/>
            <w:vAlign w:val="center"/>
            <w:hideMark/>
          </w:tcPr>
          <w:p w14:paraId="7C072ACB" w14:textId="77777777" w:rsidR="00966E8C" w:rsidRDefault="00966E8C">
            <w:pPr>
              <w:jc w:val="center"/>
              <w:rPr>
                <w:b/>
                <w:bCs/>
              </w:rPr>
            </w:pPr>
            <w:r>
              <w:rPr>
                <w:rStyle w:val="Fett"/>
              </w:rPr>
              <w:t>Textstelle mit Erwähnung der Anlage</w:t>
            </w:r>
          </w:p>
        </w:tc>
      </w:tr>
      <w:tr w:rsidR="00966E8C" w14:paraId="35932DDC" w14:textId="77777777" w:rsidTr="00966E8C">
        <w:trPr>
          <w:tblCellSpacing w:w="15" w:type="dxa"/>
        </w:trPr>
        <w:tc>
          <w:tcPr>
            <w:tcW w:w="0" w:type="auto"/>
            <w:vAlign w:val="center"/>
            <w:hideMark/>
          </w:tcPr>
          <w:p w14:paraId="6AE5F2C4" w14:textId="77777777" w:rsidR="00966E8C" w:rsidRDefault="00966E8C">
            <w:r>
              <w:rPr>
                <w:rStyle w:val="Fett"/>
              </w:rPr>
              <w:t>Kap. 4 allgemein</w:t>
            </w:r>
          </w:p>
        </w:tc>
        <w:tc>
          <w:tcPr>
            <w:tcW w:w="0" w:type="auto"/>
            <w:vAlign w:val="center"/>
            <w:hideMark/>
          </w:tcPr>
          <w:p w14:paraId="129F44B0" w14:textId="77777777" w:rsidR="00966E8C" w:rsidRDefault="00966E8C">
            <w:r>
              <w:rPr>
                <w:rStyle w:val="Fett"/>
              </w:rPr>
              <w:t>Anlage A: Übersicht der modelllogischen Vorhersagen</w:t>
            </w:r>
          </w:p>
        </w:tc>
        <w:tc>
          <w:tcPr>
            <w:tcW w:w="0" w:type="auto"/>
            <w:vAlign w:val="center"/>
            <w:hideMark/>
          </w:tcPr>
          <w:p w14:paraId="031AD49B" w14:textId="77777777" w:rsidR="00966E8C" w:rsidRDefault="00966E8C">
            <w:r>
              <w:t>Keine spezifische Erwähnung der Anlage im Text</w:t>
            </w:r>
          </w:p>
        </w:tc>
        <w:tc>
          <w:tcPr>
            <w:tcW w:w="0" w:type="auto"/>
            <w:vAlign w:val="center"/>
            <w:hideMark/>
          </w:tcPr>
          <w:p w14:paraId="375AE86B" w14:textId="77777777" w:rsidR="00966E8C" w:rsidRDefault="00966E8C">
            <w:r>
              <w:t xml:space="preserve">„Für einen systematischen Überblick über alle Vorhersagen des FRZK siehe </w:t>
            </w:r>
            <w:r>
              <w:rPr>
                <w:rStyle w:val="Fett"/>
              </w:rPr>
              <w:t>Anlage A: Übersicht der modelllogischen Vorhersagen</w:t>
            </w:r>
            <w:r>
              <w:t>.“</w:t>
            </w:r>
          </w:p>
        </w:tc>
      </w:tr>
      <w:tr w:rsidR="00966E8C" w14:paraId="1B5567DA" w14:textId="77777777" w:rsidTr="00966E8C">
        <w:trPr>
          <w:tblCellSpacing w:w="15" w:type="dxa"/>
        </w:trPr>
        <w:tc>
          <w:tcPr>
            <w:tcW w:w="0" w:type="auto"/>
            <w:vAlign w:val="center"/>
            <w:hideMark/>
          </w:tcPr>
          <w:p w14:paraId="6A532B5C" w14:textId="77777777" w:rsidR="00966E8C" w:rsidRDefault="00966E8C">
            <w:r>
              <w:rPr>
                <w:rStyle w:val="Fett"/>
              </w:rPr>
              <w:t>4.1–4.3</w:t>
            </w:r>
          </w:p>
        </w:tc>
        <w:tc>
          <w:tcPr>
            <w:tcW w:w="0" w:type="auto"/>
            <w:vAlign w:val="center"/>
            <w:hideMark/>
          </w:tcPr>
          <w:p w14:paraId="13B34B7B" w14:textId="77777777" w:rsidR="00966E8C" w:rsidRDefault="00966E8C">
            <w:r>
              <w:rPr>
                <w:rStyle w:val="Fett"/>
              </w:rPr>
              <w:t>Anlage B: Symbol- und Funktionsverzeichnis (Kap. 4)</w:t>
            </w:r>
          </w:p>
        </w:tc>
        <w:tc>
          <w:tcPr>
            <w:tcW w:w="0" w:type="auto"/>
            <w:vAlign w:val="center"/>
            <w:hideMark/>
          </w:tcPr>
          <w:p w14:paraId="6063661A" w14:textId="77777777" w:rsidR="00966E8C" w:rsidRDefault="00966E8C">
            <w:r>
              <w:t>Keine spezifische Erwähnung der Anlage im Text</w:t>
            </w:r>
          </w:p>
        </w:tc>
        <w:tc>
          <w:tcPr>
            <w:tcW w:w="0" w:type="auto"/>
            <w:vAlign w:val="center"/>
            <w:hideMark/>
          </w:tcPr>
          <w:p w14:paraId="6050EB07" w14:textId="77777777" w:rsidR="00966E8C" w:rsidRDefault="00966E8C">
            <w:r>
              <w:t xml:space="preserve">„Alle verwendeten Operatoren und Funktionssymbole werden in </w:t>
            </w:r>
            <w:r>
              <w:rPr>
                <w:rStyle w:val="Fett"/>
              </w:rPr>
              <w:t>Anlage B: Symbol- und Funktionsverzeichnis (Kap. 4)</w:t>
            </w:r>
            <w:r>
              <w:t xml:space="preserve"> detailliert aufgeführt.“</w:t>
            </w:r>
          </w:p>
        </w:tc>
      </w:tr>
      <w:tr w:rsidR="00966E8C" w14:paraId="6C9D61B1" w14:textId="77777777" w:rsidTr="00966E8C">
        <w:trPr>
          <w:tblCellSpacing w:w="15" w:type="dxa"/>
        </w:trPr>
        <w:tc>
          <w:tcPr>
            <w:tcW w:w="0" w:type="auto"/>
            <w:vAlign w:val="center"/>
            <w:hideMark/>
          </w:tcPr>
          <w:p w14:paraId="367DD6C9" w14:textId="77777777" w:rsidR="00966E8C" w:rsidRDefault="00966E8C">
            <w:r>
              <w:rPr>
                <w:rStyle w:val="Fett"/>
              </w:rPr>
              <w:t>4.2</w:t>
            </w:r>
          </w:p>
        </w:tc>
        <w:tc>
          <w:tcPr>
            <w:tcW w:w="0" w:type="auto"/>
            <w:vAlign w:val="center"/>
            <w:hideMark/>
          </w:tcPr>
          <w:p w14:paraId="14A5A687" w14:textId="77777777" w:rsidR="00966E8C" w:rsidRDefault="00966E8C">
            <w:r>
              <w:rPr>
                <w:rStyle w:val="Fett"/>
              </w:rPr>
              <w:t>Anlage C: Ableitungsschema funktionaler Gleichungstypen</w:t>
            </w:r>
          </w:p>
        </w:tc>
        <w:tc>
          <w:tcPr>
            <w:tcW w:w="0" w:type="auto"/>
            <w:vAlign w:val="center"/>
            <w:hideMark/>
          </w:tcPr>
          <w:p w14:paraId="31F243CA" w14:textId="77777777" w:rsidR="00966E8C" w:rsidRDefault="00966E8C">
            <w:r>
              <w:t>„Die Entwicklung funktionaler Gleichungstypen wird schematisch als sequenzielle Darstellung in einem Ableitungsschema verdeutlicht.“</w:t>
            </w:r>
          </w:p>
        </w:tc>
        <w:tc>
          <w:tcPr>
            <w:tcW w:w="0" w:type="auto"/>
            <w:vAlign w:val="center"/>
            <w:hideMark/>
          </w:tcPr>
          <w:p w14:paraId="361F5F72" w14:textId="77777777" w:rsidR="00966E8C" w:rsidRDefault="00966E8C">
            <w:r>
              <w:t>„</w:t>
            </w:r>
            <w:r>
              <w:rPr>
                <w:rStyle w:val="Fett"/>
              </w:rPr>
              <w:t>Anlage C: Ableitungsschema funktionaler Gleichungstypen</w:t>
            </w:r>
            <w:r>
              <w:t xml:space="preserve"> zeigt die sequentielle Darstellung der Operatorverknüpfung von Initialpunkt bis Meta-Funktion.“</w:t>
            </w:r>
          </w:p>
        </w:tc>
      </w:tr>
      <w:tr w:rsidR="00966E8C" w14:paraId="257F6EF4" w14:textId="77777777" w:rsidTr="00966E8C">
        <w:trPr>
          <w:tblCellSpacing w:w="15" w:type="dxa"/>
        </w:trPr>
        <w:tc>
          <w:tcPr>
            <w:tcW w:w="0" w:type="auto"/>
            <w:vAlign w:val="center"/>
            <w:hideMark/>
          </w:tcPr>
          <w:p w14:paraId="6CB9B5DD" w14:textId="77777777" w:rsidR="00966E8C" w:rsidRDefault="00966E8C">
            <w:r>
              <w:rPr>
                <w:rStyle w:val="Fett"/>
              </w:rPr>
              <w:t>4.3</w:t>
            </w:r>
          </w:p>
        </w:tc>
        <w:tc>
          <w:tcPr>
            <w:tcW w:w="0" w:type="auto"/>
            <w:vAlign w:val="center"/>
            <w:hideMark/>
          </w:tcPr>
          <w:p w14:paraId="2B82D526" w14:textId="77777777" w:rsidR="00966E8C" w:rsidRDefault="00966E8C">
            <w:r>
              <w:rPr>
                <w:rStyle w:val="Fett"/>
              </w:rPr>
              <w:t>Anlage D: Beobachtungsoperatoren – systematische Typologie</w:t>
            </w:r>
          </w:p>
        </w:tc>
        <w:tc>
          <w:tcPr>
            <w:tcW w:w="0" w:type="auto"/>
            <w:vAlign w:val="center"/>
            <w:hideMark/>
          </w:tcPr>
          <w:p w14:paraId="5537E201" w14:textId="77777777" w:rsidR="00966E8C" w:rsidRDefault="00966E8C">
            <w:r>
              <w:t>Keine spezifische Erwähnung der Anlage im Text</w:t>
            </w:r>
          </w:p>
        </w:tc>
        <w:tc>
          <w:tcPr>
            <w:tcW w:w="0" w:type="auto"/>
            <w:vAlign w:val="center"/>
            <w:hideMark/>
          </w:tcPr>
          <w:p w14:paraId="5BE619FA" w14:textId="77777777" w:rsidR="00966E8C" w:rsidRDefault="00966E8C">
            <w:r>
              <w:t>„</w:t>
            </w:r>
            <w:r>
              <w:rPr>
                <w:rStyle w:val="Fett"/>
              </w:rPr>
              <w:t>Anlage D: Beobachtungsoperatoren – systematische Typologie</w:t>
            </w:r>
            <w:r>
              <w:t xml:space="preserve"> bietet eine detaillierte Tabelle, die die verschiedenen Beobachtungsoperatoren und deren Ordnung unterscheidet.“</w:t>
            </w:r>
          </w:p>
        </w:tc>
      </w:tr>
      <w:tr w:rsidR="00966E8C" w14:paraId="365B96DC" w14:textId="77777777" w:rsidTr="00966E8C">
        <w:trPr>
          <w:tblCellSpacing w:w="15" w:type="dxa"/>
        </w:trPr>
        <w:tc>
          <w:tcPr>
            <w:tcW w:w="0" w:type="auto"/>
            <w:vAlign w:val="center"/>
            <w:hideMark/>
          </w:tcPr>
          <w:p w14:paraId="24D04608" w14:textId="77777777" w:rsidR="00966E8C" w:rsidRDefault="00966E8C">
            <w:r>
              <w:rPr>
                <w:rStyle w:val="Fett"/>
              </w:rPr>
              <w:t>4.5 / 4.6</w:t>
            </w:r>
          </w:p>
        </w:tc>
        <w:tc>
          <w:tcPr>
            <w:tcW w:w="0" w:type="auto"/>
            <w:vAlign w:val="center"/>
            <w:hideMark/>
          </w:tcPr>
          <w:p w14:paraId="651B6E01" w14:textId="77777777" w:rsidR="00966E8C" w:rsidRDefault="00966E8C">
            <w:r>
              <w:rPr>
                <w:rStyle w:val="Fett"/>
              </w:rPr>
              <w:t>Anlage E: Semantische Felddynamik – Beispiele &amp; Modelle</w:t>
            </w:r>
          </w:p>
        </w:tc>
        <w:tc>
          <w:tcPr>
            <w:tcW w:w="0" w:type="auto"/>
            <w:vAlign w:val="center"/>
            <w:hideMark/>
          </w:tcPr>
          <w:p w14:paraId="6858190B" w14:textId="77777777" w:rsidR="00966E8C" w:rsidRDefault="00966E8C">
            <w:r>
              <w:t>Keine spezifische Erwähnung der Anlage im Text</w:t>
            </w:r>
          </w:p>
        </w:tc>
        <w:tc>
          <w:tcPr>
            <w:tcW w:w="0" w:type="auto"/>
            <w:vAlign w:val="center"/>
            <w:hideMark/>
          </w:tcPr>
          <w:p w14:paraId="16C59E6E" w14:textId="77777777" w:rsidR="00966E8C" w:rsidRDefault="00966E8C">
            <w:r>
              <w:t>„</w:t>
            </w:r>
            <w:r>
              <w:rPr>
                <w:rStyle w:val="Fett"/>
              </w:rPr>
              <w:t>Anlage E: Semantische Felddynamik – Beispiele &amp; Modelle</w:t>
            </w:r>
            <w:r>
              <w:t xml:space="preserve"> stellt beispielhafte Bedeutungsverschiebungen durch Operatorwirkungen dar.“</w:t>
            </w:r>
          </w:p>
        </w:tc>
      </w:tr>
      <w:tr w:rsidR="00966E8C" w14:paraId="539D64C9" w14:textId="77777777" w:rsidTr="00966E8C">
        <w:trPr>
          <w:tblCellSpacing w:w="15" w:type="dxa"/>
        </w:trPr>
        <w:tc>
          <w:tcPr>
            <w:tcW w:w="0" w:type="auto"/>
            <w:vAlign w:val="center"/>
            <w:hideMark/>
          </w:tcPr>
          <w:p w14:paraId="72B758E6" w14:textId="77777777" w:rsidR="00966E8C" w:rsidRDefault="00966E8C">
            <w:r>
              <w:rPr>
                <w:rStyle w:val="Fett"/>
              </w:rPr>
              <w:t>4.7</w:t>
            </w:r>
          </w:p>
        </w:tc>
        <w:tc>
          <w:tcPr>
            <w:tcW w:w="0" w:type="auto"/>
            <w:vAlign w:val="center"/>
            <w:hideMark/>
          </w:tcPr>
          <w:p w14:paraId="7EDA6DBB" w14:textId="77777777" w:rsidR="00966E8C" w:rsidRDefault="00966E8C">
            <w:r>
              <w:rPr>
                <w:rStyle w:val="Fett"/>
              </w:rPr>
              <w:t>Anlage F: Strukturmodell semantisch-kultureller Kopplung</w:t>
            </w:r>
          </w:p>
        </w:tc>
        <w:tc>
          <w:tcPr>
            <w:tcW w:w="0" w:type="auto"/>
            <w:vAlign w:val="center"/>
            <w:hideMark/>
          </w:tcPr>
          <w:p w14:paraId="1CB09AA5" w14:textId="77777777" w:rsidR="00966E8C" w:rsidRDefault="00966E8C">
            <w:r>
              <w:t>Keine spezifische Erwähnung der Anlage im Text</w:t>
            </w:r>
          </w:p>
        </w:tc>
        <w:tc>
          <w:tcPr>
            <w:tcW w:w="0" w:type="auto"/>
            <w:vAlign w:val="center"/>
            <w:hideMark/>
          </w:tcPr>
          <w:p w14:paraId="3E295B39" w14:textId="77777777" w:rsidR="00966E8C" w:rsidRDefault="00966E8C">
            <w:r>
              <w:t>„</w:t>
            </w:r>
            <w:r>
              <w:rPr>
                <w:rStyle w:val="Fett"/>
              </w:rPr>
              <w:t>Anlage F: Strukturmodell semantisch-kultureller Kopplung</w:t>
            </w:r>
            <w:r>
              <w:t xml:space="preserve"> zeigt typischerweise die Kopplung von Technologiewandel und Bedeutungswandel.“</w:t>
            </w:r>
          </w:p>
        </w:tc>
      </w:tr>
      <w:tr w:rsidR="00966E8C" w14:paraId="4571410C" w14:textId="77777777" w:rsidTr="00966E8C">
        <w:trPr>
          <w:tblCellSpacing w:w="15" w:type="dxa"/>
        </w:trPr>
        <w:tc>
          <w:tcPr>
            <w:tcW w:w="0" w:type="auto"/>
            <w:vAlign w:val="center"/>
            <w:hideMark/>
          </w:tcPr>
          <w:p w14:paraId="58304D02" w14:textId="77777777" w:rsidR="00966E8C" w:rsidRDefault="00966E8C">
            <w:r>
              <w:rPr>
                <w:rStyle w:val="Fett"/>
              </w:rPr>
              <w:t>4.8</w:t>
            </w:r>
          </w:p>
        </w:tc>
        <w:tc>
          <w:tcPr>
            <w:tcW w:w="0" w:type="auto"/>
            <w:vAlign w:val="center"/>
            <w:hideMark/>
          </w:tcPr>
          <w:p w14:paraId="50072556" w14:textId="77777777" w:rsidR="00966E8C" w:rsidRDefault="00966E8C">
            <w:r>
              <w:rPr>
                <w:rStyle w:val="Fett"/>
              </w:rPr>
              <w:t>Anlage G: Ethische Operatorprinzipien im FRZK</w:t>
            </w:r>
          </w:p>
        </w:tc>
        <w:tc>
          <w:tcPr>
            <w:tcW w:w="0" w:type="auto"/>
            <w:vAlign w:val="center"/>
            <w:hideMark/>
          </w:tcPr>
          <w:p w14:paraId="3D302564" w14:textId="77777777" w:rsidR="00966E8C" w:rsidRDefault="00966E8C">
            <w:r>
              <w:t>Keine spezifische Erwähnung der Anlage im Text</w:t>
            </w:r>
          </w:p>
        </w:tc>
        <w:tc>
          <w:tcPr>
            <w:tcW w:w="0" w:type="auto"/>
            <w:vAlign w:val="center"/>
            <w:hideMark/>
          </w:tcPr>
          <w:p w14:paraId="7B173C4D" w14:textId="77777777" w:rsidR="00966E8C" w:rsidRDefault="00966E8C">
            <w:r>
              <w:t>„</w:t>
            </w:r>
            <w:r>
              <w:rPr>
                <w:rStyle w:val="Fett"/>
              </w:rPr>
              <w:t>Anlage G: Ethische Operatorprinzipien im FRZK</w:t>
            </w:r>
            <w:r>
              <w:t xml:space="preserve"> gibt eine Matrix der ethischen Prinzipien, ihrer Modellposition und Bewertungsform im FRZK.“</w:t>
            </w:r>
          </w:p>
        </w:tc>
      </w:tr>
      <w:tr w:rsidR="00966E8C" w14:paraId="2822EC6B" w14:textId="77777777" w:rsidTr="00966E8C">
        <w:trPr>
          <w:tblCellSpacing w:w="15" w:type="dxa"/>
        </w:trPr>
        <w:tc>
          <w:tcPr>
            <w:tcW w:w="0" w:type="auto"/>
            <w:vAlign w:val="center"/>
            <w:hideMark/>
          </w:tcPr>
          <w:p w14:paraId="24D93291" w14:textId="77777777" w:rsidR="00966E8C" w:rsidRDefault="00966E8C">
            <w:r>
              <w:rPr>
                <w:rStyle w:val="Fett"/>
              </w:rPr>
              <w:t>4.9</w:t>
            </w:r>
          </w:p>
        </w:tc>
        <w:tc>
          <w:tcPr>
            <w:tcW w:w="0" w:type="auto"/>
            <w:vAlign w:val="center"/>
            <w:hideMark/>
          </w:tcPr>
          <w:p w14:paraId="3B75A9E9" w14:textId="77777777" w:rsidR="00966E8C" w:rsidRDefault="00966E8C">
            <w:r>
              <w:rPr>
                <w:rStyle w:val="Fett"/>
              </w:rPr>
              <w:t>Anlage H: Strukturvergleich klassischer vs. funktionaler Prognosemodelle</w:t>
            </w:r>
          </w:p>
        </w:tc>
        <w:tc>
          <w:tcPr>
            <w:tcW w:w="0" w:type="auto"/>
            <w:vAlign w:val="center"/>
            <w:hideMark/>
          </w:tcPr>
          <w:p w14:paraId="2C042331" w14:textId="77777777" w:rsidR="00966E8C" w:rsidRDefault="00966E8C">
            <w:r>
              <w:t>Keine spezifische Erwähnung der Anlage im Text</w:t>
            </w:r>
          </w:p>
        </w:tc>
        <w:tc>
          <w:tcPr>
            <w:tcW w:w="0" w:type="auto"/>
            <w:vAlign w:val="center"/>
            <w:hideMark/>
          </w:tcPr>
          <w:p w14:paraId="35C6D695" w14:textId="77777777" w:rsidR="00966E8C" w:rsidRDefault="00966E8C">
            <w:r>
              <w:t>„</w:t>
            </w:r>
            <w:r>
              <w:rPr>
                <w:rStyle w:val="Fett"/>
              </w:rPr>
              <w:t>Anlage H: Strukturvergleich klassischer vs. funktionaler Prognosemodelle</w:t>
            </w:r>
            <w:r>
              <w:t xml:space="preserve"> veranschaulicht den Unterschied zwischen traditionellen Prognosemodellen und der funktionalen Struktur des FRZK.“</w:t>
            </w:r>
          </w:p>
        </w:tc>
      </w:tr>
      <w:tr w:rsidR="00966E8C" w14:paraId="37F01B0A" w14:textId="77777777" w:rsidTr="00966E8C">
        <w:trPr>
          <w:tblCellSpacing w:w="15" w:type="dxa"/>
        </w:trPr>
        <w:tc>
          <w:tcPr>
            <w:tcW w:w="0" w:type="auto"/>
            <w:vAlign w:val="center"/>
            <w:hideMark/>
          </w:tcPr>
          <w:p w14:paraId="5ED499FD" w14:textId="77777777" w:rsidR="00966E8C" w:rsidRDefault="00966E8C">
            <w:r>
              <w:rPr>
                <w:rStyle w:val="Fett"/>
              </w:rPr>
              <w:t>alle Abschnitte</w:t>
            </w:r>
          </w:p>
        </w:tc>
        <w:tc>
          <w:tcPr>
            <w:tcW w:w="0" w:type="auto"/>
            <w:vAlign w:val="center"/>
            <w:hideMark/>
          </w:tcPr>
          <w:p w14:paraId="1D2465F0" w14:textId="77777777" w:rsidR="00966E8C" w:rsidRDefault="00966E8C">
            <w:r>
              <w:rPr>
                <w:rStyle w:val="Fett"/>
              </w:rPr>
              <w:t>Anlage I: Quellensystematik Kapitel 4 (nach Nrn.)</w:t>
            </w:r>
          </w:p>
        </w:tc>
        <w:tc>
          <w:tcPr>
            <w:tcW w:w="0" w:type="auto"/>
            <w:vAlign w:val="center"/>
            <w:hideMark/>
          </w:tcPr>
          <w:p w14:paraId="186778AA" w14:textId="77777777" w:rsidR="00966E8C" w:rsidRDefault="00966E8C">
            <w:r>
              <w:t>Keine spezifische Erwähnung der Anlage im Text</w:t>
            </w:r>
          </w:p>
        </w:tc>
        <w:tc>
          <w:tcPr>
            <w:tcW w:w="0" w:type="auto"/>
            <w:vAlign w:val="center"/>
            <w:hideMark/>
          </w:tcPr>
          <w:p w14:paraId="548CC861" w14:textId="77777777" w:rsidR="00966E8C" w:rsidRDefault="00966E8C">
            <w:r>
              <w:t xml:space="preserve">„Für eine detaillierte Übersicht der Quellen und deren interne Zitation im Kontext des FRZK siehe </w:t>
            </w:r>
            <w:r>
              <w:rPr>
                <w:rStyle w:val="Fett"/>
              </w:rPr>
              <w:t>Anlage I: Quellensystematik Kapitel 4 (nach Nrn.)</w:t>
            </w:r>
            <w:r>
              <w:t>.“</w:t>
            </w:r>
          </w:p>
        </w:tc>
      </w:tr>
    </w:tbl>
    <w:p w14:paraId="0CFB2D15" w14:textId="77777777" w:rsidR="00966E8C" w:rsidRPr="00082214" w:rsidRDefault="00966E8C" w:rsidP="00C359A6">
      <w:pPr>
        <w:rPr>
          <w:rStyle w:val="IntensiveHervorhebung"/>
          <w:i w:val="0"/>
          <w:iCs w:val="0"/>
          <w:color w:val="auto"/>
        </w:rPr>
      </w:pPr>
    </w:p>
    <w:sectPr w:rsidR="00966E8C" w:rsidRPr="00082214" w:rsidSect="001B0BD3">
      <w:pgSz w:w="11906" w:h="16838"/>
      <w:pgMar w:top="1417" w:right="1417" w:bottom="1134" w:left="1417"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87F2B"/>
    <w:multiLevelType w:val="multilevel"/>
    <w:tmpl w:val="F18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0E75"/>
    <w:multiLevelType w:val="multilevel"/>
    <w:tmpl w:val="7BF6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2EFE"/>
    <w:multiLevelType w:val="multilevel"/>
    <w:tmpl w:val="F17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376AC4"/>
    <w:multiLevelType w:val="multilevel"/>
    <w:tmpl w:val="538EC062"/>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10C54"/>
    <w:multiLevelType w:val="multilevel"/>
    <w:tmpl w:val="467A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B6E09C2"/>
    <w:multiLevelType w:val="multilevel"/>
    <w:tmpl w:val="12B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E1569"/>
    <w:multiLevelType w:val="multilevel"/>
    <w:tmpl w:val="27FA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C55CB"/>
    <w:multiLevelType w:val="multilevel"/>
    <w:tmpl w:val="4D4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B3D08"/>
    <w:multiLevelType w:val="multilevel"/>
    <w:tmpl w:val="4BB6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34562"/>
    <w:multiLevelType w:val="multilevel"/>
    <w:tmpl w:val="1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C6A1A"/>
    <w:multiLevelType w:val="multilevel"/>
    <w:tmpl w:val="733A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3A71F8"/>
    <w:multiLevelType w:val="multilevel"/>
    <w:tmpl w:val="F9CC9564"/>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F184A22"/>
    <w:multiLevelType w:val="multilevel"/>
    <w:tmpl w:val="7B4C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E34C2F"/>
    <w:multiLevelType w:val="multilevel"/>
    <w:tmpl w:val="F75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164540"/>
    <w:multiLevelType w:val="multilevel"/>
    <w:tmpl w:val="E1C4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636BC"/>
    <w:multiLevelType w:val="multilevel"/>
    <w:tmpl w:val="FF7E2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B291F"/>
    <w:multiLevelType w:val="multilevel"/>
    <w:tmpl w:val="6F9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82FE2"/>
    <w:multiLevelType w:val="multilevel"/>
    <w:tmpl w:val="5EFA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B698E"/>
    <w:multiLevelType w:val="multilevel"/>
    <w:tmpl w:val="598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E1CF0"/>
    <w:multiLevelType w:val="multilevel"/>
    <w:tmpl w:val="C3F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8509B"/>
    <w:multiLevelType w:val="multilevel"/>
    <w:tmpl w:val="3A7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D0B76"/>
    <w:multiLevelType w:val="multilevel"/>
    <w:tmpl w:val="D2E8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40D37"/>
    <w:multiLevelType w:val="multilevel"/>
    <w:tmpl w:val="67A6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E317A3"/>
    <w:multiLevelType w:val="multilevel"/>
    <w:tmpl w:val="ED0E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140242">
    <w:abstractNumId w:val="3"/>
  </w:num>
  <w:num w:numId="2" w16cid:durableId="1337077219">
    <w:abstractNumId w:val="6"/>
  </w:num>
  <w:num w:numId="3" w16cid:durableId="1628505889">
    <w:abstractNumId w:val="11"/>
  </w:num>
  <w:num w:numId="4" w16cid:durableId="998193790">
    <w:abstractNumId w:val="17"/>
  </w:num>
  <w:num w:numId="5" w16cid:durableId="1439983998">
    <w:abstractNumId w:val="12"/>
  </w:num>
  <w:num w:numId="6" w16cid:durableId="616378727">
    <w:abstractNumId w:val="25"/>
  </w:num>
  <w:num w:numId="7" w16cid:durableId="424574011">
    <w:abstractNumId w:val="2"/>
  </w:num>
  <w:num w:numId="8" w16cid:durableId="358050129">
    <w:abstractNumId w:val="4"/>
  </w:num>
  <w:num w:numId="9" w16cid:durableId="1934392280">
    <w:abstractNumId w:val="0"/>
  </w:num>
  <w:num w:numId="10" w16cid:durableId="2111243307">
    <w:abstractNumId w:val="24"/>
  </w:num>
  <w:num w:numId="11" w16cid:durableId="1523981961">
    <w:abstractNumId w:val="16"/>
  </w:num>
  <w:num w:numId="12" w16cid:durableId="1750040124">
    <w:abstractNumId w:val="26"/>
  </w:num>
  <w:num w:numId="13" w16cid:durableId="1238586840">
    <w:abstractNumId w:val="1"/>
  </w:num>
  <w:num w:numId="14" w16cid:durableId="1697149571">
    <w:abstractNumId w:val="19"/>
  </w:num>
  <w:num w:numId="15" w16cid:durableId="1743257813">
    <w:abstractNumId w:val="18"/>
  </w:num>
  <w:num w:numId="16" w16cid:durableId="367143803">
    <w:abstractNumId w:val="14"/>
  </w:num>
  <w:num w:numId="17" w16cid:durableId="136342033">
    <w:abstractNumId w:val="22"/>
  </w:num>
  <w:num w:numId="18" w16cid:durableId="1628118450">
    <w:abstractNumId w:val="13"/>
  </w:num>
  <w:num w:numId="19" w16cid:durableId="2005813562">
    <w:abstractNumId w:val="7"/>
  </w:num>
  <w:num w:numId="20" w16cid:durableId="120005984">
    <w:abstractNumId w:val="8"/>
  </w:num>
  <w:num w:numId="21" w16cid:durableId="909383992">
    <w:abstractNumId w:val="9"/>
  </w:num>
  <w:num w:numId="22" w16cid:durableId="1253200862">
    <w:abstractNumId w:val="21"/>
  </w:num>
  <w:num w:numId="23" w16cid:durableId="1032224487">
    <w:abstractNumId w:val="15"/>
  </w:num>
  <w:num w:numId="24" w16cid:durableId="1589997864">
    <w:abstractNumId w:val="5"/>
  </w:num>
  <w:num w:numId="25" w16cid:durableId="1956863704">
    <w:abstractNumId w:val="10"/>
  </w:num>
  <w:num w:numId="26" w16cid:durableId="1894190145">
    <w:abstractNumId w:val="23"/>
  </w:num>
  <w:num w:numId="27" w16cid:durableId="352727981">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90"/>
    <w:rsid w:val="000467F2"/>
    <w:rsid w:val="00082214"/>
    <w:rsid w:val="000B6C23"/>
    <w:rsid w:val="00106528"/>
    <w:rsid w:val="00106BD1"/>
    <w:rsid w:val="001568EF"/>
    <w:rsid w:val="00162B3D"/>
    <w:rsid w:val="001830F2"/>
    <w:rsid w:val="0019229D"/>
    <w:rsid w:val="001B0BD3"/>
    <w:rsid w:val="001D6EC2"/>
    <w:rsid w:val="002029E6"/>
    <w:rsid w:val="002B03D4"/>
    <w:rsid w:val="002C4B29"/>
    <w:rsid w:val="002D4202"/>
    <w:rsid w:val="003120C5"/>
    <w:rsid w:val="00324306"/>
    <w:rsid w:val="00433ECB"/>
    <w:rsid w:val="00436FC4"/>
    <w:rsid w:val="00446557"/>
    <w:rsid w:val="00500020"/>
    <w:rsid w:val="0050154A"/>
    <w:rsid w:val="005454E6"/>
    <w:rsid w:val="00552B58"/>
    <w:rsid w:val="005B5EFD"/>
    <w:rsid w:val="005E4CED"/>
    <w:rsid w:val="006016DC"/>
    <w:rsid w:val="006A2AE6"/>
    <w:rsid w:val="00722323"/>
    <w:rsid w:val="00756FE2"/>
    <w:rsid w:val="00786626"/>
    <w:rsid w:val="007A3369"/>
    <w:rsid w:val="007B7DE7"/>
    <w:rsid w:val="007E333F"/>
    <w:rsid w:val="00812645"/>
    <w:rsid w:val="0084315F"/>
    <w:rsid w:val="008871CF"/>
    <w:rsid w:val="008B0C43"/>
    <w:rsid w:val="008C4935"/>
    <w:rsid w:val="009032D7"/>
    <w:rsid w:val="00946B95"/>
    <w:rsid w:val="00966E8C"/>
    <w:rsid w:val="00997246"/>
    <w:rsid w:val="009C5A73"/>
    <w:rsid w:val="00A12267"/>
    <w:rsid w:val="00A23A2D"/>
    <w:rsid w:val="00A307C9"/>
    <w:rsid w:val="00A42634"/>
    <w:rsid w:val="00A50849"/>
    <w:rsid w:val="00A926CA"/>
    <w:rsid w:val="00AA4222"/>
    <w:rsid w:val="00AB54F3"/>
    <w:rsid w:val="00AF4AB7"/>
    <w:rsid w:val="00AF6392"/>
    <w:rsid w:val="00B53EE0"/>
    <w:rsid w:val="00B70960"/>
    <w:rsid w:val="00B873C2"/>
    <w:rsid w:val="00BA664A"/>
    <w:rsid w:val="00C2343F"/>
    <w:rsid w:val="00C359A6"/>
    <w:rsid w:val="00CD2089"/>
    <w:rsid w:val="00D27C96"/>
    <w:rsid w:val="00D33BDA"/>
    <w:rsid w:val="00D44FE7"/>
    <w:rsid w:val="00D542C6"/>
    <w:rsid w:val="00D67542"/>
    <w:rsid w:val="00D80CC8"/>
    <w:rsid w:val="00DF726C"/>
    <w:rsid w:val="00E309C4"/>
    <w:rsid w:val="00E340C5"/>
    <w:rsid w:val="00E6450A"/>
    <w:rsid w:val="00E93753"/>
    <w:rsid w:val="00EA1CC2"/>
    <w:rsid w:val="00EC181D"/>
    <w:rsid w:val="00EC35D8"/>
    <w:rsid w:val="00F3084A"/>
    <w:rsid w:val="00F47DF6"/>
    <w:rsid w:val="00F52866"/>
    <w:rsid w:val="00F57C02"/>
    <w:rsid w:val="00F74A0F"/>
    <w:rsid w:val="00FD1390"/>
    <w:rsid w:val="00FF05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DAAB"/>
  <w15:chartTrackingRefBased/>
  <w15:docId w15:val="{8386080D-7FD7-41E4-B2B4-80F97ED5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0BD3"/>
    <w:pPr>
      <w:spacing w:after="120"/>
    </w:pPr>
    <w:rPr>
      <w:rFonts w:asciiTheme="minorHAnsi" w:eastAsia="Times New Roman" w:hAnsiTheme="minorHAns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B70960"/>
    <w:pPr>
      <w:keepNext/>
      <w:keepLines/>
      <w:spacing w:before="40"/>
      <w:outlineLvl w:val="3"/>
    </w:pPr>
    <w:rPr>
      <w:rFonts w:ascii="Calibri" w:eastAsia="Calibri" w:hAnsi="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B70960"/>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1568EF"/>
    <w:pPr>
      <w:spacing w:after="240" w:line="259" w:lineRule="auto"/>
      <w:jc w:val="center"/>
    </w:pPr>
    <w:rPr>
      <w:i/>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1568EF"/>
    <w:rPr>
      <w:rFonts w:asciiTheme="minorHAnsi" w:eastAsia="Times New Roman" w:hAnsiTheme="minorHAnsi"/>
      <w:i/>
      <w:sz w:val="24"/>
      <w:szCs w:val="24"/>
    </w:rPr>
  </w:style>
  <w:style w:type="paragraph" w:styleId="StandardWeb">
    <w:name w:val="Normal (Web)"/>
    <w:basedOn w:val="Standard"/>
    <w:uiPriority w:val="99"/>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6"/>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FD1390"/>
    <w:rPr>
      <w:i/>
      <w:iCs/>
    </w:rPr>
  </w:style>
  <w:style w:type="character" w:styleId="Hyperlink">
    <w:name w:val="Hyperlink"/>
    <w:uiPriority w:val="99"/>
    <w:unhideWhenUsed/>
    <w:rsid w:val="00C359A6"/>
    <w:rPr>
      <w:color w:val="0000FF"/>
      <w:u w:val="single"/>
    </w:rPr>
  </w:style>
  <w:style w:type="character" w:styleId="BesuchterLink">
    <w:name w:val="FollowedHyperlink"/>
    <w:basedOn w:val="Absatz-Standardschriftart"/>
    <w:uiPriority w:val="99"/>
    <w:semiHidden/>
    <w:unhideWhenUsed/>
    <w:rsid w:val="00C359A6"/>
    <w:rPr>
      <w:color w:val="954F72" w:themeColor="followedHyperlink"/>
      <w:u w:val="single"/>
    </w:rPr>
  </w:style>
  <w:style w:type="table" w:styleId="Tabellenraster">
    <w:name w:val="Table Grid"/>
    <w:basedOn w:val="NormaleTabelle"/>
    <w:uiPriority w:val="39"/>
    <w:rsid w:val="002C4B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A508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962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0148292">
      <w:bodyDiv w:val="1"/>
      <w:marLeft w:val="0"/>
      <w:marRight w:val="0"/>
      <w:marTop w:val="0"/>
      <w:marBottom w:val="0"/>
      <w:divBdr>
        <w:top w:val="none" w:sz="0" w:space="0" w:color="auto"/>
        <w:left w:val="none" w:sz="0" w:space="0" w:color="auto"/>
        <w:bottom w:val="none" w:sz="0" w:space="0" w:color="auto"/>
        <w:right w:val="none" w:sz="0" w:space="0" w:color="auto"/>
      </w:divBdr>
    </w:div>
    <w:div w:id="145826924">
      <w:bodyDiv w:val="1"/>
      <w:marLeft w:val="0"/>
      <w:marRight w:val="0"/>
      <w:marTop w:val="0"/>
      <w:marBottom w:val="0"/>
      <w:divBdr>
        <w:top w:val="none" w:sz="0" w:space="0" w:color="auto"/>
        <w:left w:val="none" w:sz="0" w:space="0" w:color="auto"/>
        <w:bottom w:val="none" w:sz="0" w:space="0" w:color="auto"/>
        <w:right w:val="none" w:sz="0" w:space="0" w:color="auto"/>
      </w:divBdr>
    </w:div>
    <w:div w:id="155339817">
      <w:bodyDiv w:val="1"/>
      <w:marLeft w:val="0"/>
      <w:marRight w:val="0"/>
      <w:marTop w:val="0"/>
      <w:marBottom w:val="0"/>
      <w:divBdr>
        <w:top w:val="none" w:sz="0" w:space="0" w:color="auto"/>
        <w:left w:val="none" w:sz="0" w:space="0" w:color="auto"/>
        <w:bottom w:val="none" w:sz="0" w:space="0" w:color="auto"/>
        <w:right w:val="none" w:sz="0" w:space="0" w:color="auto"/>
      </w:divBdr>
    </w:div>
    <w:div w:id="211381597">
      <w:bodyDiv w:val="1"/>
      <w:marLeft w:val="0"/>
      <w:marRight w:val="0"/>
      <w:marTop w:val="0"/>
      <w:marBottom w:val="0"/>
      <w:divBdr>
        <w:top w:val="none" w:sz="0" w:space="0" w:color="auto"/>
        <w:left w:val="none" w:sz="0" w:space="0" w:color="auto"/>
        <w:bottom w:val="none" w:sz="0" w:space="0" w:color="auto"/>
        <w:right w:val="none" w:sz="0" w:space="0" w:color="auto"/>
      </w:divBdr>
    </w:div>
    <w:div w:id="250356044">
      <w:bodyDiv w:val="1"/>
      <w:marLeft w:val="0"/>
      <w:marRight w:val="0"/>
      <w:marTop w:val="0"/>
      <w:marBottom w:val="0"/>
      <w:divBdr>
        <w:top w:val="none" w:sz="0" w:space="0" w:color="auto"/>
        <w:left w:val="none" w:sz="0" w:space="0" w:color="auto"/>
        <w:bottom w:val="none" w:sz="0" w:space="0" w:color="auto"/>
        <w:right w:val="none" w:sz="0" w:space="0" w:color="auto"/>
      </w:divBdr>
    </w:div>
    <w:div w:id="283200343">
      <w:bodyDiv w:val="1"/>
      <w:marLeft w:val="0"/>
      <w:marRight w:val="0"/>
      <w:marTop w:val="0"/>
      <w:marBottom w:val="0"/>
      <w:divBdr>
        <w:top w:val="none" w:sz="0" w:space="0" w:color="auto"/>
        <w:left w:val="none" w:sz="0" w:space="0" w:color="auto"/>
        <w:bottom w:val="none" w:sz="0" w:space="0" w:color="auto"/>
        <w:right w:val="none" w:sz="0" w:space="0" w:color="auto"/>
      </w:divBdr>
    </w:div>
    <w:div w:id="284773516">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29602114">
      <w:bodyDiv w:val="1"/>
      <w:marLeft w:val="0"/>
      <w:marRight w:val="0"/>
      <w:marTop w:val="0"/>
      <w:marBottom w:val="0"/>
      <w:divBdr>
        <w:top w:val="none" w:sz="0" w:space="0" w:color="auto"/>
        <w:left w:val="none" w:sz="0" w:space="0" w:color="auto"/>
        <w:bottom w:val="none" w:sz="0" w:space="0" w:color="auto"/>
        <w:right w:val="none" w:sz="0" w:space="0" w:color="auto"/>
      </w:divBdr>
    </w:div>
    <w:div w:id="345710942">
      <w:bodyDiv w:val="1"/>
      <w:marLeft w:val="0"/>
      <w:marRight w:val="0"/>
      <w:marTop w:val="0"/>
      <w:marBottom w:val="0"/>
      <w:divBdr>
        <w:top w:val="none" w:sz="0" w:space="0" w:color="auto"/>
        <w:left w:val="none" w:sz="0" w:space="0" w:color="auto"/>
        <w:bottom w:val="none" w:sz="0" w:space="0" w:color="auto"/>
        <w:right w:val="none" w:sz="0" w:space="0" w:color="auto"/>
      </w:divBdr>
    </w:div>
    <w:div w:id="433474609">
      <w:bodyDiv w:val="1"/>
      <w:marLeft w:val="0"/>
      <w:marRight w:val="0"/>
      <w:marTop w:val="0"/>
      <w:marBottom w:val="0"/>
      <w:divBdr>
        <w:top w:val="none" w:sz="0" w:space="0" w:color="auto"/>
        <w:left w:val="none" w:sz="0" w:space="0" w:color="auto"/>
        <w:bottom w:val="none" w:sz="0" w:space="0" w:color="auto"/>
        <w:right w:val="none" w:sz="0" w:space="0" w:color="auto"/>
      </w:divBdr>
    </w:div>
    <w:div w:id="457182840">
      <w:bodyDiv w:val="1"/>
      <w:marLeft w:val="0"/>
      <w:marRight w:val="0"/>
      <w:marTop w:val="0"/>
      <w:marBottom w:val="0"/>
      <w:divBdr>
        <w:top w:val="none" w:sz="0" w:space="0" w:color="auto"/>
        <w:left w:val="none" w:sz="0" w:space="0" w:color="auto"/>
        <w:bottom w:val="none" w:sz="0" w:space="0" w:color="auto"/>
        <w:right w:val="none" w:sz="0" w:space="0" w:color="auto"/>
      </w:divBdr>
      <w:divsChild>
        <w:div w:id="1900163867">
          <w:marLeft w:val="0"/>
          <w:marRight w:val="0"/>
          <w:marTop w:val="0"/>
          <w:marBottom w:val="0"/>
          <w:divBdr>
            <w:top w:val="none" w:sz="0" w:space="0" w:color="auto"/>
            <w:left w:val="none" w:sz="0" w:space="0" w:color="auto"/>
            <w:bottom w:val="none" w:sz="0" w:space="0" w:color="auto"/>
            <w:right w:val="none" w:sz="0" w:space="0" w:color="auto"/>
          </w:divBdr>
          <w:divsChild>
            <w:div w:id="35712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7421">
      <w:bodyDiv w:val="1"/>
      <w:marLeft w:val="0"/>
      <w:marRight w:val="0"/>
      <w:marTop w:val="0"/>
      <w:marBottom w:val="0"/>
      <w:divBdr>
        <w:top w:val="none" w:sz="0" w:space="0" w:color="auto"/>
        <w:left w:val="none" w:sz="0" w:space="0" w:color="auto"/>
        <w:bottom w:val="none" w:sz="0" w:space="0" w:color="auto"/>
        <w:right w:val="none" w:sz="0" w:space="0" w:color="auto"/>
      </w:divBdr>
    </w:div>
    <w:div w:id="580026119">
      <w:bodyDiv w:val="1"/>
      <w:marLeft w:val="0"/>
      <w:marRight w:val="0"/>
      <w:marTop w:val="0"/>
      <w:marBottom w:val="0"/>
      <w:divBdr>
        <w:top w:val="none" w:sz="0" w:space="0" w:color="auto"/>
        <w:left w:val="none" w:sz="0" w:space="0" w:color="auto"/>
        <w:bottom w:val="none" w:sz="0" w:space="0" w:color="auto"/>
        <w:right w:val="none" w:sz="0" w:space="0" w:color="auto"/>
      </w:divBdr>
    </w:div>
    <w:div w:id="657540938">
      <w:bodyDiv w:val="1"/>
      <w:marLeft w:val="0"/>
      <w:marRight w:val="0"/>
      <w:marTop w:val="0"/>
      <w:marBottom w:val="0"/>
      <w:divBdr>
        <w:top w:val="none" w:sz="0" w:space="0" w:color="auto"/>
        <w:left w:val="none" w:sz="0" w:space="0" w:color="auto"/>
        <w:bottom w:val="none" w:sz="0" w:space="0" w:color="auto"/>
        <w:right w:val="none" w:sz="0" w:space="0" w:color="auto"/>
      </w:divBdr>
    </w:div>
    <w:div w:id="664012271">
      <w:bodyDiv w:val="1"/>
      <w:marLeft w:val="0"/>
      <w:marRight w:val="0"/>
      <w:marTop w:val="0"/>
      <w:marBottom w:val="0"/>
      <w:divBdr>
        <w:top w:val="none" w:sz="0" w:space="0" w:color="auto"/>
        <w:left w:val="none" w:sz="0" w:space="0" w:color="auto"/>
        <w:bottom w:val="none" w:sz="0" w:space="0" w:color="auto"/>
        <w:right w:val="none" w:sz="0" w:space="0" w:color="auto"/>
      </w:divBdr>
      <w:divsChild>
        <w:div w:id="907571202">
          <w:marLeft w:val="0"/>
          <w:marRight w:val="0"/>
          <w:marTop w:val="0"/>
          <w:marBottom w:val="0"/>
          <w:divBdr>
            <w:top w:val="none" w:sz="0" w:space="0" w:color="auto"/>
            <w:left w:val="none" w:sz="0" w:space="0" w:color="auto"/>
            <w:bottom w:val="none" w:sz="0" w:space="0" w:color="auto"/>
            <w:right w:val="none" w:sz="0" w:space="0" w:color="auto"/>
          </w:divBdr>
          <w:divsChild>
            <w:div w:id="12376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50044">
      <w:bodyDiv w:val="1"/>
      <w:marLeft w:val="0"/>
      <w:marRight w:val="0"/>
      <w:marTop w:val="0"/>
      <w:marBottom w:val="0"/>
      <w:divBdr>
        <w:top w:val="none" w:sz="0" w:space="0" w:color="auto"/>
        <w:left w:val="none" w:sz="0" w:space="0" w:color="auto"/>
        <w:bottom w:val="none" w:sz="0" w:space="0" w:color="auto"/>
        <w:right w:val="none" w:sz="0" w:space="0" w:color="auto"/>
      </w:divBdr>
    </w:div>
    <w:div w:id="812869216">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4265698">
      <w:bodyDiv w:val="1"/>
      <w:marLeft w:val="0"/>
      <w:marRight w:val="0"/>
      <w:marTop w:val="0"/>
      <w:marBottom w:val="0"/>
      <w:divBdr>
        <w:top w:val="none" w:sz="0" w:space="0" w:color="auto"/>
        <w:left w:val="none" w:sz="0" w:space="0" w:color="auto"/>
        <w:bottom w:val="none" w:sz="0" w:space="0" w:color="auto"/>
        <w:right w:val="none" w:sz="0" w:space="0" w:color="auto"/>
      </w:divBdr>
    </w:div>
    <w:div w:id="869992760">
      <w:bodyDiv w:val="1"/>
      <w:marLeft w:val="0"/>
      <w:marRight w:val="0"/>
      <w:marTop w:val="0"/>
      <w:marBottom w:val="0"/>
      <w:divBdr>
        <w:top w:val="none" w:sz="0" w:space="0" w:color="auto"/>
        <w:left w:val="none" w:sz="0" w:space="0" w:color="auto"/>
        <w:bottom w:val="none" w:sz="0" w:space="0" w:color="auto"/>
        <w:right w:val="none" w:sz="0" w:space="0" w:color="auto"/>
      </w:divBdr>
    </w:div>
    <w:div w:id="942764982">
      <w:bodyDiv w:val="1"/>
      <w:marLeft w:val="0"/>
      <w:marRight w:val="0"/>
      <w:marTop w:val="0"/>
      <w:marBottom w:val="0"/>
      <w:divBdr>
        <w:top w:val="none" w:sz="0" w:space="0" w:color="auto"/>
        <w:left w:val="none" w:sz="0" w:space="0" w:color="auto"/>
        <w:bottom w:val="none" w:sz="0" w:space="0" w:color="auto"/>
        <w:right w:val="none" w:sz="0" w:space="0" w:color="auto"/>
      </w:divBdr>
    </w:div>
    <w:div w:id="1018965830">
      <w:bodyDiv w:val="1"/>
      <w:marLeft w:val="0"/>
      <w:marRight w:val="0"/>
      <w:marTop w:val="0"/>
      <w:marBottom w:val="0"/>
      <w:divBdr>
        <w:top w:val="none" w:sz="0" w:space="0" w:color="auto"/>
        <w:left w:val="none" w:sz="0" w:space="0" w:color="auto"/>
        <w:bottom w:val="none" w:sz="0" w:space="0" w:color="auto"/>
        <w:right w:val="none" w:sz="0" w:space="0" w:color="auto"/>
      </w:divBdr>
    </w:div>
    <w:div w:id="1028917889">
      <w:bodyDiv w:val="1"/>
      <w:marLeft w:val="0"/>
      <w:marRight w:val="0"/>
      <w:marTop w:val="0"/>
      <w:marBottom w:val="0"/>
      <w:divBdr>
        <w:top w:val="none" w:sz="0" w:space="0" w:color="auto"/>
        <w:left w:val="none" w:sz="0" w:space="0" w:color="auto"/>
        <w:bottom w:val="none" w:sz="0" w:space="0" w:color="auto"/>
        <w:right w:val="none" w:sz="0" w:space="0" w:color="auto"/>
      </w:divBdr>
    </w:div>
    <w:div w:id="1048719551">
      <w:bodyDiv w:val="1"/>
      <w:marLeft w:val="0"/>
      <w:marRight w:val="0"/>
      <w:marTop w:val="0"/>
      <w:marBottom w:val="0"/>
      <w:divBdr>
        <w:top w:val="none" w:sz="0" w:space="0" w:color="auto"/>
        <w:left w:val="none" w:sz="0" w:space="0" w:color="auto"/>
        <w:bottom w:val="none" w:sz="0" w:space="0" w:color="auto"/>
        <w:right w:val="none" w:sz="0" w:space="0" w:color="auto"/>
      </w:divBdr>
      <w:divsChild>
        <w:div w:id="1853715486">
          <w:marLeft w:val="0"/>
          <w:marRight w:val="0"/>
          <w:marTop w:val="0"/>
          <w:marBottom w:val="0"/>
          <w:divBdr>
            <w:top w:val="none" w:sz="0" w:space="0" w:color="auto"/>
            <w:left w:val="none" w:sz="0" w:space="0" w:color="auto"/>
            <w:bottom w:val="none" w:sz="0" w:space="0" w:color="auto"/>
            <w:right w:val="none" w:sz="0" w:space="0" w:color="auto"/>
          </w:divBdr>
          <w:divsChild>
            <w:div w:id="10822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5792">
      <w:bodyDiv w:val="1"/>
      <w:marLeft w:val="0"/>
      <w:marRight w:val="0"/>
      <w:marTop w:val="0"/>
      <w:marBottom w:val="0"/>
      <w:divBdr>
        <w:top w:val="none" w:sz="0" w:space="0" w:color="auto"/>
        <w:left w:val="none" w:sz="0" w:space="0" w:color="auto"/>
        <w:bottom w:val="none" w:sz="0" w:space="0" w:color="auto"/>
        <w:right w:val="none" w:sz="0" w:space="0" w:color="auto"/>
      </w:divBdr>
    </w:div>
    <w:div w:id="1060715124">
      <w:bodyDiv w:val="1"/>
      <w:marLeft w:val="0"/>
      <w:marRight w:val="0"/>
      <w:marTop w:val="0"/>
      <w:marBottom w:val="0"/>
      <w:divBdr>
        <w:top w:val="none" w:sz="0" w:space="0" w:color="auto"/>
        <w:left w:val="none" w:sz="0" w:space="0" w:color="auto"/>
        <w:bottom w:val="none" w:sz="0" w:space="0" w:color="auto"/>
        <w:right w:val="none" w:sz="0" w:space="0" w:color="auto"/>
      </w:divBdr>
    </w:div>
    <w:div w:id="1084566126">
      <w:bodyDiv w:val="1"/>
      <w:marLeft w:val="0"/>
      <w:marRight w:val="0"/>
      <w:marTop w:val="0"/>
      <w:marBottom w:val="0"/>
      <w:divBdr>
        <w:top w:val="none" w:sz="0" w:space="0" w:color="auto"/>
        <w:left w:val="none" w:sz="0" w:space="0" w:color="auto"/>
        <w:bottom w:val="none" w:sz="0" w:space="0" w:color="auto"/>
        <w:right w:val="none" w:sz="0" w:space="0" w:color="auto"/>
      </w:divBdr>
    </w:div>
    <w:div w:id="1139760390">
      <w:bodyDiv w:val="1"/>
      <w:marLeft w:val="0"/>
      <w:marRight w:val="0"/>
      <w:marTop w:val="0"/>
      <w:marBottom w:val="0"/>
      <w:divBdr>
        <w:top w:val="none" w:sz="0" w:space="0" w:color="auto"/>
        <w:left w:val="none" w:sz="0" w:space="0" w:color="auto"/>
        <w:bottom w:val="none" w:sz="0" w:space="0" w:color="auto"/>
        <w:right w:val="none" w:sz="0" w:space="0" w:color="auto"/>
      </w:divBdr>
    </w:div>
    <w:div w:id="1141192269">
      <w:bodyDiv w:val="1"/>
      <w:marLeft w:val="0"/>
      <w:marRight w:val="0"/>
      <w:marTop w:val="0"/>
      <w:marBottom w:val="0"/>
      <w:divBdr>
        <w:top w:val="none" w:sz="0" w:space="0" w:color="auto"/>
        <w:left w:val="none" w:sz="0" w:space="0" w:color="auto"/>
        <w:bottom w:val="none" w:sz="0" w:space="0" w:color="auto"/>
        <w:right w:val="none" w:sz="0" w:space="0" w:color="auto"/>
      </w:divBdr>
    </w:div>
    <w:div w:id="1226337763">
      <w:bodyDiv w:val="1"/>
      <w:marLeft w:val="0"/>
      <w:marRight w:val="0"/>
      <w:marTop w:val="0"/>
      <w:marBottom w:val="0"/>
      <w:divBdr>
        <w:top w:val="none" w:sz="0" w:space="0" w:color="auto"/>
        <w:left w:val="none" w:sz="0" w:space="0" w:color="auto"/>
        <w:bottom w:val="none" w:sz="0" w:space="0" w:color="auto"/>
        <w:right w:val="none" w:sz="0" w:space="0" w:color="auto"/>
      </w:divBdr>
    </w:div>
    <w:div w:id="1251550725">
      <w:bodyDiv w:val="1"/>
      <w:marLeft w:val="0"/>
      <w:marRight w:val="0"/>
      <w:marTop w:val="0"/>
      <w:marBottom w:val="0"/>
      <w:divBdr>
        <w:top w:val="none" w:sz="0" w:space="0" w:color="auto"/>
        <w:left w:val="none" w:sz="0" w:space="0" w:color="auto"/>
        <w:bottom w:val="none" w:sz="0" w:space="0" w:color="auto"/>
        <w:right w:val="none" w:sz="0" w:space="0" w:color="auto"/>
      </w:divBdr>
    </w:div>
    <w:div w:id="1293562722">
      <w:bodyDiv w:val="1"/>
      <w:marLeft w:val="0"/>
      <w:marRight w:val="0"/>
      <w:marTop w:val="0"/>
      <w:marBottom w:val="0"/>
      <w:divBdr>
        <w:top w:val="none" w:sz="0" w:space="0" w:color="auto"/>
        <w:left w:val="none" w:sz="0" w:space="0" w:color="auto"/>
        <w:bottom w:val="none" w:sz="0" w:space="0" w:color="auto"/>
        <w:right w:val="none" w:sz="0" w:space="0" w:color="auto"/>
      </w:divBdr>
    </w:div>
    <w:div w:id="1348486750">
      <w:bodyDiv w:val="1"/>
      <w:marLeft w:val="0"/>
      <w:marRight w:val="0"/>
      <w:marTop w:val="0"/>
      <w:marBottom w:val="0"/>
      <w:divBdr>
        <w:top w:val="none" w:sz="0" w:space="0" w:color="auto"/>
        <w:left w:val="none" w:sz="0" w:space="0" w:color="auto"/>
        <w:bottom w:val="none" w:sz="0" w:space="0" w:color="auto"/>
        <w:right w:val="none" w:sz="0" w:space="0" w:color="auto"/>
      </w:divBdr>
    </w:div>
    <w:div w:id="1352993872">
      <w:bodyDiv w:val="1"/>
      <w:marLeft w:val="0"/>
      <w:marRight w:val="0"/>
      <w:marTop w:val="0"/>
      <w:marBottom w:val="0"/>
      <w:divBdr>
        <w:top w:val="none" w:sz="0" w:space="0" w:color="auto"/>
        <w:left w:val="none" w:sz="0" w:space="0" w:color="auto"/>
        <w:bottom w:val="none" w:sz="0" w:space="0" w:color="auto"/>
        <w:right w:val="none" w:sz="0" w:space="0" w:color="auto"/>
      </w:divBdr>
    </w:div>
    <w:div w:id="1362247215">
      <w:bodyDiv w:val="1"/>
      <w:marLeft w:val="0"/>
      <w:marRight w:val="0"/>
      <w:marTop w:val="0"/>
      <w:marBottom w:val="0"/>
      <w:divBdr>
        <w:top w:val="none" w:sz="0" w:space="0" w:color="auto"/>
        <w:left w:val="none" w:sz="0" w:space="0" w:color="auto"/>
        <w:bottom w:val="none" w:sz="0" w:space="0" w:color="auto"/>
        <w:right w:val="none" w:sz="0" w:space="0" w:color="auto"/>
      </w:divBdr>
    </w:div>
    <w:div w:id="1415515439">
      <w:bodyDiv w:val="1"/>
      <w:marLeft w:val="0"/>
      <w:marRight w:val="0"/>
      <w:marTop w:val="0"/>
      <w:marBottom w:val="0"/>
      <w:divBdr>
        <w:top w:val="none" w:sz="0" w:space="0" w:color="auto"/>
        <w:left w:val="none" w:sz="0" w:space="0" w:color="auto"/>
        <w:bottom w:val="none" w:sz="0" w:space="0" w:color="auto"/>
        <w:right w:val="none" w:sz="0" w:space="0" w:color="auto"/>
      </w:divBdr>
    </w:div>
    <w:div w:id="1459490123">
      <w:bodyDiv w:val="1"/>
      <w:marLeft w:val="0"/>
      <w:marRight w:val="0"/>
      <w:marTop w:val="0"/>
      <w:marBottom w:val="0"/>
      <w:divBdr>
        <w:top w:val="none" w:sz="0" w:space="0" w:color="auto"/>
        <w:left w:val="none" w:sz="0" w:space="0" w:color="auto"/>
        <w:bottom w:val="none" w:sz="0" w:space="0" w:color="auto"/>
        <w:right w:val="none" w:sz="0" w:space="0" w:color="auto"/>
      </w:divBdr>
    </w:div>
    <w:div w:id="1478765097">
      <w:bodyDiv w:val="1"/>
      <w:marLeft w:val="0"/>
      <w:marRight w:val="0"/>
      <w:marTop w:val="0"/>
      <w:marBottom w:val="0"/>
      <w:divBdr>
        <w:top w:val="none" w:sz="0" w:space="0" w:color="auto"/>
        <w:left w:val="none" w:sz="0" w:space="0" w:color="auto"/>
        <w:bottom w:val="none" w:sz="0" w:space="0" w:color="auto"/>
        <w:right w:val="none" w:sz="0" w:space="0" w:color="auto"/>
      </w:divBdr>
    </w:div>
    <w:div w:id="1518035258">
      <w:bodyDiv w:val="1"/>
      <w:marLeft w:val="0"/>
      <w:marRight w:val="0"/>
      <w:marTop w:val="0"/>
      <w:marBottom w:val="0"/>
      <w:divBdr>
        <w:top w:val="none" w:sz="0" w:space="0" w:color="auto"/>
        <w:left w:val="none" w:sz="0" w:space="0" w:color="auto"/>
        <w:bottom w:val="none" w:sz="0" w:space="0" w:color="auto"/>
        <w:right w:val="none" w:sz="0" w:space="0" w:color="auto"/>
      </w:divBdr>
    </w:div>
    <w:div w:id="1519195065">
      <w:bodyDiv w:val="1"/>
      <w:marLeft w:val="0"/>
      <w:marRight w:val="0"/>
      <w:marTop w:val="0"/>
      <w:marBottom w:val="0"/>
      <w:divBdr>
        <w:top w:val="none" w:sz="0" w:space="0" w:color="auto"/>
        <w:left w:val="none" w:sz="0" w:space="0" w:color="auto"/>
        <w:bottom w:val="none" w:sz="0" w:space="0" w:color="auto"/>
        <w:right w:val="none" w:sz="0" w:space="0" w:color="auto"/>
      </w:divBdr>
    </w:div>
    <w:div w:id="1595867960">
      <w:bodyDiv w:val="1"/>
      <w:marLeft w:val="0"/>
      <w:marRight w:val="0"/>
      <w:marTop w:val="0"/>
      <w:marBottom w:val="0"/>
      <w:divBdr>
        <w:top w:val="none" w:sz="0" w:space="0" w:color="auto"/>
        <w:left w:val="none" w:sz="0" w:space="0" w:color="auto"/>
        <w:bottom w:val="none" w:sz="0" w:space="0" w:color="auto"/>
        <w:right w:val="none" w:sz="0" w:space="0" w:color="auto"/>
      </w:divBdr>
    </w:div>
    <w:div w:id="1654942231">
      <w:bodyDiv w:val="1"/>
      <w:marLeft w:val="0"/>
      <w:marRight w:val="0"/>
      <w:marTop w:val="0"/>
      <w:marBottom w:val="0"/>
      <w:divBdr>
        <w:top w:val="none" w:sz="0" w:space="0" w:color="auto"/>
        <w:left w:val="none" w:sz="0" w:space="0" w:color="auto"/>
        <w:bottom w:val="none" w:sz="0" w:space="0" w:color="auto"/>
        <w:right w:val="none" w:sz="0" w:space="0" w:color="auto"/>
      </w:divBdr>
    </w:div>
    <w:div w:id="1663658618">
      <w:bodyDiv w:val="1"/>
      <w:marLeft w:val="0"/>
      <w:marRight w:val="0"/>
      <w:marTop w:val="0"/>
      <w:marBottom w:val="0"/>
      <w:divBdr>
        <w:top w:val="none" w:sz="0" w:space="0" w:color="auto"/>
        <w:left w:val="none" w:sz="0" w:space="0" w:color="auto"/>
        <w:bottom w:val="none" w:sz="0" w:space="0" w:color="auto"/>
        <w:right w:val="none" w:sz="0" w:space="0" w:color="auto"/>
      </w:divBdr>
    </w:div>
    <w:div w:id="1725520446">
      <w:bodyDiv w:val="1"/>
      <w:marLeft w:val="0"/>
      <w:marRight w:val="0"/>
      <w:marTop w:val="0"/>
      <w:marBottom w:val="0"/>
      <w:divBdr>
        <w:top w:val="none" w:sz="0" w:space="0" w:color="auto"/>
        <w:left w:val="none" w:sz="0" w:space="0" w:color="auto"/>
        <w:bottom w:val="none" w:sz="0" w:space="0" w:color="auto"/>
        <w:right w:val="none" w:sz="0" w:space="0" w:color="auto"/>
      </w:divBdr>
    </w:div>
    <w:div w:id="1747721675">
      <w:bodyDiv w:val="1"/>
      <w:marLeft w:val="0"/>
      <w:marRight w:val="0"/>
      <w:marTop w:val="0"/>
      <w:marBottom w:val="0"/>
      <w:divBdr>
        <w:top w:val="none" w:sz="0" w:space="0" w:color="auto"/>
        <w:left w:val="none" w:sz="0" w:space="0" w:color="auto"/>
        <w:bottom w:val="none" w:sz="0" w:space="0" w:color="auto"/>
        <w:right w:val="none" w:sz="0" w:space="0" w:color="auto"/>
      </w:divBdr>
    </w:div>
    <w:div w:id="1773433602">
      <w:bodyDiv w:val="1"/>
      <w:marLeft w:val="0"/>
      <w:marRight w:val="0"/>
      <w:marTop w:val="0"/>
      <w:marBottom w:val="0"/>
      <w:divBdr>
        <w:top w:val="none" w:sz="0" w:space="0" w:color="auto"/>
        <w:left w:val="none" w:sz="0" w:space="0" w:color="auto"/>
        <w:bottom w:val="none" w:sz="0" w:space="0" w:color="auto"/>
        <w:right w:val="none" w:sz="0" w:space="0" w:color="auto"/>
      </w:divBdr>
    </w:div>
    <w:div w:id="1802184686">
      <w:bodyDiv w:val="1"/>
      <w:marLeft w:val="0"/>
      <w:marRight w:val="0"/>
      <w:marTop w:val="0"/>
      <w:marBottom w:val="0"/>
      <w:divBdr>
        <w:top w:val="none" w:sz="0" w:space="0" w:color="auto"/>
        <w:left w:val="none" w:sz="0" w:space="0" w:color="auto"/>
        <w:bottom w:val="none" w:sz="0" w:space="0" w:color="auto"/>
        <w:right w:val="none" w:sz="0" w:space="0" w:color="auto"/>
      </w:divBdr>
    </w:div>
    <w:div w:id="1863470228">
      <w:bodyDiv w:val="1"/>
      <w:marLeft w:val="0"/>
      <w:marRight w:val="0"/>
      <w:marTop w:val="0"/>
      <w:marBottom w:val="0"/>
      <w:divBdr>
        <w:top w:val="none" w:sz="0" w:space="0" w:color="auto"/>
        <w:left w:val="none" w:sz="0" w:space="0" w:color="auto"/>
        <w:bottom w:val="none" w:sz="0" w:space="0" w:color="auto"/>
        <w:right w:val="none" w:sz="0" w:space="0" w:color="auto"/>
      </w:divBdr>
    </w:div>
    <w:div w:id="1894731445">
      <w:bodyDiv w:val="1"/>
      <w:marLeft w:val="0"/>
      <w:marRight w:val="0"/>
      <w:marTop w:val="0"/>
      <w:marBottom w:val="0"/>
      <w:divBdr>
        <w:top w:val="none" w:sz="0" w:space="0" w:color="auto"/>
        <w:left w:val="none" w:sz="0" w:space="0" w:color="auto"/>
        <w:bottom w:val="none" w:sz="0" w:space="0" w:color="auto"/>
        <w:right w:val="none" w:sz="0" w:space="0" w:color="auto"/>
      </w:divBdr>
    </w:div>
    <w:div w:id="1924757399">
      <w:bodyDiv w:val="1"/>
      <w:marLeft w:val="0"/>
      <w:marRight w:val="0"/>
      <w:marTop w:val="0"/>
      <w:marBottom w:val="0"/>
      <w:divBdr>
        <w:top w:val="none" w:sz="0" w:space="0" w:color="auto"/>
        <w:left w:val="none" w:sz="0" w:space="0" w:color="auto"/>
        <w:bottom w:val="none" w:sz="0" w:space="0" w:color="auto"/>
        <w:right w:val="none" w:sz="0" w:space="0" w:color="auto"/>
      </w:divBdr>
      <w:divsChild>
        <w:div w:id="66331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455951">
      <w:bodyDiv w:val="1"/>
      <w:marLeft w:val="0"/>
      <w:marRight w:val="0"/>
      <w:marTop w:val="0"/>
      <w:marBottom w:val="0"/>
      <w:divBdr>
        <w:top w:val="none" w:sz="0" w:space="0" w:color="auto"/>
        <w:left w:val="none" w:sz="0" w:space="0" w:color="auto"/>
        <w:bottom w:val="none" w:sz="0" w:space="0" w:color="auto"/>
        <w:right w:val="none" w:sz="0" w:space="0" w:color="auto"/>
      </w:divBdr>
    </w:div>
    <w:div w:id="2060394290">
      <w:bodyDiv w:val="1"/>
      <w:marLeft w:val="0"/>
      <w:marRight w:val="0"/>
      <w:marTop w:val="0"/>
      <w:marBottom w:val="0"/>
      <w:divBdr>
        <w:top w:val="none" w:sz="0" w:space="0" w:color="auto"/>
        <w:left w:val="none" w:sz="0" w:space="0" w:color="auto"/>
        <w:bottom w:val="none" w:sz="0" w:space="0" w:color="auto"/>
        <w:right w:val="none" w:sz="0" w:space="0" w:color="auto"/>
      </w:divBdr>
      <w:divsChild>
        <w:div w:id="1980259377">
          <w:marLeft w:val="0"/>
          <w:marRight w:val="0"/>
          <w:marTop w:val="0"/>
          <w:marBottom w:val="0"/>
          <w:divBdr>
            <w:top w:val="none" w:sz="0" w:space="0" w:color="auto"/>
            <w:left w:val="none" w:sz="0" w:space="0" w:color="auto"/>
            <w:bottom w:val="none" w:sz="0" w:space="0" w:color="auto"/>
            <w:right w:val="none" w:sz="0" w:space="0" w:color="auto"/>
          </w:divBdr>
          <w:divsChild>
            <w:div w:id="348946134">
              <w:marLeft w:val="0"/>
              <w:marRight w:val="0"/>
              <w:marTop w:val="0"/>
              <w:marBottom w:val="0"/>
              <w:divBdr>
                <w:top w:val="none" w:sz="0" w:space="0" w:color="auto"/>
                <w:left w:val="none" w:sz="0" w:space="0" w:color="auto"/>
                <w:bottom w:val="none" w:sz="0" w:space="0" w:color="auto"/>
                <w:right w:val="none" w:sz="0" w:space="0" w:color="auto"/>
              </w:divBdr>
              <w:divsChild>
                <w:div w:id="114523345">
                  <w:marLeft w:val="0"/>
                  <w:marRight w:val="0"/>
                  <w:marTop w:val="0"/>
                  <w:marBottom w:val="0"/>
                  <w:divBdr>
                    <w:top w:val="none" w:sz="0" w:space="0" w:color="auto"/>
                    <w:left w:val="none" w:sz="0" w:space="0" w:color="auto"/>
                    <w:bottom w:val="none" w:sz="0" w:space="0" w:color="auto"/>
                    <w:right w:val="none" w:sz="0" w:space="0" w:color="auto"/>
                  </w:divBdr>
                  <w:divsChild>
                    <w:div w:id="57214586">
                      <w:marLeft w:val="0"/>
                      <w:marRight w:val="0"/>
                      <w:marTop w:val="0"/>
                      <w:marBottom w:val="0"/>
                      <w:divBdr>
                        <w:top w:val="none" w:sz="0" w:space="0" w:color="auto"/>
                        <w:left w:val="none" w:sz="0" w:space="0" w:color="auto"/>
                        <w:bottom w:val="none" w:sz="0" w:space="0" w:color="auto"/>
                        <w:right w:val="none" w:sz="0" w:space="0" w:color="auto"/>
                      </w:divBdr>
                      <w:divsChild>
                        <w:div w:id="590551018">
                          <w:marLeft w:val="0"/>
                          <w:marRight w:val="0"/>
                          <w:marTop w:val="0"/>
                          <w:marBottom w:val="0"/>
                          <w:divBdr>
                            <w:top w:val="none" w:sz="0" w:space="0" w:color="auto"/>
                            <w:left w:val="none" w:sz="0" w:space="0" w:color="auto"/>
                            <w:bottom w:val="none" w:sz="0" w:space="0" w:color="auto"/>
                            <w:right w:val="none" w:sz="0" w:space="0" w:color="auto"/>
                          </w:divBdr>
                          <w:divsChild>
                            <w:div w:id="1209948831">
                              <w:marLeft w:val="0"/>
                              <w:marRight w:val="0"/>
                              <w:marTop w:val="0"/>
                              <w:marBottom w:val="0"/>
                              <w:divBdr>
                                <w:top w:val="none" w:sz="0" w:space="0" w:color="auto"/>
                                <w:left w:val="none" w:sz="0" w:space="0" w:color="auto"/>
                                <w:bottom w:val="none" w:sz="0" w:space="0" w:color="auto"/>
                                <w:right w:val="none" w:sz="0" w:space="0" w:color="auto"/>
                              </w:divBdr>
                              <w:divsChild>
                                <w:div w:id="1485656555">
                                  <w:marLeft w:val="0"/>
                                  <w:marRight w:val="0"/>
                                  <w:marTop w:val="0"/>
                                  <w:marBottom w:val="0"/>
                                  <w:divBdr>
                                    <w:top w:val="none" w:sz="0" w:space="0" w:color="auto"/>
                                    <w:left w:val="none" w:sz="0" w:space="0" w:color="auto"/>
                                    <w:bottom w:val="none" w:sz="0" w:space="0" w:color="auto"/>
                                    <w:right w:val="none" w:sz="0" w:space="0" w:color="auto"/>
                                  </w:divBdr>
                                  <w:divsChild>
                                    <w:div w:id="939409308">
                                      <w:marLeft w:val="0"/>
                                      <w:marRight w:val="0"/>
                                      <w:marTop w:val="0"/>
                                      <w:marBottom w:val="0"/>
                                      <w:divBdr>
                                        <w:top w:val="none" w:sz="0" w:space="0" w:color="auto"/>
                                        <w:left w:val="none" w:sz="0" w:space="0" w:color="auto"/>
                                        <w:bottom w:val="none" w:sz="0" w:space="0" w:color="auto"/>
                                        <w:right w:val="none" w:sz="0" w:space="0" w:color="auto"/>
                                      </w:divBdr>
                                      <w:divsChild>
                                        <w:div w:id="874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869578">
          <w:marLeft w:val="0"/>
          <w:marRight w:val="0"/>
          <w:marTop w:val="0"/>
          <w:marBottom w:val="0"/>
          <w:divBdr>
            <w:top w:val="none" w:sz="0" w:space="0" w:color="auto"/>
            <w:left w:val="none" w:sz="0" w:space="0" w:color="auto"/>
            <w:bottom w:val="none" w:sz="0" w:space="0" w:color="auto"/>
            <w:right w:val="none" w:sz="0" w:space="0" w:color="auto"/>
          </w:divBdr>
          <w:divsChild>
            <w:div w:id="2107799596">
              <w:marLeft w:val="0"/>
              <w:marRight w:val="0"/>
              <w:marTop w:val="0"/>
              <w:marBottom w:val="0"/>
              <w:divBdr>
                <w:top w:val="none" w:sz="0" w:space="0" w:color="auto"/>
                <w:left w:val="none" w:sz="0" w:space="0" w:color="auto"/>
                <w:bottom w:val="none" w:sz="0" w:space="0" w:color="auto"/>
                <w:right w:val="none" w:sz="0" w:space="0" w:color="auto"/>
              </w:divBdr>
              <w:divsChild>
                <w:div w:id="1501115065">
                  <w:marLeft w:val="0"/>
                  <w:marRight w:val="0"/>
                  <w:marTop w:val="0"/>
                  <w:marBottom w:val="0"/>
                  <w:divBdr>
                    <w:top w:val="none" w:sz="0" w:space="0" w:color="auto"/>
                    <w:left w:val="none" w:sz="0" w:space="0" w:color="auto"/>
                    <w:bottom w:val="none" w:sz="0" w:space="0" w:color="auto"/>
                    <w:right w:val="none" w:sz="0" w:space="0" w:color="auto"/>
                  </w:divBdr>
                  <w:divsChild>
                    <w:div w:id="981471085">
                      <w:marLeft w:val="0"/>
                      <w:marRight w:val="0"/>
                      <w:marTop w:val="0"/>
                      <w:marBottom w:val="0"/>
                      <w:divBdr>
                        <w:top w:val="none" w:sz="0" w:space="0" w:color="auto"/>
                        <w:left w:val="none" w:sz="0" w:space="0" w:color="auto"/>
                        <w:bottom w:val="none" w:sz="0" w:space="0" w:color="auto"/>
                        <w:right w:val="none" w:sz="0" w:space="0" w:color="auto"/>
                      </w:divBdr>
                      <w:divsChild>
                        <w:div w:id="985163034">
                          <w:marLeft w:val="0"/>
                          <w:marRight w:val="0"/>
                          <w:marTop w:val="0"/>
                          <w:marBottom w:val="0"/>
                          <w:divBdr>
                            <w:top w:val="none" w:sz="0" w:space="0" w:color="auto"/>
                            <w:left w:val="none" w:sz="0" w:space="0" w:color="auto"/>
                            <w:bottom w:val="none" w:sz="0" w:space="0" w:color="auto"/>
                            <w:right w:val="none" w:sz="0" w:space="0" w:color="auto"/>
                          </w:divBdr>
                          <w:divsChild>
                            <w:div w:id="818619733">
                              <w:marLeft w:val="0"/>
                              <w:marRight w:val="0"/>
                              <w:marTop w:val="0"/>
                              <w:marBottom w:val="0"/>
                              <w:divBdr>
                                <w:top w:val="none" w:sz="0" w:space="0" w:color="auto"/>
                                <w:left w:val="none" w:sz="0" w:space="0" w:color="auto"/>
                                <w:bottom w:val="none" w:sz="0" w:space="0" w:color="auto"/>
                                <w:right w:val="none" w:sz="0" w:space="0" w:color="auto"/>
                              </w:divBdr>
                              <w:divsChild>
                                <w:div w:id="193426655">
                                  <w:marLeft w:val="0"/>
                                  <w:marRight w:val="0"/>
                                  <w:marTop w:val="0"/>
                                  <w:marBottom w:val="0"/>
                                  <w:divBdr>
                                    <w:top w:val="none" w:sz="0" w:space="0" w:color="auto"/>
                                    <w:left w:val="none" w:sz="0" w:space="0" w:color="auto"/>
                                    <w:bottom w:val="none" w:sz="0" w:space="0" w:color="auto"/>
                                    <w:right w:val="none" w:sz="0" w:space="0" w:color="auto"/>
                                  </w:divBdr>
                                  <w:divsChild>
                                    <w:div w:id="1971589381">
                                      <w:marLeft w:val="0"/>
                                      <w:marRight w:val="0"/>
                                      <w:marTop w:val="0"/>
                                      <w:marBottom w:val="0"/>
                                      <w:divBdr>
                                        <w:top w:val="none" w:sz="0" w:space="0" w:color="auto"/>
                                        <w:left w:val="none" w:sz="0" w:space="0" w:color="auto"/>
                                        <w:bottom w:val="none" w:sz="0" w:space="0" w:color="auto"/>
                                        <w:right w:val="none" w:sz="0" w:space="0" w:color="auto"/>
                                      </w:divBdr>
                                      <w:divsChild>
                                        <w:div w:id="1149051970">
                                          <w:marLeft w:val="0"/>
                                          <w:marRight w:val="0"/>
                                          <w:marTop w:val="0"/>
                                          <w:marBottom w:val="0"/>
                                          <w:divBdr>
                                            <w:top w:val="none" w:sz="0" w:space="0" w:color="auto"/>
                                            <w:left w:val="none" w:sz="0" w:space="0" w:color="auto"/>
                                            <w:bottom w:val="none" w:sz="0" w:space="0" w:color="auto"/>
                                            <w:right w:val="none" w:sz="0" w:space="0" w:color="auto"/>
                                          </w:divBdr>
                                          <w:divsChild>
                                            <w:div w:id="5489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292643">
          <w:marLeft w:val="0"/>
          <w:marRight w:val="0"/>
          <w:marTop w:val="0"/>
          <w:marBottom w:val="0"/>
          <w:divBdr>
            <w:top w:val="none" w:sz="0" w:space="0" w:color="auto"/>
            <w:left w:val="none" w:sz="0" w:space="0" w:color="auto"/>
            <w:bottom w:val="none" w:sz="0" w:space="0" w:color="auto"/>
            <w:right w:val="none" w:sz="0" w:space="0" w:color="auto"/>
          </w:divBdr>
          <w:divsChild>
            <w:div w:id="1423724327">
              <w:marLeft w:val="0"/>
              <w:marRight w:val="0"/>
              <w:marTop w:val="0"/>
              <w:marBottom w:val="0"/>
              <w:divBdr>
                <w:top w:val="none" w:sz="0" w:space="0" w:color="auto"/>
                <w:left w:val="none" w:sz="0" w:space="0" w:color="auto"/>
                <w:bottom w:val="none" w:sz="0" w:space="0" w:color="auto"/>
                <w:right w:val="none" w:sz="0" w:space="0" w:color="auto"/>
              </w:divBdr>
              <w:divsChild>
                <w:div w:id="1449396810">
                  <w:marLeft w:val="0"/>
                  <w:marRight w:val="0"/>
                  <w:marTop w:val="0"/>
                  <w:marBottom w:val="0"/>
                  <w:divBdr>
                    <w:top w:val="none" w:sz="0" w:space="0" w:color="auto"/>
                    <w:left w:val="none" w:sz="0" w:space="0" w:color="auto"/>
                    <w:bottom w:val="none" w:sz="0" w:space="0" w:color="auto"/>
                    <w:right w:val="none" w:sz="0" w:space="0" w:color="auto"/>
                  </w:divBdr>
                  <w:divsChild>
                    <w:div w:id="577400802">
                      <w:marLeft w:val="0"/>
                      <w:marRight w:val="0"/>
                      <w:marTop w:val="0"/>
                      <w:marBottom w:val="0"/>
                      <w:divBdr>
                        <w:top w:val="none" w:sz="0" w:space="0" w:color="auto"/>
                        <w:left w:val="none" w:sz="0" w:space="0" w:color="auto"/>
                        <w:bottom w:val="none" w:sz="0" w:space="0" w:color="auto"/>
                        <w:right w:val="none" w:sz="0" w:space="0" w:color="auto"/>
                      </w:divBdr>
                      <w:divsChild>
                        <w:div w:id="1558279454">
                          <w:marLeft w:val="0"/>
                          <w:marRight w:val="0"/>
                          <w:marTop w:val="0"/>
                          <w:marBottom w:val="0"/>
                          <w:divBdr>
                            <w:top w:val="none" w:sz="0" w:space="0" w:color="auto"/>
                            <w:left w:val="none" w:sz="0" w:space="0" w:color="auto"/>
                            <w:bottom w:val="none" w:sz="0" w:space="0" w:color="auto"/>
                            <w:right w:val="none" w:sz="0" w:space="0" w:color="auto"/>
                          </w:divBdr>
                          <w:divsChild>
                            <w:div w:id="2126806651">
                              <w:marLeft w:val="0"/>
                              <w:marRight w:val="0"/>
                              <w:marTop w:val="0"/>
                              <w:marBottom w:val="0"/>
                              <w:divBdr>
                                <w:top w:val="none" w:sz="0" w:space="0" w:color="auto"/>
                                <w:left w:val="none" w:sz="0" w:space="0" w:color="auto"/>
                                <w:bottom w:val="none" w:sz="0" w:space="0" w:color="auto"/>
                                <w:right w:val="none" w:sz="0" w:space="0" w:color="auto"/>
                              </w:divBdr>
                              <w:divsChild>
                                <w:div w:id="839080289">
                                  <w:marLeft w:val="0"/>
                                  <w:marRight w:val="0"/>
                                  <w:marTop w:val="0"/>
                                  <w:marBottom w:val="0"/>
                                  <w:divBdr>
                                    <w:top w:val="none" w:sz="0" w:space="0" w:color="auto"/>
                                    <w:left w:val="none" w:sz="0" w:space="0" w:color="auto"/>
                                    <w:bottom w:val="none" w:sz="0" w:space="0" w:color="auto"/>
                                    <w:right w:val="none" w:sz="0" w:space="0" w:color="auto"/>
                                  </w:divBdr>
                                  <w:divsChild>
                                    <w:div w:id="346178846">
                                      <w:marLeft w:val="0"/>
                                      <w:marRight w:val="0"/>
                                      <w:marTop w:val="0"/>
                                      <w:marBottom w:val="0"/>
                                      <w:divBdr>
                                        <w:top w:val="none" w:sz="0" w:space="0" w:color="auto"/>
                                        <w:left w:val="none" w:sz="0" w:space="0" w:color="auto"/>
                                        <w:bottom w:val="none" w:sz="0" w:space="0" w:color="auto"/>
                                        <w:right w:val="none" w:sz="0" w:space="0" w:color="auto"/>
                                      </w:divBdr>
                                      <w:divsChild>
                                        <w:div w:id="57019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746228">
          <w:marLeft w:val="0"/>
          <w:marRight w:val="0"/>
          <w:marTop w:val="0"/>
          <w:marBottom w:val="0"/>
          <w:divBdr>
            <w:top w:val="none" w:sz="0" w:space="0" w:color="auto"/>
            <w:left w:val="none" w:sz="0" w:space="0" w:color="auto"/>
            <w:bottom w:val="none" w:sz="0" w:space="0" w:color="auto"/>
            <w:right w:val="none" w:sz="0" w:space="0" w:color="auto"/>
          </w:divBdr>
          <w:divsChild>
            <w:div w:id="1099913950">
              <w:marLeft w:val="0"/>
              <w:marRight w:val="0"/>
              <w:marTop w:val="0"/>
              <w:marBottom w:val="0"/>
              <w:divBdr>
                <w:top w:val="none" w:sz="0" w:space="0" w:color="auto"/>
                <w:left w:val="none" w:sz="0" w:space="0" w:color="auto"/>
                <w:bottom w:val="none" w:sz="0" w:space="0" w:color="auto"/>
                <w:right w:val="none" w:sz="0" w:space="0" w:color="auto"/>
              </w:divBdr>
              <w:divsChild>
                <w:div w:id="150144299">
                  <w:marLeft w:val="0"/>
                  <w:marRight w:val="0"/>
                  <w:marTop w:val="0"/>
                  <w:marBottom w:val="0"/>
                  <w:divBdr>
                    <w:top w:val="none" w:sz="0" w:space="0" w:color="auto"/>
                    <w:left w:val="none" w:sz="0" w:space="0" w:color="auto"/>
                    <w:bottom w:val="none" w:sz="0" w:space="0" w:color="auto"/>
                    <w:right w:val="none" w:sz="0" w:space="0" w:color="auto"/>
                  </w:divBdr>
                  <w:divsChild>
                    <w:div w:id="1627933418">
                      <w:marLeft w:val="0"/>
                      <w:marRight w:val="0"/>
                      <w:marTop w:val="0"/>
                      <w:marBottom w:val="0"/>
                      <w:divBdr>
                        <w:top w:val="none" w:sz="0" w:space="0" w:color="auto"/>
                        <w:left w:val="none" w:sz="0" w:space="0" w:color="auto"/>
                        <w:bottom w:val="none" w:sz="0" w:space="0" w:color="auto"/>
                        <w:right w:val="none" w:sz="0" w:space="0" w:color="auto"/>
                      </w:divBdr>
                      <w:divsChild>
                        <w:div w:id="1184634767">
                          <w:marLeft w:val="0"/>
                          <w:marRight w:val="0"/>
                          <w:marTop w:val="0"/>
                          <w:marBottom w:val="0"/>
                          <w:divBdr>
                            <w:top w:val="none" w:sz="0" w:space="0" w:color="auto"/>
                            <w:left w:val="none" w:sz="0" w:space="0" w:color="auto"/>
                            <w:bottom w:val="none" w:sz="0" w:space="0" w:color="auto"/>
                            <w:right w:val="none" w:sz="0" w:space="0" w:color="auto"/>
                          </w:divBdr>
                          <w:divsChild>
                            <w:div w:id="853887176">
                              <w:marLeft w:val="0"/>
                              <w:marRight w:val="0"/>
                              <w:marTop w:val="0"/>
                              <w:marBottom w:val="0"/>
                              <w:divBdr>
                                <w:top w:val="none" w:sz="0" w:space="0" w:color="auto"/>
                                <w:left w:val="none" w:sz="0" w:space="0" w:color="auto"/>
                                <w:bottom w:val="none" w:sz="0" w:space="0" w:color="auto"/>
                                <w:right w:val="none" w:sz="0" w:space="0" w:color="auto"/>
                              </w:divBdr>
                              <w:divsChild>
                                <w:div w:id="1580670886">
                                  <w:marLeft w:val="0"/>
                                  <w:marRight w:val="0"/>
                                  <w:marTop w:val="0"/>
                                  <w:marBottom w:val="0"/>
                                  <w:divBdr>
                                    <w:top w:val="none" w:sz="0" w:space="0" w:color="auto"/>
                                    <w:left w:val="none" w:sz="0" w:space="0" w:color="auto"/>
                                    <w:bottom w:val="none" w:sz="0" w:space="0" w:color="auto"/>
                                    <w:right w:val="none" w:sz="0" w:space="0" w:color="auto"/>
                                  </w:divBdr>
                                  <w:divsChild>
                                    <w:div w:id="1226183527">
                                      <w:marLeft w:val="0"/>
                                      <w:marRight w:val="0"/>
                                      <w:marTop w:val="0"/>
                                      <w:marBottom w:val="0"/>
                                      <w:divBdr>
                                        <w:top w:val="none" w:sz="0" w:space="0" w:color="auto"/>
                                        <w:left w:val="none" w:sz="0" w:space="0" w:color="auto"/>
                                        <w:bottom w:val="none" w:sz="0" w:space="0" w:color="auto"/>
                                        <w:right w:val="none" w:sz="0" w:space="0" w:color="auto"/>
                                      </w:divBdr>
                                      <w:divsChild>
                                        <w:div w:id="1837576554">
                                          <w:marLeft w:val="0"/>
                                          <w:marRight w:val="0"/>
                                          <w:marTop w:val="0"/>
                                          <w:marBottom w:val="0"/>
                                          <w:divBdr>
                                            <w:top w:val="none" w:sz="0" w:space="0" w:color="auto"/>
                                            <w:left w:val="none" w:sz="0" w:space="0" w:color="auto"/>
                                            <w:bottom w:val="none" w:sz="0" w:space="0" w:color="auto"/>
                                            <w:right w:val="none" w:sz="0" w:space="0" w:color="auto"/>
                                          </w:divBdr>
                                          <w:divsChild>
                                            <w:div w:id="8319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361235">
          <w:marLeft w:val="0"/>
          <w:marRight w:val="0"/>
          <w:marTop w:val="0"/>
          <w:marBottom w:val="0"/>
          <w:divBdr>
            <w:top w:val="none" w:sz="0" w:space="0" w:color="auto"/>
            <w:left w:val="none" w:sz="0" w:space="0" w:color="auto"/>
            <w:bottom w:val="none" w:sz="0" w:space="0" w:color="auto"/>
            <w:right w:val="none" w:sz="0" w:space="0" w:color="auto"/>
          </w:divBdr>
          <w:divsChild>
            <w:div w:id="512693715">
              <w:marLeft w:val="0"/>
              <w:marRight w:val="0"/>
              <w:marTop w:val="0"/>
              <w:marBottom w:val="0"/>
              <w:divBdr>
                <w:top w:val="none" w:sz="0" w:space="0" w:color="auto"/>
                <w:left w:val="none" w:sz="0" w:space="0" w:color="auto"/>
                <w:bottom w:val="none" w:sz="0" w:space="0" w:color="auto"/>
                <w:right w:val="none" w:sz="0" w:space="0" w:color="auto"/>
              </w:divBdr>
              <w:divsChild>
                <w:div w:id="1352101473">
                  <w:marLeft w:val="0"/>
                  <w:marRight w:val="0"/>
                  <w:marTop w:val="0"/>
                  <w:marBottom w:val="0"/>
                  <w:divBdr>
                    <w:top w:val="none" w:sz="0" w:space="0" w:color="auto"/>
                    <w:left w:val="none" w:sz="0" w:space="0" w:color="auto"/>
                    <w:bottom w:val="none" w:sz="0" w:space="0" w:color="auto"/>
                    <w:right w:val="none" w:sz="0" w:space="0" w:color="auto"/>
                  </w:divBdr>
                  <w:divsChild>
                    <w:div w:id="1469938675">
                      <w:marLeft w:val="0"/>
                      <w:marRight w:val="0"/>
                      <w:marTop w:val="0"/>
                      <w:marBottom w:val="0"/>
                      <w:divBdr>
                        <w:top w:val="none" w:sz="0" w:space="0" w:color="auto"/>
                        <w:left w:val="none" w:sz="0" w:space="0" w:color="auto"/>
                        <w:bottom w:val="none" w:sz="0" w:space="0" w:color="auto"/>
                        <w:right w:val="none" w:sz="0" w:space="0" w:color="auto"/>
                      </w:divBdr>
                      <w:divsChild>
                        <w:div w:id="1612348911">
                          <w:marLeft w:val="0"/>
                          <w:marRight w:val="0"/>
                          <w:marTop w:val="0"/>
                          <w:marBottom w:val="0"/>
                          <w:divBdr>
                            <w:top w:val="none" w:sz="0" w:space="0" w:color="auto"/>
                            <w:left w:val="none" w:sz="0" w:space="0" w:color="auto"/>
                            <w:bottom w:val="none" w:sz="0" w:space="0" w:color="auto"/>
                            <w:right w:val="none" w:sz="0" w:space="0" w:color="auto"/>
                          </w:divBdr>
                          <w:divsChild>
                            <w:div w:id="320816052">
                              <w:marLeft w:val="0"/>
                              <w:marRight w:val="0"/>
                              <w:marTop w:val="0"/>
                              <w:marBottom w:val="0"/>
                              <w:divBdr>
                                <w:top w:val="none" w:sz="0" w:space="0" w:color="auto"/>
                                <w:left w:val="none" w:sz="0" w:space="0" w:color="auto"/>
                                <w:bottom w:val="none" w:sz="0" w:space="0" w:color="auto"/>
                                <w:right w:val="none" w:sz="0" w:space="0" w:color="auto"/>
                              </w:divBdr>
                              <w:divsChild>
                                <w:div w:id="1844051992">
                                  <w:marLeft w:val="0"/>
                                  <w:marRight w:val="0"/>
                                  <w:marTop w:val="0"/>
                                  <w:marBottom w:val="0"/>
                                  <w:divBdr>
                                    <w:top w:val="none" w:sz="0" w:space="0" w:color="auto"/>
                                    <w:left w:val="none" w:sz="0" w:space="0" w:color="auto"/>
                                    <w:bottom w:val="none" w:sz="0" w:space="0" w:color="auto"/>
                                    <w:right w:val="none" w:sz="0" w:space="0" w:color="auto"/>
                                  </w:divBdr>
                                  <w:divsChild>
                                    <w:div w:id="1064719198">
                                      <w:marLeft w:val="0"/>
                                      <w:marRight w:val="0"/>
                                      <w:marTop w:val="0"/>
                                      <w:marBottom w:val="0"/>
                                      <w:divBdr>
                                        <w:top w:val="none" w:sz="0" w:space="0" w:color="auto"/>
                                        <w:left w:val="none" w:sz="0" w:space="0" w:color="auto"/>
                                        <w:bottom w:val="none" w:sz="0" w:space="0" w:color="auto"/>
                                        <w:right w:val="none" w:sz="0" w:space="0" w:color="auto"/>
                                      </w:divBdr>
                                      <w:divsChild>
                                        <w:div w:id="407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299602">
          <w:marLeft w:val="0"/>
          <w:marRight w:val="0"/>
          <w:marTop w:val="0"/>
          <w:marBottom w:val="0"/>
          <w:divBdr>
            <w:top w:val="none" w:sz="0" w:space="0" w:color="auto"/>
            <w:left w:val="none" w:sz="0" w:space="0" w:color="auto"/>
            <w:bottom w:val="none" w:sz="0" w:space="0" w:color="auto"/>
            <w:right w:val="none" w:sz="0" w:space="0" w:color="auto"/>
          </w:divBdr>
          <w:divsChild>
            <w:div w:id="185219626">
              <w:marLeft w:val="0"/>
              <w:marRight w:val="0"/>
              <w:marTop w:val="0"/>
              <w:marBottom w:val="0"/>
              <w:divBdr>
                <w:top w:val="none" w:sz="0" w:space="0" w:color="auto"/>
                <w:left w:val="none" w:sz="0" w:space="0" w:color="auto"/>
                <w:bottom w:val="none" w:sz="0" w:space="0" w:color="auto"/>
                <w:right w:val="none" w:sz="0" w:space="0" w:color="auto"/>
              </w:divBdr>
              <w:divsChild>
                <w:div w:id="1579293164">
                  <w:marLeft w:val="0"/>
                  <w:marRight w:val="0"/>
                  <w:marTop w:val="0"/>
                  <w:marBottom w:val="0"/>
                  <w:divBdr>
                    <w:top w:val="none" w:sz="0" w:space="0" w:color="auto"/>
                    <w:left w:val="none" w:sz="0" w:space="0" w:color="auto"/>
                    <w:bottom w:val="none" w:sz="0" w:space="0" w:color="auto"/>
                    <w:right w:val="none" w:sz="0" w:space="0" w:color="auto"/>
                  </w:divBdr>
                  <w:divsChild>
                    <w:div w:id="1706056963">
                      <w:marLeft w:val="0"/>
                      <w:marRight w:val="0"/>
                      <w:marTop w:val="0"/>
                      <w:marBottom w:val="0"/>
                      <w:divBdr>
                        <w:top w:val="none" w:sz="0" w:space="0" w:color="auto"/>
                        <w:left w:val="none" w:sz="0" w:space="0" w:color="auto"/>
                        <w:bottom w:val="none" w:sz="0" w:space="0" w:color="auto"/>
                        <w:right w:val="none" w:sz="0" w:space="0" w:color="auto"/>
                      </w:divBdr>
                      <w:divsChild>
                        <w:div w:id="1294554034">
                          <w:marLeft w:val="0"/>
                          <w:marRight w:val="0"/>
                          <w:marTop w:val="0"/>
                          <w:marBottom w:val="0"/>
                          <w:divBdr>
                            <w:top w:val="none" w:sz="0" w:space="0" w:color="auto"/>
                            <w:left w:val="none" w:sz="0" w:space="0" w:color="auto"/>
                            <w:bottom w:val="none" w:sz="0" w:space="0" w:color="auto"/>
                            <w:right w:val="none" w:sz="0" w:space="0" w:color="auto"/>
                          </w:divBdr>
                          <w:divsChild>
                            <w:div w:id="252710455">
                              <w:marLeft w:val="0"/>
                              <w:marRight w:val="0"/>
                              <w:marTop w:val="0"/>
                              <w:marBottom w:val="0"/>
                              <w:divBdr>
                                <w:top w:val="none" w:sz="0" w:space="0" w:color="auto"/>
                                <w:left w:val="none" w:sz="0" w:space="0" w:color="auto"/>
                                <w:bottom w:val="none" w:sz="0" w:space="0" w:color="auto"/>
                                <w:right w:val="none" w:sz="0" w:space="0" w:color="auto"/>
                              </w:divBdr>
                              <w:divsChild>
                                <w:div w:id="1000735798">
                                  <w:marLeft w:val="0"/>
                                  <w:marRight w:val="0"/>
                                  <w:marTop w:val="0"/>
                                  <w:marBottom w:val="0"/>
                                  <w:divBdr>
                                    <w:top w:val="none" w:sz="0" w:space="0" w:color="auto"/>
                                    <w:left w:val="none" w:sz="0" w:space="0" w:color="auto"/>
                                    <w:bottom w:val="none" w:sz="0" w:space="0" w:color="auto"/>
                                    <w:right w:val="none" w:sz="0" w:space="0" w:color="auto"/>
                                  </w:divBdr>
                                  <w:divsChild>
                                    <w:div w:id="688139579">
                                      <w:marLeft w:val="0"/>
                                      <w:marRight w:val="0"/>
                                      <w:marTop w:val="0"/>
                                      <w:marBottom w:val="0"/>
                                      <w:divBdr>
                                        <w:top w:val="none" w:sz="0" w:space="0" w:color="auto"/>
                                        <w:left w:val="none" w:sz="0" w:space="0" w:color="auto"/>
                                        <w:bottom w:val="none" w:sz="0" w:space="0" w:color="auto"/>
                                        <w:right w:val="none" w:sz="0" w:space="0" w:color="auto"/>
                                      </w:divBdr>
                                      <w:divsChild>
                                        <w:div w:id="651106644">
                                          <w:marLeft w:val="0"/>
                                          <w:marRight w:val="0"/>
                                          <w:marTop w:val="0"/>
                                          <w:marBottom w:val="0"/>
                                          <w:divBdr>
                                            <w:top w:val="none" w:sz="0" w:space="0" w:color="auto"/>
                                            <w:left w:val="none" w:sz="0" w:space="0" w:color="auto"/>
                                            <w:bottom w:val="none" w:sz="0" w:space="0" w:color="auto"/>
                                            <w:right w:val="none" w:sz="0" w:space="0" w:color="auto"/>
                                          </w:divBdr>
                                          <w:divsChild>
                                            <w:div w:id="104826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9186223">
      <w:bodyDiv w:val="1"/>
      <w:marLeft w:val="0"/>
      <w:marRight w:val="0"/>
      <w:marTop w:val="0"/>
      <w:marBottom w:val="0"/>
      <w:divBdr>
        <w:top w:val="none" w:sz="0" w:space="0" w:color="auto"/>
        <w:left w:val="none" w:sz="0" w:space="0" w:color="auto"/>
        <w:bottom w:val="none" w:sz="0" w:space="0" w:color="auto"/>
        <w:right w:val="none" w:sz="0" w:space="0" w:color="auto"/>
      </w:divBdr>
      <w:divsChild>
        <w:div w:id="1839155507">
          <w:marLeft w:val="0"/>
          <w:marRight w:val="0"/>
          <w:marTop w:val="0"/>
          <w:marBottom w:val="0"/>
          <w:divBdr>
            <w:top w:val="none" w:sz="0" w:space="0" w:color="auto"/>
            <w:left w:val="none" w:sz="0" w:space="0" w:color="auto"/>
            <w:bottom w:val="none" w:sz="0" w:space="0" w:color="auto"/>
            <w:right w:val="none" w:sz="0" w:space="0" w:color="auto"/>
          </w:divBdr>
          <w:divsChild>
            <w:div w:id="170990490">
              <w:marLeft w:val="0"/>
              <w:marRight w:val="0"/>
              <w:marTop w:val="0"/>
              <w:marBottom w:val="0"/>
              <w:divBdr>
                <w:top w:val="none" w:sz="0" w:space="0" w:color="auto"/>
                <w:left w:val="none" w:sz="0" w:space="0" w:color="auto"/>
                <w:bottom w:val="none" w:sz="0" w:space="0" w:color="auto"/>
                <w:right w:val="none" w:sz="0" w:space="0" w:color="auto"/>
              </w:divBdr>
              <w:divsChild>
                <w:div w:id="91898104">
                  <w:marLeft w:val="0"/>
                  <w:marRight w:val="0"/>
                  <w:marTop w:val="0"/>
                  <w:marBottom w:val="0"/>
                  <w:divBdr>
                    <w:top w:val="none" w:sz="0" w:space="0" w:color="auto"/>
                    <w:left w:val="none" w:sz="0" w:space="0" w:color="auto"/>
                    <w:bottom w:val="none" w:sz="0" w:space="0" w:color="auto"/>
                    <w:right w:val="none" w:sz="0" w:space="0" w:color="auto"/>
                  </w:divBdr>
                  <w:divsChild>
                    <w:div w:id="942415834">
                      <w:marLeft w:val="0"/>
                      <w:marRight w:val="0"/>
                      <w:marTop w:val="0"/>
                      <w:marBottom w:val="0"/>
                      <w:divBdr>
                        <w:top w:val="none" w:sz="0" w:space="0" w:color="auto"/>
                        <w:left w:val="none" w:sz="0" w:space="0" w:color="auto"/>
                        <w:bottom w:val="none" w:sz="0" w:space="0" w:color="auto"/>
                        <w:right w:val="none" w:sz="0" w:space="0" w:color="auto"/>
                      </w:divBdr>
                      <w:divsChild>
                        <w:div w:id="602495664">
                          <w:marLeft w:val="0"/>
                          <w:marRight w:val="0"/>
                          <w:marTop w:val="0"/>
                          <w:marBottom w:val="0"/>
                          <w:divBdr>
                            <w:top w:val="none" w:sz="0" w:space="0" w:color="auto"/>
                            <w:left w:val="none" w:sz="0" w:space="0" w:color="auto"/>
                            <w:bottom w:val="none" w:sz="0" w:space="0" w:color="auto"/>
                            <w:right w:val="none" w:sz="0" w:space="0" w:color="auto"/>
                          </w:divBdr>
                          <w:divsChild>
                            <w:div w:id="1836149184">
                              <w:marLeft w:val="0"/>
                              <w:marRight w:val="0"/>
                              <w:marTop w:val="0"/>
                              <w:marBottom w:val="0"/>
                              <w:divBdr>
                                <w:top w:val="none" w:sz="0" w:space="0" w:color="auto"/>
                                <w:left w:val="none" w:sz="0" w:space="0" w:color="auto"/>
                                <w:bottom w:val="none" w:sz="0" w:space="0" w:color="auto"/>
                                <w:right w:val="none" w:sz="0" w:space="0" w:color="auto"/>
                              </w:divBdr>
                              <w:divsChild>
                                <w:div w:id="1633360534">
                                  <w:marLeft w:val="0"/>
                                  <w:marRight w:val="0"/>
                                  <w:marTop w:val="0"/>
                                  <w:marBottom w:val="0"/>
                                  <w:divBdr>
                                    <w:top w:val="none" w:sz="0" w:space="0" w:color="auto"/>
                                    <w:left w:val="none" w:sz="0" w:space="0" w:color="auto"/>
                                    <w:bottom w:val="none" w:sz="0" w:space="0" w:color="auto"/>
                                    <w:right w:val="none" w:sz="0" w:space="0" w:color="auto"/>
                                  </w:divBdr>
                                  <w:divsChild>
                                    <w:div w:id="147213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371948">
          <w:marLeft w:val="0"/>
          <w:marRight w:val="0"/>
          <w:marTop w:val="0"/>
          <w:marBottom w:val="0"/>
          <w:divBdr>
            <w:top w:val="none" w:sz="0" w:space="0" w:color="auto"/>
            <w:left w:val="none" w:sz="0" w:space="0" w:color="auto"/>
            <w:bottom w:val="none" w:sz="0" w:space="0" w:color="auto"/>
            <w:right w:val="none" w:sz="0" w:space="0" w:color="auto"/>
          </w:divBdr>
          <w:divsChild>
            <w:div w:id="453642693">
              <w:marLeft w:val="0"/>
              <w:marRight w:val="0"/>
              <w:marTop w:val="0"/>
              <w:marBottom w:val="0"/>
              <w:divBdr>
                <w:top w:val="none" w:sz="0" w:space="0" w:color="auto"/>
                <w:left w:val="none" w:sz="0" w:space="0" w:color="auto"/>
                <w:bottom w:val="none" w:sz="0" w:space="0" w:color="auto"/>
                <w:right w:val="none" w:sz="0" w:space="0" w:color="auto"/>
              </w:divBdr>
              <w:divsChild>
                <w:div w:id="1183277747">
                  <w:marLeft w:val="0"/>
                  <w:marRight w:val="0"/>
                  <w:marTop w:val="0"/>
                  <w:marBottom w:val="0"/>
                  <w:divBdr>
                    <w:top w:val="none" w:sz="0" w:space="0" w:color="auto"/>
                    <w:left w:val="none" w:sz="0" w:space="0" w:color="auto"/>
                    <w:bottom w:val="none" w:sz="0" w:space="0" w:color="auto"/>
                    <w:right w:val="none" w:sz="0" w:space="0" w:color="auto"/>
                  </w:divBdr>
                  <w:divsChild>
                    <w:div w:id="1538927691">
                      <w:marLeft w:val="0"/>
                      <w:marRight w:val="0"/>
                      <w:marTop w:val="0"/>
                      <w:marBottom w:val="0"/>
                      <w:divBdr>
                        <w:top w:val="none" w:sz="0" w:space="0" w:color="auto"/>
                        <w:left w:val="none" w:sz="0" w:space="0" w:color="auto"/>
                        <w:bottom w:val="none" w:sz="0" w:space="0" w:color="auto"/>
                        <w:right w:val="none" w:sz="0" w:space="0" w:color="auto"/>
                      </w:divBdr>
                      <w:divsChild>
                        <w:div w:id="519010178">
                          <w:marLeft w:val="0"/>
                          <w:marRight w:val="0"/>
                          <w:marTop w:val="0"/>
                          <w:marBottom w:val="0"/>
                          <w:divBdr>
                            <w:top w:val="none" w:sz="0" w:space="0" w:color="auto"/>
                            <w:left w:val="none" w:sz="0" w:space="0" w:color="auto"/>
                            <w:bottom w:val="none" w:sz="0" w:space="0" w:color="auto"/>
                            <w:right w:val="none" w:sz="0" w:space="0" w:color="auto"/>
                          </w:divBdr>
                          <w:divsChild>
                            <w:div w:id="442261718">
                              <w:marLeft w:val="0"/>
                              <w:marRight w:val="0"/>
                              <w:marTop w:val="0"/>
                              <w:marBottom w:val="0"/>
                              <w:divBdr>
                                <w:top w:val="none" w:sz="0" w:space="0" w:color="auto"/>
                                <w:left w:val="none" w:sz="0" w:space="0" w:color="auto"/>
                                <w:bottom w:val="none" w:sz="0" w:space="0" w:color="auto"/>
                                <w:right w:val="none" w:sz="0" w:space="0" w:color="auto"/>
                              </w:divBdr>
                              <w:divsChild>
                                <w:div w:id="796682478">
                                  <w:marLeft w:val="0"/>
                                  <w:marRight w:val="0"/>
                                  <w:marTop w:val="0"/>
                                  <w:marBottom w:val="0"/>
                                  <w:divBdr>
                                    <w:top w:val="none" w:sz="0" w:space="0" w:color="auto"/>
                                    <w:left w:val="none" w:sz="0" w:space="0" w:color="auto"/>
                                    <w:bottom w:val="none" w:sz="0" w:space="0" w:color="auto"/>
                                    <w:right w:val="none" w:sz="0" w:space="0" w:color="auto"/>
                                  </w:divBdr>
                                  <w:divsChild>
                                    <w:div w:id="210307844">
                                      <w:marLeft w:val="0"/>
                                      <w:marRight w:val="0"/>
                                      <w:marTop w:val="0"/>
                                      <w:marBottom w:val="0"/>
                                      <w:divBdr>
                                        <w:top w:val="none" w:sz="0" w:space="0" w:color="auto"/>
                                        <w:left w:val="none" w:sz="0" w:space="0" w:color="auto"/>
                                        <w:bottom w:val="none" w:sz="0" w:space="0" w:color="auto"/>
                                        <w:right w:val="none" w:sz="0" w:space="0" w:color="auto"/>
                                      </w:divBdr>
                                      <w:divsChild>
                                        <w:div w:id="11784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254973">
          <w:marLeft w:val="0"/>
          <w:marRight w:val="0"/>
          <w:marTop w:val="0"/>
          <w:marBottom w:val="0"/>
          <w:divBdr>
            <w:top w:val="none" w:sz="0" w:space="0" w:color="auto"/>
            <w:left w:val="none" w:sz="0" w:space="0" w:color="auto"/>
            <w:bottom w:val="none" w:sz="0" w:space="0" w:color="auto"/>
            <w:right w:val="none" w:sz="0" w:space="0" w:color="auto"/>
          </w:divBdr>
          <w:divsChild>
            <w:div w:id="787503469">
              <w:marLeft w:val="0"/>
              <w:marRight w:val="0"/>
              <w:marTop w:val="0"/>
              <w:marBottom w:val="0"/>
              <w:divBdr>
                <w:top w:val="none" w:sz="0" w:space="0" w:color="auto"/>
                <w:left w:val="none" w:sz="0" w:space="0" w:color="auto"/>
                <w:bottom w:val="none" w:sz="0" w:space="0" w:color="auto"/>
                <w:right w:val="none" w:sz="0" w:space="0" w:color="auto"/>
              </w:divBdr>
              <w:divsChild>
                <w:div w:id="73825403">
                  <w:marLeft w:val="0"/>
                  <w:marRight w:val="0"/>
                  <w:marTop w:val="0"/>
                  <w:marBottom w:val="0"/>
                  <w:divBdr>
                    <w:top w:val="none" w:sz="0" w:space="0" w:color="auto"/>
                    <w:left w:val="none" w:sz="0" w:space="0" w:color="auto"/>
                    <w:bottom w:val="none" w:sz="0" w:space="0" w:color="auto"/>
                    <w:right w:val="none" w:sz="0" w:space="0" w:color="auto"/>
                  </w:divBdr>
                  <w:divsChild>
                    <w:div w:id="21826087">
                      <w:marLeft w:val="0"/>
                      <w:marRight w:val="0"/>
                      <w:marTop w:val="0"/>
                      <w:marBottom w:val="0"/>
                      <w:divBdr>
                        <w:top w:val="none" w:sz="0" w:space="0" w:color="auto"/>
                        <w:left w:val="none" w:sz="0" w:space="0" w:color="auto"/>
                        <w:bottom w:val="none" w:sz="0" w:space="0" w:color="auto"/>
                        <w:right w:val="none" w:sz="0" w:space="0" w:color="auto"/>
                      </w:divBdr>
                      <w:divsChild>
                        <w:div w:id="58673194">
                          <w:marLeft w:val="0"/>
                          <w:marRight w:val="0"/>
                          <w:marTop w:val="0"/>
                          <w:marBottom w:val="0"/>
                          <w:divBdr>
                            <w:top w:val="none" w:sz="0" w:space="0" w:color="auto"/>
                            <w:left w:val="none" w:sz="0" w:space="0" w:color="auto"/>
                            <w:bottom w:val="none" w:sz="0" w:space="0" w:color="auto"/>
                            <w:right w:val="none" w:sz="0" w:space="0" w:color="auto"/>
                          </w:divBdr>
                          <w:divsChild>
                            <w:div w:id="1687095333">
                              <w:marLeft w:val="0"/>
                              <w:marRight w:val="0"/>
                              <w:marTop w:val="0"/>
                              <w:marBottom w:val="0"/>
                              <w:divBdr>
                                <w:top w:val="none" w:sz="0" w:space="0" w:color="auto"/>
                                <w:left w:val="none" w:sz="0" w:space="0" w:color="auto"/>
                                <w:bottom w:val="none" w:sz="0" w:space="0" w:color="auto"/>
                                <w:right w:val="none" w:sz="0" w:space="0" w:color="auto"/>
                              </w:divBdr>
                              <w:divsChild>
                                <w:div w:id="1221287174">
                                  <w:marLeft w:val="0"/>
                                  <w:marRight w:val="0"/>
                                  <w:marTop w:val="0"/>
                                  <w:marBottom w:val="0"/>
                                  <w:divBdr>
                                    <w:top w:val="none" w:sz="0" w:space="0" w:color="auto"/>
                                    <w:left w:val="none" w:sz="0" w:space="0" w:color="auto"/>
                                    <w:bottom w:val="none" w:sz="0" w:space="0" w:color="auto"/>
                                    <w:right w:val="none" w:sz="0" w:space="0" w:color="auto"/>
                                  </w:divBdr>
                                  <w:divsChild>
                                    <w:div w:id="103188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681589">
      <w:bodyDiv w:val="1"/>
      <w:marLeft w:val="0"/>
      <w:marRight w:val="0"/>
      <w:marTop w:val="0"/>
      <w:marBottom w:val="0"/>
      <w:divBdr>
        <w:top w:val="none" w:sz="0" w:space="0" w:color="auto"/>
        <w:left w:val="none" w:sz="0" w:space="0" w:color="auto"/>
        <w:bottom w:val="none" w:sz="0" w:space="0" w:color="auto"/>
        <w:right w:val="none" w:sz="0" w:space="0" w:color="auto"/>
      </w:divBdr>
    </w:div>
    <w:div w:id="213668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figure/Semantic-fields-A-City-B-Network_fig5_327173390" TargetMode="External"/><Relationship Id="rId13" Type="http://schemas.openxmlformats.org/officeDocument/2006/relationships/hyperlink" Target="https://www.researchgate.net/figure/The-hierarchical-structure-of-complex-product-systems_fig1_27689636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researchgate.net/figure/Semantic-fields-A-City-B-Network_fig5_32717339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searchgate.net/figure/Figure1-Complex-network-visualization-of-the-semantic-field-of-term-meme-created-with_fig1_322526107?utm_source=chatgpt.com" TargetMode="External"/><Relationship Id="rId5" Type="http://schemas.openxmlformats.org/officeDocument/2006/relationships/image" Target="media/image1.png"/><Relationship Id="rId15" Type="http://schemas.openxmlformats.org/officeDocument/2006/relationships/hyperlink" Target="https://www.researchgate.net/figure/Abstract-representation-and-synthesis-of-Complex-Systems-including-their-constituent_fig1_225270803" TargetMode="External"/><Relationship Id="rId10" Type="http://schemas.openxmlformats.org/officeDocument/2006/relationships/hyperlink" Target="https://www.researchgate.net/figure/Figure1-Complex-network-visualization-of-the-semantic-field-of-term-meme-created-with_fig1_322526107"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researchgate.net/figure/The-Representation-of-a-Hierarchical-Complex-System_fig1_3241782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42</Pages>
  <Words>13738</Words>
  <Characters>86554</Characters>
  <Application>Microsoft Office Word</Application>
  <DocSecurity>0</DocSecurity>
  <Lines>721</Lines>
  <Paragraphs>200</Paragraphs>
  <ScaleCrop>false</ScaleCrop>
  <HeadingPairs>
    <vt:vector size="4" baseType="variant">
      <vt:variant>
        <vt:lpstr>Titel</vt:lpstr>
      </vt:variant>
      <vt:variant>
        <vt:i4>1</vt:i4>
      </vt:variant>
      <vt:variant>
        <vt:lpstr>Überschriften</vt:lpstr>
      </vt:variant>
      <vt:variant>
        <vt:i4>61</vt:i4>
      </vt:variant>
    </vt:vector>
  </HeadingPairs>
  <TitlesOfParts>
    <vt:vector size="62" baseType="lpstr">
      <vt:lpstr/>
      <vt:lpstr>4. Vorhersagen des Funktionalen Raum-Zeit-Kohärenzsystems (FRZK)</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    4.2 Hierarchische und emergente Struktur von Gleichungstypen</vt:lpstr>
      <vt:lpstr>        4.2.1 Gleichungstypen als funktionale Ebenen</vt:lpstr>
      <vt:lpstr>        4.2.2 Iterative Ableitbarkeit und funktionale Emergenz</vt:lpstr>
      <vt:lpstr>        4.2.3 Formale Kohärenz und interne Beweisbarkeit</vt:lpstr>
      <vt:lpstr>        4.2.4 Rekursive Strukturlogik und Reflexion</vt:lpstr>
      <vt:lpstr>        4.2.5 Vergleich zu etablierten Systemtheorien</vt:lpstr>
      <vt:lpstr>    4.3 Rekursivität und Selbstbezüglichkeit von Beobachtung</vt:lpstr>
      <vt:lpstr>        4.3.1 Beobachtung als Systemfunktion</vt:lpstr>
      <vt:lpstr>        4.3.2 Rekursion und funktionale Selbstanwendung</vt:lpstr>
      <vt:lpstr>        4.3.3 Beobachtung zweiter Ordnung als Modellprinzip</vt:lpstr>
      <vt:lpstr>        4.3.4 Beobachtereffekte und strukturabhängige Erkenntnis</vt:lpstr>
      <vt:lpstr>        4.3.5 Beobachtung als dynamische Steuergröße</vt:lpstr>
      <vt:lpstr>        4.3.6 Rekursion, Emergenz – Hierarchisch organisierte komplexe Systeme mit dynam</vt:lpstr>
      <vt:lpstr>        4.3.7 Rekursive Beobachtungsstrukturen und ihre Modellposition im FRZK</vt:lpstr>
      <vt:lpstr>    4.4 Funktionale Abhängigkeit von Kausalität und Energie</vt:lpstr>
      <vt:lpstr>        4.4.1 Kausalität als strukturabhängige Funktion</vt:lpstr>
      <vt:lpstr>        4.4.2 Dynamik als Resultat metrischer und topologischer Operatoren</vt:lpstr>
      <vt:lpstr>        4.4.3 Energie und Impuls als abgeleitete Systemgrößen</vt:lpstr>
      <vt:lpstr>        4.4.4 Vergleich mit Feld- und Quantentheorien</vt:lpstr>
      <vt:lpstr>        4.4.5 Kausalstruktur als modellinterner Effekt</vt:lpstr>
      <vt:lpstr>    4.5 Dynamische und anpassungsfähige Bedeutungsfelder</vt:lpstr>
      <vt:lpstr>        4.5.1 Bedeutung als Systemleistung</vt:lpstr>
      <vt:lpstr>        4.5.2 Semantische Felder als dynamische Strukturen</vt:lpstr>
      <vt:lpstr>        4.5.3 Modifizierbarkeit durch Operatorwirkung</vt:lpstr>
      <vt:lpstr>        4.5.4 Interdisziplinäre Anschlussfähigkeit</vt:lpstr>
      <vt:lpstr>        4.5.5 Beweisbarkeit im funktionalen Rahmen</vt:lpstr>
      <vt:lpstr>        4.5.6 Bedeutungsfelder – Semantische Attraktorlandschaften</vt:lpstr>
      <vt:lpstr>    4.6 Transformierbarkeit symbolischer Ordnungen durch Reflexion</vt:lpstr>
      <vt:lpstr>        4.6.1 Symbolische Ordnung als strukturierende Semantik</vt:lpstr>
      <vt:lpstr>        4.6.2 Reflexion als systemische Meta-Operation</vt:lpstr>
      <vt:lpstr>        4.6.3 Diskurs und Metakognition als Transformationsmechanismen</vt:lpstr>
      <vt:lpstr>        4.6.4 Transformationslogik im funktionalen Modell (neu formuliert und vertieft)</vt:lpstr>
      <vt:lpstr>        4.6.5 Beispielhafte Anwendungsbereiche (neu strukturiert und erweitert)</vt:lpstr>
      <vt:lpstr>    4.6 Transformierbarkeit symbolischer Ordnungen durch Reflexion</vt:lpstr>
      <vt:lpstr>        4.6.1 Symbolische Ordnung als strukturierende Semantik</vt:lpstr>
      <vt:lpstr>        4.6.2 Reflexion als systemische Meta-Operation</vt:lpstr>
      <vt:lpstr>        4.6.3 Diskurs und Metakognition als Transformationsmechanismen</vt:lpstr>
      <vt:lpstr>        4.6.4 Transformationslogik im funktionalen Modell</vt:lpstr>
      <vt:lpstr>        4.6.5 Beispielhafte Anwendungsbereiche</vt:lpstr>
      <vt:lpstr>    4.7 Ko-evolutionäre Natur von semantischer und kultureller Entwicklung</vt:lpstr>
      <vt:lpstr>        4.7.1 Kulturelle Systeme als semantische Felder</vt:lpstr>
      <vt:lpstr>        4.7.2 Ko-Evolution als wechselseitige Strukturmodifikation</vt:lpstr>
      <vt:lpstr>        4.7.3 Modellierung durch funktionale Kopplung</vt:lpstr>
      <vt:lpstr>        4.7.4 Anschluss an interdisziplinäre Ko-Evolutionsmodelle</vt:lpstr>
      <vt:lpstr>        4.7.5 Bedeutung für Prognostik und Handlungsplanung</vt:lpstr>
      <vt:lpstr>    4.8 Ethische Implikationen der Modellwahl</vt:lpstr>
      <vt:lpstr>        4.8.1 Modellwahl als normativer Akt</vt:lpstr>
      <vt:lpstr>        4.8.2 Ethische Prinzipien im Modellkontext</vt:lpstr>
      <vt:lpstr>        4.8.3 Kritik an Prinzipienorientierung: Implementierungsethik</vt:lpstr>
      <vt:lpstr>        4.8.4 Narrative Verantwortung und demokratische Legitimation</vt:lpstr>
      <vt:lpstr>        4.8.5 Ethische Vorhersagefähigkeit</vt:lpstr>
      <vt:lpstr>4.9 Zusammenfassung</vt:lpstr>
      <vt:lpstr>        📚 Quellenverzeichnis Kapitel 4 (1–50)</vt:lpstr>
      <vt:lpstr>        📌 Hinweise zur Nutzung:</vt:lpstr>
    </vt:vector>
  </TitlesOfParts>
  <Company/>
  <LinksUpToDate>false</LinksUpToDate>
  <CharactersWithSpaces>100092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2025-06-29T05:01:00Z</dcterms:created>
  <dcterms:modified xsi:type="dcterms:W3CDTF">2025-10-03T18:00:00Z</dcterms:modified>
</cp:coreProperties>
</file>