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A48BC" w14:textId="02BE77C1" w:rsidR="001A20BC" w:rsidRDefault="00E16103" w:rsidP="001A20BC">
      <w:pPr>
        <w:pStyle w:val="berschrift3"/>
        <w:rPr>
          <w:sz w:val="27"/>
          <w:szCs w:val="27"/>
        </w:rPr>
      </w:pPr>
      <w:r>
        <w:rPr>
          <w:rStyle w:val="Fett"/>
          <w:b/>
          <w:bCs w:val="0"/>
        </w:rPr>
        <w:t xml:space="preserve">+++++++++++++++++++++++++++++++++++++++++++++++++++++++++++++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E50B5E" w14:textId="77777777" w:rsidR="001A20BC" w:rsidRDefault="001A20BC" w:rsidP="001A20BC">
      <w:pPr>
        <w:pStyle w:val="berschrift4"/>
      </w:pPr>
      <w:r>
        <w:rPr>
          <w:rStyle w:val="Fett"/>
          <w:b w:val="0"/>
          <w:bCs w:val="0"/>
        </w:rPr>
        <w:t>1. Künstliche Intelligenz (KI)</w:t>
      </w:r>
      <w:r>
        <w:t>:</w:t>
      </w:r>
    </w:p>
    <w:p w14:paraId="7AF20264" w14:textId="77777777" w:rsidR="001A20BC" w:rsidRDefault="001A20BC" w:rsidP="001A20BC">
      <w:pPr>
        <w:pStyle w:val="StandardWeb"/>
      </w:pPr>
      <w:r>
        <w:t xml:space="preserve">Das FRZK wird zur Modellierung von </w:t>
      </w:r>
      <w:r>
        <w:rPr>
          <w:rStyle w:val="Fett"/>
        </w:rPr>
        <w:t>dynamischen Agenteninteraktionen</w:t>
      </w:r>
      <w:r>
        <w:t xml:space="preserve"> eingesetzt, die auf </w:t>
      </w:r>
      <w:r>
        <w:rPr>
          <w:rStyle w:val="Fett"/>
        </w:rPr>
        <w:t>Rückkopplungsschleifen</w:t>
      </w:r>
      <w:r>
        <w:t xml:space="preserve"> und </w:t>
      </w:r>
      <w:r>
        <w:rPr>
          <w:rStyle w:val="Fett"/>
        </w:rPr>
        <w:t>dynamischen Anpassungen</w:t>
      </w:r>
      <w:r>
        <w:t xml:space="preserve"> basieren. Ein typisches Beispiel ist die </w:t>
      </w:r>
      <w:r>
        <w:rPr>
          <w:rStyle w:val="Fett"/>
        </w:rPr>
        <w:t>Modellierung von multi-agentenbasierten Systemen</w:t>
      </w:r>
      <w:r>
        <w:t xml:space="preserve">, bei denen Agenten innerhalb eines </w:t>
      </w:r>
      <w:r>
        <w:rPr>
          <w:rStyle w:val="Fett"/>
        </w:rPr>
        <w:t>virtuellen Umfelds</w:t>
      </w:r>
      <w:r>
        <w:t xml:space="preserve"> lernen und ihre </w:t>
      </w:r>
      <w:r>
        <w:rPr>
          <w:rStyle w:val="Fett"/>
        </w:rPr>
        <w:t>Strategien anpassen</w:t>
      </w:r>
      <w:r>
        <w:t>.</w:t>
      </w:r>
    </w:p>
    <w:p w14:paraId="3152B03D" w14:textId="77777777" w:rsidR="001A20BC" w:rsidRDefault="001A20BC" w:rsidP="001A20BC">
      <w:pPr>
        <w:pStyle w:val="berschrift5"/>
      </w:pPr>
      <w:r>
        <w:rPr>
          <w:rStyle w:val="Fett"/>
          <w:b/>
          <w:bCs w:val="0"/>
        </w:rPr>
        <w:t>Beispielhafte Anwendung in KI:</w:t>
      </w:r>
    </w:p>
    <w:p w14:paraId="4C3FDC04" w14:textId="77777777" w:rsidR="001A20BC" w:rsidRDefault="001A20BC" w:rsidP="001A20BC">
      <w:pPr>
        <w:pStyle w:val="StandardWeb"/>
        <w:numPr>
          <w:ilvl w:val="0"/>
          <w:numId w:val="4"/>
        </w:numPr>
      </w:pPr>
      <w:r>
        <w:rPr>
          <w:rStyle w:val="Fett"/>
        </w:rPr>
        <w:t>Multi-Agenten Systeme</w:t>
      </w:r>
      <w:r>
        <w:t xml:space="preserve">: Agenten, die lernen, ihre Entscheidungen basierend auf </w:t>
      </w:r>
      <w:r>
        <w:rPr>
          <w:rStyle w:val="Fett"/>
        </w:rPr>
        <w:t>Beobachtungen und Rückmeldungen</w:t>
      </w:r>
      <w:r>
        <w:t xml:space="preserve"> aus ihrer Umgebung zu treffen.</w:t>
      </w:r>
    </w:p>
    <w:p w14:paraId="48E866B6" w14:textId="77777777" w:rsidR="001A20BC" w:rsidRDefault="001A20BC" w:rsidP="001A20BC">
      <w:pPr>
        <w:pStyle w:val="StandardWeb"/>
        <w:numPr>
          <w:ilvl w:val="0"/>
          <w:numId w:val="4"/>
        </w:numPr>
      </w:pPr>
      <w:r>
        <w:rPr>
          <w:rStyle w:val="Fett"/>
        </w:rPr>
        <w:t>Verwendung des FRZK</w:t>
      </w:r>
      <w:r>
        <w:t xml:space="preserve">: Darstellung, wie funktionale Beziehungen zwischen </w:t>
      </w:r>
      <w:r>
        <w:rPr>
          <w:rStyle w:val="Fett"/>
        </w:rPr>
        <w:t>Agenten</w:t>
      </w:r>
      <w:r>
        <w:t xml:space="preserve"> und </w:t>
      </w:r>
      <w:r>
        <w:rPr>
          <w:rStyle w:val="Fett"/>
        </w:rPr>
        <w:t>Umwelt</w:t>
      </w:r>
      <w:r>
        <w:t xml:space="preserve"> zur Entstehung einer </w:t>
      </w:r>
      <w:r>
        <w:rPr>
          <w:rStyle w:val="Fett"/>
        </w:rPr>
        <w:t>dynamischen Kohärenz</w:t>
      </w:r>
      <w:r>
        <w:t xml:space="preserve"> führen, wobei das System ständig seine </w:t>
      </w:r>
      <w:r>
        <w:rPr>
          <w:rStyle w:val="Fett"/>
        </w:rPr>
        <w:t>Beziehungsstrukturen</w:t>
      </w:r>
      <w:r>
        <w:t xml:space="preserve"> anpasst.</w:t>
      </w:r>
    </w:p>
    <w:p w14:paraId="16B9251E" w14:textId="77777777" w:rsidR="001A20BC" w:rsidRDefault="001A20BC" w:rsidP="001A20BC">
      <w:pPr>
        <w:pStyle w:val="berschrift4"/>
      </w:pPr>
      <w:r>
        <w:rPr>
          <w:rStyle w:val="Fett"/>
          <w:b w:val="0"/>
          <w:bCs w:val="0"/>
        </w:rPr>
        <w:t>2. Bildungsforschung</w:t>
      </w:r>
      <w:r>
        <w:t>:</w:t>
      </w:r>
    </w:p>
    <w:p w14:paraId="57D1B0EF" w14:textId="77777777" w:rsidR="001A20BC" w:rsidRDefault="001A20BC" w:rsidP="001A20BC">
      <w:pPr>
        <w:pStyle w:val="StandardWeb"/>
      </w:pPr>
      <w:r>
        <w:t xml:space="preserve">Im Bereich der </w:t>
      </w:r>
      <w:r>
        <w:rPr>
          <w:rStyle w:val="Fett"/>
        </w:rPr>
        <w:t>Bildungsforschung</w:t>
      </w:r>
      <w:r>
        <w:t xml:space="preserve"> wird das FRZK genutzt, um zu verstehen, wie </w:t>
      </w:r>
      <w:r>
        <w:rPr>
          <w:rStyle w:val="Fett"/>
        </w:rPr>
        <w:t>dynamische Lernprozesse</w:t>
      </w:r>
      <w:r>
        <w:t xml:space="preserve"> in </w:t>
      </w:r>
      <w:r>
        <w:rPr>
          <w:rStyle w:val="Fett"/>
        </w:rPr>
        <w:t>Lernumgebungen</w:t>
      </w:r>
      <w:r>
        <w:t xml:space="preserve"> entstehen, die auf </w:t>
      </w:r>
      <w:r>
        <w:rPr>
          <w:rStyle w:val="Fett"/>
        </w:rPr>
        <w:t>feedback-basierten Zuweisungen</w:t>
      </w:r>
      <w:r>
        <w:t xml:space="preserve"> beruhen.</w:t>
      </w:r>
    </w:p>
    <w:p w14:paraId="227DB424" w14:textId="77777777" w:rsidR="001A20BC" w:rsidRDefault="001A20BC" w:rsidP="001A20BC">
      <w:pPr>
        <w:pStyle w:val="berschrift5"/>
      </w:pPr>
      <w:r>
        <w:rPr>
          <w:rStyle w:val="Fett"/>
          <w:b/>
          <w:bCs w:val="0"/>
        </w:rPr>
        <w:t>Beispielhafte Anwendung in der Bildungsforschung:</w:t>
      </w:r>
    </w:p>
    <w:p w14:paraId="4B749175" w14:textId="77777777" w:rsidR="001A20BC" w:rsidRDefault="001A20BC" w:rsidP="001A20BC">
      <w:pPr>
        <w:pStyle w:val="StandardWeb"/>
        <w:numPr>
          <w:ilvl w:val="0"/>
          <w:numId w:val="5"/>
        </w:numPr>
      </w:pPr>
      <w:r>
        <w:rPr>
          <w:rStyle w:val="Fett"/>
        </w:rPr>
        <w:t>Lernprozesse in Gruppenarbeiten</w:t>
      </w:r>
      <w:r>
        <w:t xml:space="preserve">: Studierende arbeiten an einer Aufgabe, wobei ihre </w:t>
      </w:r>
      <w:r>
        <w:rPr>
          <w:rStyle w:val="Fett"/>
        </w:rPr>
        <w:t>Beziehungen</w:t>
      </w:r>
      <w:r>
        <w:t xml:space="preserve"> zueinander und zu den </w:t>
      </w:r>
      <w:r>
        <w:rPr>
          <w:rStyle w:val="Fett"/>
        </w:rPr>
        <w:t>Lernmaterialien</w:t>
      </w:r>
      <w:r>
        <w:t xml:space="preserve"> den Lernprozess beeinflussen.</w:t>
      </w:r>
    </w:p>
    <w:p w14:paraId="51FD212D" w14:textId="77777777" w:rsidR="001A20BC" w:rsidRDefault="001A20BC" w:rsidP="001A20BC">
      <w:pPr>
        <w:pStyle w:val="StandardWeb"/>
        <w:numPr>
          <w:ilvl w:val="0"/>
          <w:numId w:val="5"/>
        </w:numPr>
      </w:pPr>
      <w:r>
        <w:rPr>
          <w:rStyle w:val="Fett"/>
        </w:rPr>
        <w:t>Verwendung des FRZK</w:t>
      </w:r>
      <w:r>
        <w:t xml:space="preserve">: Modellierung der </w:t>
      </w:r>
      <w:r>
        <w:rPr>
          <w:rStyle w:val="Fett"/>
        </w:rPr>
        <w:t>dynamischen, funktionalen Beziehungen</w:t>
      </w:r>
      <w:r>
        <w:t xml:space="preserve"> zwischen </w:t>
      </w:r>
      <w:r>
        <w:rPr>
          <w:rStyle w:val="Fett"/>
        </w:rPr>
        <w:t>Studierenden</w:t>
      </w:r>
      <w:r>
        <w:t xml:space="preserve">, </w:t>
      </w:r>
      <w:r>
        <w:rPr>
          <w:rStyle w:val="Fett"/>
        </w:rPr>
        <w:t>Lehrenden</w:t>
      </w:r>
      <w:r>
        <w:t xml:space="preserve"> und </w:t>
      </w:r>
      <w:r>
        <w:rPr>
          <w:rStyle w:val="Fett"/>
        </w:rPr>
        <w:t>Lernmaterialien</w:t>
      </w:r>
      <w:r>
        <w:t xml:space="preserve">, die zu einem </w:t>
      </w:r>
      <w:r>
        <w:rPr>
          <w:rStyle w:val="Fett"/>
        </w:rPr>
        <w:t>emergenten Lernprozess</w:t>
      </w:r>
      <w:r>
        <w:t xml:space="preserve"> führen.</w:t>
      </w:r>
    </w:p>
    <w:p w14:paraId="76EE95DC" w14:textId="77777777" w:rsidR="001A20BC" w:rsidRDefault="001A20BC" w:rsidP="001A20BC">
      <w:pPr>
        <w:pStyle w:val="berschrift4"/>
      </w:pPr>
      <w:r>
        <w:rPr>
          <w:rStyle w:val="Fett"/>
          <w:b w:val="0"/>
          <w:bCs w:val="0"/>
        </w:rPr>
        <w:t>3. Ökologie</w:t>
      </w:r>
      <w:r>
        <w:t>:</w:t>
      </w:r>
    </w:p>
    <w:p w14:paraId="39F802F2" w14:textId="77777777" w:rsidR="001A20BC" w:rsidRDefault="001A20BC" w:rsidP="001A20BC">
      <w:pPr>
        <w:pStyle w:val="StandardWeb"/>
      </w:pPr>
      <w:r>
        <w:t xml:space="preserve">In der </w:t>
      </w:r>
      <w:r>
        <w:rPr>
          <w:rStyle w:val="Fett"/>
        </w:rPr>
        <w:t>Ökologie</w:t>
      </w:r>
      <w:r>
        <w:t xml:space="preserve"> kann das FRZK dazu verwendet werden, die </w:t>
      </w:r>
      <w:r>
        <w:rPr>
          <w:rStyle w:val="Fett"/>
        </w:rPr>
        <w:t>Wechselwirkungen zwischen Organismen und ihrer Umwelt</w:t>
      </w:r>
      <w:r>
        <w:t xml:space="preserve"> zu modellieren. Hier werden die </w:t>
      </w:r>
      <w:r>
        <w:rPr>
          <w:rStyle w:val="Fett"/>
        </w:rPr>
        <w:t>dynamischen Anpassungsprozesse</w:t>
      </w:r>
      <w:r>
        <w:t xml:space="preserve"> innerhalb von </w:t>
      </w:r>
      <w:r>
        <w:rPr>
          <w:rStyle w:val="Fett"/>
        </w:rPr>
        <w:t>Ökosystemen</w:t>
      </w:r>
      <w:r>
        <w:t xml:space="preserve"> beschrieben.</w:t>
      </w:r>
    </w:p>
    <w:p w14:paraId="7A95D8A6" w14:textId="77777777" w:rsidR="001A20BC" w:rsidRDefault="001A20BC" w:rsidP="001A20BC">
      <w:pPr>
        <w:pStyle w:val="berschrift5"/>
      </w:pPr>
      <w:r>
        <w:rPr>
          <w:rStyle w:val="Fett"/>
          <w:b/>
          <w:bCs w:val="0"/>
        </w:rPr>
        <w:t>Beispielhafte Anwendung in der Ökologie:</w:t>
      </w:r>
    </w:p>
    <w:p w14:paraId="61A5573B" w14:textId="77777777" w:rsidR="001A20BC" w:rsidRDefault="001A20BC" w:rsidP="001A20BC">
      <w:pPr>
        <w:pStyle w:val="StandardWeb"/>
        <w:numPr>
          <w:ilvl w:val="0"/>
          <w:numId w:val="6"/>
        </w:numPr>
      </w:pPr>
      <w:r>
        <w:rPr>
          <w:rStyle w:val="Fett"/>
        </w:rPr>
        <w:t>Ökologische Netzwerke</w:t>
      </w:r>
      <w:r>
        <w:t xml:space="preserve">: Das FRZK modelliert die </w:t>
      </w:r>
      <w:r>
        <w:rPr>
          <w:rStyle w:val="Fett"/>
        </w:rPr>
        <w:t>dynamischen Interaktionen</w:t>
      </w:r>
      <w:r>
        <w:t xml:space="preserve"> zwischen verschiedenen </w:t>
      </w:r>
      <w:r>
        <w:rPr>
          <w:rStyle w:val="Fett"/>
        </w:rPr>
        <w:t>Arten</w:t>
      </w:r>
      <w:r>
        <w:t xml:space="preserve"> und deren </w:t>
      </w:r>
      <w:r>
        <w:rPr>
          <w:rStyle w:val="Fett"/>
        </w:rPr>
        <w:t>Umwelt</w:t>
      </w:r>
      <w:r>
        <w:t xml:space="preserve">, wobei die </w:t>
      </w:r>
      <w:r>
        <w:rPr>
          <w:rStyle w:val="Fett"/>
        </w:rPr>
        <w:t>Rückkopplungen</w:t>
      </w:r>
      <w:r>
        <w:t xml:space="preserve"> zwischen den Systemkomponenten die </w:t>
      </w:r>
      <w:r>
        <w:rPr>
          <w:rStyle w:val="Fett"/>
        </w:rPr>
        <w:t>Selbstorganisation</w:t>
      </w:r>
      <w:r>
        <w:t xml:space="preserve"> des gesamten Ökosystems verstärken.</w:t>
      </w:r>
    </w:p>
    <w:p w14:paraId="1F106740" w14:textId="77777777" w:rsidR="001A20BC" w:rsidRDefault="001A20BC" w:rsidP="001A20BC">
      <w:pPr>
        <w:pStyle w:val="StandardWeb"/>
        <w:numPr>
          <w:ilvl w:val="0"/>
          <w:numId w:val="6"/>
        </w:numPr>
      </w:pPr>
      <w:r>
        <w:rPr>
          <w:rStyle w:val="Fett"/>
        </w:rPr>
        <w:t>Verwendung des FRZK</w:t>
      </w:r>
      <w:r>
        <w:t xml:space="preserve">: Die </w:t>
      </w:r>
      <w:r>
        <w:rPr>
          <w:rStyle w:val="Fett"/>
        </w:rPr>
        <w:t>Zuweisungen</w:t>
      </w:r>
      <w:r>
        <w:t xml:space="preserve"> und </w:t>
      </w:r>
      <w:r>
        <w:rPr>
          <w:rStyle w:val="Fett"/>
        </w:rPr>
        <w:t>Wechselwirkungen</w:t>
      </w:r>
      <w:r>
        <w:t xml:space="preserve"> zwischen den </w:t>
      </w:r>
      <w:r>
        <w:rPr>
          <w:rStyle w:val="Fett"/>
        </w:rPr>
        <w:t>Arten und Umweltfaktoren</w:t>
      </w:r>
      <w:r>
        <w:t xml:space="preserve"> werden als </w:t>
      </w:r>
      <w:r>
        <w:rPr>
          <w:rStyle w:val="Fett"/>
        </w:rPr>
        <w:t>dynamische, funktionale Beziehungen</w:t>
      </w:r>
      <w:r>
        <w:t xml:space="preserve"> dargestellt.</w:t>
      </w:r>
    </w:p>
    <w:p w14:paraId="5355BC8B" w14:textId="77777777" w:rsidR="001A20BC" w:rsidRDefault="001A20BC" w:rsidP="001A20BC">
      <w:r>
        <w:pict w14:anchorId="078E62AA">
          <v:rect id="_x0000_i1025" style="width:0;height:1.5pt" o:hralign="center" o:hrstd="t" o:hr="t" fillcolor="#a0a0a0" stroked="f"/>
        </w:pict>
      </w:r>
    </w:p>
    <w:p w14:paraId="1B2F067A" w14:textId="77777777" w:rsidR="001A20BC" w:rsidRDefault="001A20BC" w:rsidP="001A20BC">
      <w:pPr>
        <w:pStyle w:val="berschrift3"/>
      </w:pPr>
      <w:r>
        <w:rPr>
          <w:rStyle w:val="Fett"/>
          <w:b/>
          <w:bCs w:val="0"/>
        </w:rPr>
        <w:lastRenderedPageBreak/>
        <w:t>Netzwerkdiagramm der Zuweisungen</w:t>
      </w:r>
    </w:p>
    <w:p w14:paraId="761831F6" w14:textId="77777777" w:rsidR="001A20BC" w:rsidRDefault="001A20BC" w:rsidP="001A20BC">
      <w:pPr>
        <w:pStyle w:val="StandardWeb"/>
      </w:pPr>
      <w:r>
        <w:t xml:space="preserve">Das folgende </w:t>
      </w:r>
      <w:r>
        <w:rPr>
          <w:rStyle w:val="Fett"/>
        </w:rPr>
        <w:t>Netzwerkdiagramm</w:t>
      </w:r>
      <w:r>
        <w:t xml:space="preserve"> visualisiert die </w:t>
      </w:r>
      <w:r>
        <w:rPr>
          <w:rStyle w:val="Fett"/>
        </w:rPr>
        <w:t>funktionalen Beziehungen</w:t>
      </w:r>
      <w:r>
        <w:t xml:space="preserve"> und </w:t>
      </w:r>
      <w:r>
        <w:rPr>
          <w:rStyle w:val="Fett"/>
        </w:rPr>
        <w:t>dynamischen Interaktionen</w:t>
      </w:r>
      <w:r>
        <w:t xml:space="preserve"> innerhalb eines komplexen Systems, das durch das </w:t>
      </w:r>
      <w:r>
        <w:rPr>
          <w:rStyle w:val="Fett"/>
        </w:rPr>
        <w:t>FRZK</w:t>
      </w:r>
      <w:r>
        <w:t xml:space="preserve"> modelliert wird. Es stellt dar, wie </w:t>
      </w:r>
      <w:r>
        <w:rPr>
          <w:rStyle w:val="Fett"/>
        </w:rPr>
        <w:t>dynamische Zuweisungen</w:t>
      </w:r>
      <w:r>
        <w:t xml:space="preserve"> zwischen verschiedenen </w:t>
      </w:r>
      <w:r>
        <w:rPr>
          <w:rStyle w:val="Fett"/>
        </w:rPr>
        <w:t>Komponenten</w:t>
      </w:r>
      <w:r>
        <w:t xml:space="preserve"> des Systems stattfinden und wie diese </w:t>
      </w:r>
      <w:r>
        <w:rPr>
          <w:rStyle w:val="Fett"/>
        </w:rPr>
        <w:t>Zuweisungen</w:t>
      </w:r>
      <w:r>
        <w:t xml:space="preserve"> in Wechselwirkung miteinander stehen.</w:t>
      </w:r>
    </w:p>
    <w:p w14:paraId="19419AB0" w14:textId="77777777" w:rsidR="001A20BC" w:rsidRDefault="001A20BC" w:rsidP="001A20BC">
      <w:pPr>
        <w:pStyle w:val="StandardWeb"/>
      </w:pPr>
      <w:r>
        <w:t xml:space="preserve">Das Diagramm stellt die </w:t>
      </w:r>
      <w:r>
        <w:rPr>
          <w:rStyle w:val="Fett"/>
        </w:rPr>
        <w:t>Komplexität und Dynamik</w:t>
      </w:r>
      <w:r>
        <w:t xml:space="preserve"> der </w:t>
      </w:r>
      <w:r>
        <w:rPr>
          <w:rStyle w:val="Fett"/>
        </w:rPr>
        <w:t>interaktiven Beziehungen</w:t>
      </w:r>
      <w:r>
        <w:t xml:space="preserve"> zwischen den </w:t>
      </w:r>
      <w:r>
        <w:rPr>
          <w:rStyle w:val="Fett"/>
        </w:rPr>
        <w:t>Systemelementen</w:t>
      </w:r>
      <w:r>
        <w:t xml:space="preserve"> dar, wie z.B. zwischen </w:t>
      </w:r>
      <w:r>
        <w:rPr>
          <w:rStyle w:val="Fett"/>
        </w:rPr>
        <w:t>Agenten und ihrer Umwelt</w:t>
      </w:r>
      <w:r>
        <w:t xml:space="preserve"> (im Falle der KI), </w:t>
      </w:r>
      <w:r>
        <w:rPr>
          <w:rStyle w:val="Fett"/>
        </w:rPr>
        <w:t>Studierenden und Lehrmaterialien</w:t>
      </w:r>
      <w:r>
        <w:t xml:space="preserve"> (in der Bildungsforschung) oder </w:t>
      </w:r>
      <w:r>
        <w:rPr>
          <w:rStyle w:val="Fett"/>
        </w:rPr>
        <w:t>Organismen und Umweltfaktoren</w:t>
      </w:r>
      <w:r>
        <w:t xml:space="preserve"> (in der Ökologie).</w:t>
      </w:r>
    </w:p>
    <w:p w14:paraId="04D81035" w14:textId="77777777" w:rsidR="001A20BC" w:rsidRDefault="001A20BC" w:rsidP="001A20BC">
      <w:pPr>
        <w:pStyle w:val="StandardWeb"/>
      </w:pPr>
      <w:r>
        <w:rPr>
          <w:rStyle w:val="Fett"/>
        </w:rPr>
        <w:t>Diagramm:</w:t>
      </w:r>
    </w:p>
    <w:p w14:paraId="6FF2728E" w14:textId="77777777" w:rsidR="001A20BC" w:rsidRDefault="001A20BC" w:rsidP="001A20BC">
      <w:pPr>
        <w:pStyle w:val="StandardWeb"/>
      </w:pPr>
      <w:r>
        <w:t xml:space="preserve">In diesem Diagramm sind die </w:t>
      </w:r>
      <w:r>
        <w:rPr>
          <w:rStyle w:val="Fett"/>
        </w:rPr>
        <w:t>Knoten</w:t>
      </w:r>
      <w:r>
        <w:t xml:space="preserve"> die zentralen </w:t>
      </w:r>
      <w:r>
        <w:rPr>
          <w:rStyle w:val="Fett"/>
        </w:rPr>
        <w:t>Komponenten des Systems</w:t>
      </w:r>
      <w:r>
        <w:t xml:space="preserve">, während die </w:t>
      </w:r>
      <w:r>
        <w:rPr>
          <w:rStyle w:val="Fett"/>
        </w:rPr>
        <w:t>Kanten</w:t>
      </w:r>
      <w:r>
        <w:t xml:space="preserve"> die </w:t>
      </w:r>
      <w:r>
        <w:rPr>
          <w:rStyle w:val="Fett"/>
        </w:rPr>
        <w:t>dynamischen Zuweisungen</w:t>
      </w:r>
      <w:r>
        <w:t xml:space="preserve"> und </w:t>
      </w:r>
      <w:r>
        <w:rPr>
          <w:rStyle w:val="Fett"/>
        </w:rPr>
        <w:t>Interaktionen</w:t>
      </w:r>
      <w:r>
        <w:t xml:space="preserve"> zwischen diesen Komponenten repräsentieren. Jede </w:t>
      </w:r>
      <w:r>
        <w:rPr>
          <w:rStyle w:val="Fett"/>
        </w:rPr>
        <w:t>Rückkopplung</w:t>
      </w:r>
      <w:r>
        <w:t xml:space="preserve"> und </w:t>
      </w:r>
      <w:r>
        <w:rPr>
          <w:rStyle w:val="Fett"/>
        </w:rPr>
        <w:t>Zuweisung</w:t>
      </w:r>
      <w:r>
        <w:t xml:space="preserve"> innerhalb des Diagramms </w:t>
      </w:r>
      <w:proofErr w:type="gramStart"/>
      <w:r>
        <w:t>führt</w:t>
      </w:r>
      <w:proofErr w:type="gramEnd"/>
      <w:r>
        <w:t xml:space="preserve"> zu einer kontinuierlichen </w:t>
      </w:r>
      <w:r>
        <w:rPr>
          <w:rStyle w:val="Fett"/>
        </w:rPr>
        <w:t>Veränderung</w:t>
      </w:r>
      <w:r>
        <w:t xml:space="preserve"> und </w:t>
      </w:r>
      <w:r>
        <w:rPr>
          <w:rStyle w:val="Fett"/>
        </w:rPr>
        <w:t>Anpassung</w:t>
      </w:r>
      <w:r>
        <w:t xml:space="preserve"> des Systems.</w:t>
      </w:r>
    </w:p>
    <w:p w14:paraId="43219F5B" w14:textId="77777777" w:rsidR="001A20BC" w:rsidRDefault="001A20BC" w:rsidP="001A20BC">
      <w:r>
        <w:pict w14:anchorId="7C6BD65E">
          <v:rect id="_x0000_i1026" style="width:0;height:1.5pt" o:hralign="center" o:hrstd="t" o:hr="t" fillcolor="#a0a0a0" stroked="f"/>
        </w:pict>
      </w:r>
    </w:p>
    <w:p w14:paraId="7BEB43F1" w14:textId="77777777" w:rsidR="001A20BC" w:rsidRDefault="001A20BC" w:rsidP="001A20BC">
      <w:pPr>
        <w:pStyle w:val="berschrift3"/>
      </w:pPr>
      <w:r>
        <w:rPr>
          <w:rStyle w:val="Fett"/>
          <w:b/>
          <w:bCs w:val="0"/>
        </w:rPr>
        <w:t>Schlussfolgerung und Ausblick</w:t>
      </w:r>
    </w:p>
    <w:p w14:paraId="0B9A653F" w14:textId="77777777" w:rsidR="001A20BC" w:rsidRDefault="001A20BC" w:rsidP="001A20BC">
      <w:pPr>
        <w:pStyle w:val="StandardWeb"/>
      </w:pPr>
      <w:r>
        <w:t xml:space="preserve">Die </w:t>
      </w:r>
      <w:r>
        <w:rPr>
          <w:rStyle w:val="Fett"/>
        </w:rPr>
        <w:t>dynamischen Zuweisungen</w:t>
      </w:r>
      <w:r>
        <w:t xml:space="preserve"> im FRZK bieten eine leistungsstarke Methode zur Beschreibung und </w:t>
      </w:r>
      <w:r>
        <w:rPr>
          <w:rStyle w:val="Fett"/>
        </w:rPr>
        <w:t>Überprüfung der Kohärenz</w:t>
      </w:r>
      <w:r>
        <w:t xml:space="preserve"> von </w:t>
      </w:r>
      <w:r>
        <w:rPr>
          <w:rStyle w:val="Fett"/>
        </w:rPr>
        <w:t>komplexen Systemen</w:t>
      </w:r>
      <w:r>
        <w:t xml:space="preserve"> in verschiedenen Disziplinen. Die </w:t>
      </w:r>
      <w:r>
        <w:rPr>
          <w:rStyle w:val="Fett"/>
        </w:rPr>
        <w:t>Beispielhaften Szenarien</w:t>
      </w:r>
      <w:r>
        <w:t xml:space="preserve"> aus </w:t>
      </w:r>
      <w:r>
        <w:rPr>
          <w:rStyle w:val="Fett"/>
        </w:rPr>
        <w:t>KI</w:t>
      </w:r>
      <w:r>
        <w:t xml:space="preserve">, </w:t>
      </w:r>
      <w:r>
        <w:rPr>
          <w:rStyle w:val="Fett"/>
        </w:rPr>
        <w:t>Bildungsforschung</w:t>
      </w:r>
      <w:r>
        <w:t xml:space="preserve"> und </w:t>
      </w:r>
      <w:r>
        <w:rPr>
          <w:rStyle w:val="Fett"/>
        </w:rPr>
        <w:t>Ökologie</w:t>
      </w:r>
      <w:r>
        <w:t xml:space="preserve"> zeigen, wie das FRZK in der Lage ist, </w:t>
      </w:r>
      <w:r>
        <w:rPr>
          <w:rStyle w:val="Fett"/>
        </w:rPr>
        <w:t>dynamische Prozesse</w:t>
      </w:r>
      <w:r>
        <w:t xml:space="preserve"> zu modellieren und die </w:t>
      </w:r>
      <w:r>
        <w:rPr>
          <w:rStyle w:val="Fett"/>
        </w:rPr>
        <w:t>Selbstorganisationsmechanismen</w:t>
      </w:r>
      <w:r>
        <w:t xml:space="preserve"> in verschiedenen Systemen zu verstehen. In zukünftigen Forschungsarbeiten könnte das Modell weiter verfeinert werden, um </w:t>
      </w:r>
      <w:r>
        <w:rPr>
          <w:rStyle w:val="Fett"/>
        </w:rPr>
        <w:t>noch komplexere Systemdynamiken</w:t>
      </w:r>
      <w:r>
        <w:t xml:space="preserve"> und </w:t>
      </w:r>
      <w:r>
        <w:rPr>
          <w:rStyle w:val="Fett"/>
        </w:rPr>
        <w:t>nicht-lineare Rückkopplungen</w:t>
      </w:r>
      <w:r>
        <w:t xml:space="preserve"> zu erfassen.</w:t>
      </w:r>
    </w:p>
    <w:p w14:paraId="3D2ADC8E" w14:textId="77777777" w:rsidR="001A20BC" w:rsidRDefault="001A20BC" w:rsidP="001A20BC">
      <w:r>
        <w:pict w14:anchorId="500BC058">
          <v:rect id="_x0000_i1027" style="width:0;height:1.5pt" o:hralign="center" o:hrstd="t" o:hr="t" fillcolor="#a0a0a0" stroked="f"/>
        </w:pict>
      </w:r>
    </w:p>
    <w:p w14:paraId="305C160B" w14:textId="77777777" w:rsidR="001A20BC" w:rsidRDefault="001A20BC" w:rsidP="001A20BC">
      <w:pPr>
        <w:pStyle w:val="berschrift3"/>
      </w:pPr>
      <w:r>
        <w:rPr>
          <w:rStyle w:val="Fett"/>
          <w:b/>
          <w:bCs w:val="0"/>
        </w:rPr>
        <w:t>Quellenangaben im Text</w:t>
      </w:r>
    </w:p>
    <w:p w14:paraId="57C67165" w14:textId="77777777" w:rsidR="001A20BC" w:rsidRDefault="001A20BC" w:rsidP="001A20BC">
      <w:pPr>
        <w:pStyle w:val="StandardWeb"/>
        <w:numPr>
          <w:ilvl w:val="0"/>
          <w:numId w:val="7"/>
        </w:numPr>
      </w:pPr>
      <w:r>
        <w:rPr>
          <w:rStyle w:val="Fett"/>
        </w:rPr>
        <w:t>von Foerster, H.</w:t>
      </w:r>
      <w:r>
        <w:t xml:space="preserve"> (1984). </w:t>
      </w:r>
      <w:proofErr w:type="spellStart"/>
      <w:r>
        <w:rPr>
          <w:rStyle w:val="Hervorhebung"/>
          <w:rFonts w:eastAsia="Calibri"/>
        </w:rPr>
        <w:t>Observing</w:t>
      </w:r>
      <w:proofErr w:type="spellEnd"/>
      <w:r>
        <w:rPr>
          <w:rStyle w:val="Hervorhebung"/>
          <w:rFonts w:eastAsia="Calibri"/>
        </w:rPr>
        <w:t xml:space="preserve"> Systems</w:t>
      </w:r>
      <w:r>
        <w:t>. Intersystems Publications</w:t>
      </w:r>
      <w:r>
        <w:rPr>
          <w:rFonts w:ascii="MS Mincho" w:eastAsia="MS Mincho" w:hAnsi="MS Mincho" w:cs="MS Mincho" w:hint="eastAsia"/>
        </w:rPr>
        <w:t>【</w:t>
      </w:r>
      <w:r>
        <w:t>1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72F921E1" w14:textId="77777777" w:rsidR="001A20BC" w:rsidRDefault="001A20BC" w:rsidP="001A20BC">
      <w:pPr>
        <w:pStyle w:val="StandardWeb"/>
        <w:numPr>
          <w:ilvl w:val="0"/>
          <w:numId w:val="7"/>
        </w:numPr>
      </w:pPr>
      <w:r>
        <w:rPr>
          <w:rStyle w:val="Fett"/>
        </w:rPr>
        <w:t>Luhmann, N.</w:t>
      </w:r>
      <w:r>
        <w:t xml:space="preserve"> (1997). </w:t>
      </w:r>
      <w:r>
        <w:rPr>
          <w:rStyle w:val="Hervorhebung"/>
          <w:rFonts w:eastAsia="Calibri"/>
        </w:rPr>
        <w:t>Die Gesellschaft der Gesellschaft</w:t>
      </w:r>
      <w:r>
        <w:t>. Suhrkamp</w:t>
      </w:r>
      <w:r>
        <w:rPr>
          <w:rFonts w:ascii="MS Mincho" w:eastAsia="MS Mincho" w:hAnsi="MS Mincho" w:cs="MS Mincho" w:hint="eastAsia"/>
        </w:rPr>
        <w:t>【</w:t>
      </w:r>
      <w:r>
        <w:t>18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5A95AE0C" w14:textId="77777777" w:rsidR="001A20BC" w:rsidRDefault="001A20BC" w:rsidP="001A20BC">
      <w:pPr>
        <w:pStyle w:val="StandardWeb"/>
        <w:numPr>
          <w:ilvl w:val="0"/>
          <w:numId w:val="7"/>
        </w:numPr>
      </w:pPr>
      <w:r>
        <w:rPr>
          <w:rStyle w:val="Fett"/>
        </w:rPr>
        <w:t>Schmidhuber, J.</w:t>
      </w:r>
      <w:r>
        <w:t xml:space="preserve"> (2015). </w:t>
      </w:r>
      <w:r>
        <w:rPr>
          <w:rStyle w:val="Hervorhebung"/>
          <w:rFonts w:eastAsia="Calibri"/>
        </w:rPr>
        <w:t xml:space="preserve">Deep Learning in </w:t>
      </w:r>
      <w:proofErr w:type="spellStart"/>
      <w:r>
        <w:rPr>
          <w:rStyle w:val="Hervorhebung"/>
          <w:rFonts w:eastAsia="Calibri"/>
        </w:rPr>
        <w:t>Neural</w:t>
      </w:r>
      <w:proofErr w:type="spellEnd"/>
      <w:r>
        <w:rPr>
          <w:rStyle w:val="Hervorhebung"/>
          <w:rFonts w:eastAsia="Calibri"/>
        </w:rPr>
        <w:t xml:space="preserve"> Networks: An </w:t>
      </w:r>
      <w:proofErr w:type="spellStart"/>
      <w:r>
        <w:rPr>
          <w:rStyle w:val="Hervorhebung"/>
          <w:rFonts w:eastAsia="Calibri"/>
        </w:rPr>
        <w:t>Overview</w:t>
      </w:r>
      <w:proofErr w:type="spellEnd"/>
      <w:r>
        <w:t xml:space="preserve">. </w:t>
      </w:r>
      <w:proofErr w:type="spellStart"/>
      <w:r>
        <w:t>Neural</w:t>
      </w:r>
      <w:proofErr w:type="spellEnd"/>
      <w:r>
        <w:t xml:space="preserve"> Networks</w:t>
      </w:r>
      <w:r>
        <w:rPr>
          <w:rFonts w:ascii="MS Mincho" w:eastAsia="MS Mincho" w:hAnsi="MS Mincho" w:cs="MS Mincho" w:hint="eastAsia"/>
        </w:rPr>
        <w:t>【</w:t>
      </w:r>
      <w:r>
        <w:t>17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3B42DF32" w14:textId="77777777" w:rsidR="001A20BC" w:rsidRDefault="001A20BC" w:rsidP="001A20BC">
      <w:pPr>
        <w:pStyle w:val="StandardWeb"/>
        <w:numPr>
          <w:ilvl w:val="0"/>
          <w:numId w:val="7"/>
        </w:numPr>
      </w:pPr>
      <w:r>
        <w:rPr>
          <w:rStyle w:val="Fett"/>
        </w:rPr>
        <w:t xml:space="preserve">Russell, S., &amp; </w:t>
      </w:r>
      <w:proofErr w:type="spellStart"/>
      <w:r>
        <w:rPr>
          <w:rStyle w:val="Fett"/>
        </w:rPr>
        <w:t>Norvig</w:t>
      </w:r>
      <w:proofErr w:type="spellEnd"/>
      <w:r>
        <w:rPr>
          <w:rStyle w:val="Fett"/>
        </w:rPr>
        <w:t>, P.</w:t>
      </w:r>
      <w:r>
        <w:t xml:space="preserve"> (2010). </w:t>
      </w:r>
      <w:proofErr w:type="spellStart"/>
      <w:r>
        <w:rPr>
          <w:rStyle w:val="Hervorhebung"/>
          <w:rFonts w:eastAsia="Calibri"/>
        </w:rPr>
        <w:t>Artificial</w:t>
      </w:r>
      <w:proofErr w:type="spellEnd"/>
      <w:r>
        <w:rPr>
          <w:rStyle w:val="Hervorhebung"/>
          <w:rFonts w:eastAsia="Calibri"/>
        </w:rPr>
        <w:t xml:space="preserve"> </w:t>
      </w:r>
      <w:proofErr w:type="spellStart"/>
      <w:r>
        <w:rPr>
          <w:rStyle w:val="Hervorhebung"/>
          <w:rFonts w:eastAsia="Calibri"/>
        </w:rPr>
        <w:t>Intelligence</w:t>
      </w:r>
      <w:proofErr w:type="spellEnd"/>
      <w:r>
        <w:rPr>
          <w:rStyle w:val="Hervorhebung"/>
          <w:rFonts w:eastAsia="Calibri"/>
        </w:rPr>
        <w:t>: A Modern Approach</w:t>
      </w:r>
      <w:r>
        <w:t>. Pearson Education</w:t>
      </w:r>
      <w:r>
        <w:rPr>
          <w:rFonts w:ascii="MS Mincho" w:eastAsia="MS Mincho" w:hAnsi="MS Mincho" w:cs="MS Mincho" w:hint="eastAsia"/>
        </w:rPr>
        <w:t>【</w:t>
      </w:r>
      <w:r>
        <w:t>16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0F795D08" w14:textId="77777777" w:rsidR="001A20BC" w:rsidRDefault="001A20BC" w:rsidP="001A20BC">
      <w:pPr>
        <w:pStyle w:val="StandardWeb"/>
        <w:numPr>
          <w:ilvl w:val="0"/>
          <w:numId w:val="7"/>
        </w:numPr>
      </w:pPr>
      <w:r>
        <w:rPr>
          <w:rStyle w:val="Fett"/>
        </w:rPr>
        <w:t>Penrose, R.</w:t>
      </w:r>
      <w:r>
        <w:t xml:space="preserve"> (2004). </w:t>
      </w:r>
      <w:r>
        <w:rPr>
          <w:rStyle w:val="Hervorhebung"/>
          <w:rFonts w:eastAsia="Calibri"/>
        </w:rPr>
        <w:t xml:space="preserve">The Road </w:t>
      </w:r>
      <w:proofErr w:type="spellStart"/>
      <w:r>
        <w:rPr>
          <w:rStyle w:val="Hervorhebung"/>
          <w:rFonts w:eastAsia="Calibri"/>
        </w:rPr>
        <w:t>to</w:t>
      </w:r>
      <w:proofErr w:type="spellEnd"/>
      <w:r>
        <w:rPr>
          <w:rStyle w:val="Hervorhebung"/>
          <w:rFonts w:eastAsia="Calibri"/>
        </w:rPr>
        <w:t xml:space="preserve"> Reality</w:t>
      </w:r>
      <w:r>
        <w:t>. Alfred A. Knopf</w:t>
      </w:r>
      <w:r>
        <w:rPr>
          <w:rFonts w:ascii="MS Mincho" w:eastAsia="MS Mincho" w:hAnsi="MS Mincho" w:cs="MS Mincho" w:hint="eastAsia"/>
        </w:rPr>
        <w:t>【</w:t>
      </w:r>
      <w:r>
        <w:t>14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3DF2A38B" w14:textId="77777777" w:rsidR="001A20BC" w:rsidRDefault="001A20BC" w:rsidP="001A20BC">
      <w:pPr>
        <w:pStyle w:val="StandardWeb"/>
        <w:numPr>
          <w:ilvl w:val="0"/>
          <w:numId w:val="7"/>
        </w:numPr>
      </w:pPr>
      <w:r>
        <w:rPr>
          <w:rStyle w:val="Fett"/>
        </w:rPr>
        <w:t>Newman, M. E. J.</w:t>
      </w:r>
      <w:r>
        <w:t xml:space="preserve"> (2010). </w:t>
      </w:r>
      <w:r>
        <w:rPr>
          <w:rStyle w:val="Hervorhebung"/>
          <w:rFonts w:eastAsia="Calibri"/>
        </w:rPr>
        <w:t xml:space="preserve">Networks: An </w:t>
      </w:r>
      <w:proofErr w:type="spellStart"/>
      <w:r>
        <w:rPr>
          <w:rStyle w:val="Hervorhebung"/>
          <w:rFonts w:eastAsia="Calibri"/>
        </w:rPr>
        <w:t>Introduction</w:t>
      </w:r>
      <w:proofErr w:type="spellEnd"/>
      <w:r>
        <w:t>. Oxford University Press</w:t>
      </w:r>
      <w:r>
        <w:rPr>
          <w:rFonts w:ascii="MS Mincho" w:eastAsia="MS Mincho" w:hAnsi="MS Mincho" w:cs="MS Mincho" w:hint="eastAsia"/>
        </w:rPr>
        <w:t>【</w:t>
      </w:r>
      <w:r>
        <w:t>11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2078E8B6" w14:textId="77777777" w:rsidR="001A20BC" w:rsidRDefault="001A20BC" w:rsidP="001A20BC">
      <w:r>
        <w:pict w14:anchorId="6DDED4E5">
          <v:rect id="_x0000_i1028" style="width:0;height:1.5pt" o:hralign="center" o:hrstd="t" o:hr="t" fillcolor="#a0a0a0" stroked="f"/>
        </w:pict>
      </w:r>
    </w:p>
    <w:p w14:paraId="59844018" w14:textId="77777777" w:rsidR="001A20BC" w:rsidRDefault="001A20BC" w:rsidP="001A20BC">
      <w:pPr>
        <w:pStyle w:val="berschrift3"/>
      </w:pPr>
      <w:r>
        <w:rPr>
          <w:rStyle w:val="Fett"/>
          <w:b/>
          <w:bCs w:val="0"/>
        </w:rPr>
        <w:t>Quellenverzeichnis für Kapitel 5 (fortlaufend ab [1])</w:t>
      </w:r>
    </w:p>
    <w:p w14:paraId="419BB87A" w14:textId="77777777" w:rsidR="001A20BC" w:rsidRDefault="001A20BC" w:rsidP="001A20BC">
      <w:pPr>
        <w:pStyle w:val="StandardWeb"/>
      </w:pPr>
      <w:r>
        <w:rPr>
          <w:rStyle w:val="Fett"/>
        </w:rPr>
        <w:t>[1]</w:t>
      </w:r>
      <w:r>
        <w:t xml:space="preserve"> Foerster, H. von, </w:t>
      </w:r>
      <w:proofErr w:type="spellStart"/>
      <w:r>
        <w:rPr>
          <w:rStyle w:val="Hervorhebung"/>
          <w:rFonts w:eastAsia="Calibri"/>
        </w:rPr>
        <w:t>Observing</w:t>
      </w:r>
      <w:proofErr w:type="spellEnd"/>
      <w:r>
        <w:rPr>
          <w:rStyle w:val="Hervorhebung"/>
          <w:rFonts w:eastAsia="Calibri"/>
        </w:rPr>
        <w:t xml:space="preserve"> Systems</w:t>
      </w:r>
      <w:r>
        <w:t>, 1984, Intersystems Publications.</w:t>
      </w:r>
      <w:r>
        <w:br/>
      </w:r>
      <w:r>
        <w:rPr>
          <w:rStyle w:val="Fett"/>
        </w:rPr>
        <w:t>[2]</w:t>
      </w:r>
      <w:r>
        <w:t xml:space="preserve"> Luhmann, N., </w:t>
      </w:r>
      <w:r>
        <w:rPr>
          <w:rStyle w:val="Hervorhebung"/>
          <w:rFonts w:eastAsia="Calibri"/>
        </w:rPr>
        <w:t>Die Wissenschaft der Gesellschaft</w:t>
      </w:r>
      <w:r>
        <w:t>, 1990, Suhrkamp.</w:t>
      </w:r>
      <w:r>
        <w:br/>
      </w:r>
      <w:r>
        <w:rPr>
          <w:rStyle w:val="Fett"/>
        </w:rPr>
        <w:t>[3]</w:t>
      </w:r>
      <w:r>
        <w:t xml:space="preserve"> von </w:t>
      </w:r>
      <w:proofErr w:type="spellStart"/>
      <w:r>
        <w:t>Glasersfeld</w:t>
      </w:r>
      <w:proofErr w:type="spellEnd"/>
      <w:r>
        <w:t xml:space="preserve">, E., </w:t>
      </w:r>
      <w:proofErr w:type="spellStart"/>
      <w:r>
        <w:rPr>
          <w:rStyle w:val="Hervorhebung"/>
          <w:rFonts w:eastAsia="Calibri"/>
        </w:rPr>
        <w:t>Radical</w:t>
      </w:r>
      <w:proofErr w:type="spellEnd"/>
      <w:r>
        <w:rPr>
          <w:rStyle w:val="Hervorhebung"/>
          <w:rFonts w:eastAsia="Calibri"/>
        </w:rPr>
        <w:t xml:space="preserve"> </w:t>
      </w:r>
      <w:proofErr w:type="spellStart"/>
      <w:r>
        <w:rPr>
          <w:rStyle w:val="Hervorhebung"/>
          <w:rFonts w:eastAsia="Calibri"/>
        </w:rPr>
        <w:t>Constructivism</w:t>
      </w:r>
      <w:proofErr w:type="spellEnd"/>
      <w:r>
        <w:rPr>
          <w:rStyle w:val="Hervorhebung"/>
          <w:rFonts w:eastAsia="Calibri"/>
        </w:rPr>
        <w:t xml:space="preserve">: A Way </w:t>
      </w:r>
      <w:proofErr w:type="spellStart"/>
      <w:r>
        <w:rPr>
          <w:rStyle w:val="Hervorhebung"/>
          <w:rFonts w:eastAsia="Calibri"/>
        </w:rPr>
        <w:t>of</w:t>
      </w:r>
      <w:proofErr w:type="spellEnd"/>
      <w:r>
        <w:rPr>
          <w:rStyle w:val="Hervorhebung"/>
          <w:rFonts w:eastAsia="Calibri"/>
        </w:rPr>
        <w:t xml:space="preserve"> </w:t>
      </w:r>
      <w:proofErr w:type="spellStart"/>
      <w:r>
        <w:rPr>
          <w:rStyle w:val="Hervorhebung"/>
          <w:rFonts w:eastAsia="Calibri"/>
        </w:rPr>
        <w:t>Knowing</w:t>
      </w:r>
      <w:proofErr w:type="spellEnd"/>
      <w:r>
        <w:rPr>
          <w:rStyle w:val="Hervorhebung"/>
          <w:rFonts w:eastAsia="Calibri"/>
        </w:rPr>
        <w:t xml:space="preserve"> and Learning</w:t>
      </w:r>
      <w:r>
        <w:t xml:space="preserve">, 1995, </w:t>
      </w:r>
      <w:proofErr w:type="spellStart"/>
      <w:r>
        <w:t>Falmer</w:t>
      </w:r>
      <w:proofErr w:type="spellEnd"/>
      <w:r>
        <w:t xml:space="preserve"> Press.</w:t>
      </w:r>
      <w:r>
        <w:br/>
      </w:r>
      <w:r>
        <w:rPr>
          <w:rStyle w:val="Fett"/>
        </w:rPr>
        <w:t>[4]</w:t>
      </w:r>
      <w:r>
        <w:t xml:space="preserve"> Baez, J., &amp; </w:t>
      </w:r>
      <w:proofErr w:type="spellStart"/>
      <w:r>
        <w:t>Stay</w:t>
      </w:r>
      <w:proofErr w:type="spellEnd"/>
      <w:r>
        <w:t xml:space="preserve">, M., </w:t>
      </w:r>
      <w:r>
        <w:rPr>
          <w:rStyle w:val="Hervorhebung"/>
          <w:rFonts w:eastAsia="Calibri"/>
        </w:rPr>
        <w:t xml:space="preserve">Physics, </w:t>
      </w:r>
      <w:proofErr w:type="spellStart"/>
      <w:r>
        <w:rPr>
          <w:rStyle w:val="Hervorhebung"/>
          <w:rFonts w:eastAsia="Calibri"/>
        </w:rPr>
        <w:t>Topology</w:t>
      </w:r>
      <w:proofErr w:type="spellEnd"/>
      <w:r>
        <w:rPr>
          <w:rStyle w:val="Hervorhebung"/>
          <w:rFonts w:eastAsia="Calibri"/>
        </w:rPr>
        <w:t xml:space="preserve">, </w:t>
      </w:r>
      <w:proofErr w:type="spellStart"/>
      <w:r>
        <w:rPr>
          <w:rStyle w:val="Hervorhebung"/>
          <w:rFonts w:eastAsia="Calibri"/>
        </w:rPr>
        <w:t>Logic</w:t>
      </w:r>
      <w:proofErr w:type="spellEnd"/>
      <w:r>
        <w:rPr>
          <w:rStyle w:val="Hervorhebung"/>
          <w:rFonts w:eastAsia="Calibri"/>
        </w:rPr>
        <w:t xml:space="preserve"> and </w:t>
      </w:r>
      <w:proofErr w:type="spellStart"/>
      <w:r>
        <w:rPr>
          <w:rStyle w:val="Hervorhebung"/>
          <w:rFonts w:eastAsia="Calibri"/>
        </w:rPr>
        <w:t>Computation</w:t>
      </w:r>
      <w:proofErr w:type="spellEnd"/>
      <w:r>
        <w:rPr>
          <w:rStyle w:val="Hervorhebung"/>
          <w:rFonts w:eastAsia="Calibri"/>
        </w:rPr>
        <w:t>: A Rosetta Stone</w:t>
      </w:r>
      <w:r>
        <w:t>, 2010, Springer.</w:t>
      </w:r>
      <w:r>
        <w:br/>
      </w:r>
      <w:r>
        <w:rPr>
          <w:rStyle w:val="Fett"/>
        </w:rPr>
        <w:t>[5]</w:t>
      </w:r>
      <w:r>
        <w:t xml:space="preserve"> </w:t>
      </w:r>
      <w:proofErr w:type="spellStart"/>
      <w:r>
        <w:t>Jörissen</w:t>
      </w:r>
      <w:proofErr w:type="spellEnd"/>
      <w:r>
        <w:t xml:space="preserve">, B., &amp; Meyer, T., </w:t>
      </w:r>
      <w:proofErr w:type="spellStart"/>
      <w:r>
        <w:rPr>
          <w:rStyle w:val="Hervorhebung"/>
          <w:rFonts w:eastAsia="Calibri"/>
        </w:rPr>
        <w:t>Epistemologien</w:t>
      </w:r>
      <w:proofErr w:type="spellEnd"/>
      <w:r>
        <w:rPr>
          <w:rStyle w:val="Hervorhebung"/>
          <w:rFonts w:eastAsia="Calibri"/>
        </w:rPr>
        <w:t xml:space="preserve"> des Designs – Zur Theorie didaktischer Modellierung</w:t>
      </w:r>
      <w:r>
        <w:t xml:space="preserve">, </w:t>
      </w:r>
      <w:proofErr w:type="spellStart"/>
      <w:r>
        <w:t>ZfE</w:t>
      </w:r>
      <w:proofErr w:type="spellEnd"/>
      <w:r>
        <w:t>, 18(4), 2015, S. 733–752.</w:t>
      </w:r>
      <w:r>
        <w:br/>
      </w:r>
      <w:r>
        <w:rPr>
          <w:rStyle w:val="Fett"/>
        </w:rPr>
        <w:t>[6]</w:t>
      </w:r>
      <w:r>
        <w:t xml:space="preserve"> </w:t>
      </w:r>
      <w:proofErr w:type="spellStart"/>
      <w:r>
        <w:t>Rovelli</w:t>
      </w:r>
      <w:proofErr w:type="spellEnd"/>
      <w:r>
        <w:t xml:space="preserve">, C., </w:t>
      </w:r>
      <w:r>
        <w:rPr>
          <w:rStyle w:val="Hervorhebung"/>
          <w:rFonts w:eastAsia="Calibri"/>
        </w:rPr>
        <w:t>Quantum Gravity</w:t>
      </w:r>
      <w:r>
        <w:t>, 2004, Cambridge University Press.</w:t>
      </w:r>
      <w:r>
        <w:br/>
      </w:r>
      <w:r>
        <w:rPr>
          <w:rStyle w:val="Fett"/>
        </w:rPr>
        <w:t>[7]</w:t>
      </w:r>
      <w:r>
        <w:t xml:space="preserve"> Maturana, H., &amp; Varela, F., </w:t>
      </w:r>
      <w:r>
        <w:rPr>
          <w:rStyle w:val="Hervorhebung"/>
          <w:rFonts w:eastAsia="Calibri"/>
        </w:rPr>
        <w:t xml:space="preserve">Autopoiesis and </w:t>
      </w:r>
      <w:proofErr w:type="spellStart"/>
      <w:r>
        <w:rPr>
          <w:rStyle w:val="Hervorhebung"/>
          <w:rFonts w:eastAsia="Calibri"/>
        </w:rPr>
        <w:t>Cognition</w:t>
      </w:r>
      <w:proofErr w:type="spellEnd"/>
      <w:r>
        <w:rPr>
          <w:rStyle w:val="Hervorhebung"/>
          <w:rFonts w:eastAsia="Calibri"/>
        </w:rPr>
        <w:t xml:space="preserve">: The </w:t>
      </w:r>
      <w:proofErr w:type="spellStart"/>
      <w:r>
        <w:rPr>
          <w:rStyle w:val="Hervorhebung"/>
          <w:rFonts w:eastAsia="Calibri"/>
        </w:rPr>
        <w:t>Realization</w:t>
      </w:r>
      <w:proofErr w:type="spellEnd"/>
      <w:r>
        <w:rPr>
          <w:rStyle w:val="Hervorhebung"/>
          <w:rFonts w:eastAsia="Calibri"/>
        </w:rPr>
        <w:t xml:space="preserve"> </w:t>
      </w:r>
      <w:proofErr w:type="spellStart"/>
      <w:r>
        <w:rPr>
          <w:rStyle w:val="Hervorhebung"/>
          <w:rFonts w:eastAsia="Calibri"/>
        </w:rPr>
        <w:t>of</w:t>
      </w:r>
      <w:proofErr w:type="spellEnd"/>
      <w:r>
        <w:rPr>
          <w:rStyle w:val="Hervorhebung"/>
          <w:rFonts w:eastAsia="Calibri"/>
        </w:rPr>
        <w:t xml:space="preserve"> </w:t>
      </w:r>
      <w:proofErr w:type="spellStart"/>
      <w:r>
        <w:rPr>
          <w:rStyle w:val="Hervorhebung"/>
          <w:rFonts w:eastAsia="Calibri"/>
        </w:rPr>
        <w:t>the</w:t>
      </w:r>
      <w:proofErr w:type="spellEnd"/>
      <w:r>
        <w:rPr>
          <w:rStyle w:val="Hervorhebung"/>
          <w:rFonts w:eastAsia="Calibri"/>
        </w:rPr>
        <w:t xml:space="preserve"> Living</w:t>
      </w:r>
      <w:r>
        <w:t>, 1980, Reidel.</w:t>
      </w:r>
      <w:r>
        <w:br/>
      </w:r>
      <w:r>
        <w:rPr>
          <w:rStyle w:val="Fett"/>
        </w:rPr>
        <w:t>[8]</w:t>
      </w:r>
      <w:r>
        <w:t xml:space="preserve"> Kuhn, T. S., </w:t>
      </w:r>
      <w:r>
        <w:rPr>
          <w:rStyle w:val="Hervorhebung"/>
          <w:rFonts w:eastAsia="Calibri"/>
        </w:rPr>
        <w:t xml:space="preserve">The </w:t>
      </w:r>
      <w:proofErr w:type="spellStart"/>
      <w:r>
        <w:rPr>
          <w:rStyle w:val="Hervorhebung"/>
          <w:rFonts w:eastAsia="Calibri"/>
        </w:rPr>
        <w:t>Structure</w:t>
      </w:r>
      <w:proofErr w:type="spellEnd"/>
      <w:r>
        <w:rPr>
          <w:rStyle w:val="Hervorhebung"/>
          <w:rFonts w:eastAsia="Calibri"/>
        </w:rPr>
        <w:t xml:space="preserve"> </w:t>
      </w:r>
      <w:proofErr w:type="spellStart"/>
      <w:r>
        <w:rPr>
          <w:rStyle w:val="Hervorhebung"/>
          <w:rFonts w:eastAsia="Calibri"/>
        </w:rPr>
        <w:t>of</w:t>
      </w:r>
      <w:proofErr w:type="spellEnd"/>
      <w:r>
        <w:rPr>
          <w:rStyle w:val="Hervorhebung"/>
          <w:rFonts w:eastAsia="Calibri"/>
        </w:rPr>
        <w:t xml:space="preserve"> Scientific </w:t>
      </w:r>
      <w:proofErr w:type="spellStart"/>
      <w:r>
        <w:rPr>
          <w:rStyle w:val="Hervorhebung"/>
          <w:rFonts w:eastAsia="Calibri"/>
        </w:rPr>
        <w:t>Revolutions</w:t>
      </w:r>
      <w:proofErr w:type="spellEnd"/>
      <w:r>
        <w:t xml:space="preserve">, 1962, University </w:t>
      </w:r>
      <w:proofErr w:type="spellStart"/>
      <w:r>
        <w:t>of</w:t>
      </w:r>
      <w:proofErr w:type="spellEnd"/>
      <w:r>
        <w:t xml:space="preserve"> Chicago Press.</w:t>
      </w:r>
      <w:r>
        <w:br/>
      </w:r>
      <w:r>
        <w:rPr>
          <w:rStyle w:val="Fett"/>
        </w:rPr>
        <w:t>[9]</w:t>
      </w:r>
      <w:r>
        <w:t xml:space="preserve"> Ashby, W. R., </w:t>
      </w:r>
      <w:r>
        <w:rPr>
          <w:rStyle w:val="Hervorhebung"/>
          <w:rFonts w:eastAsia="Calibri"/>
        </w:rPr>
        <w:t xml:space="preserve">An </w:t>
      </w:r>
      <w:proofErr w:type="spellStart"/>
      <w:r>
        <w:rPr>
          <w:rStyle w:val="Hervorhebung"/>
          <w:rFonts w:eastAsia="Calibri"/>
        </w:rPr>
        <w:t>Introduction</w:t>
      </w:r>
      <w:proofErr w:type="spellEnd"/>
      <w:r>
        <w:rPr>
          <w:rStyle w:val="Hervorhebung"/>
          <w:rFonts w:eastAsia="Calibri"/>
        </w:rPr>
        <w:t xml:space="preserve"> </w:t>
      </w:r>
      <w:proofErr w:type="spellStart"/>
      <w:r>
        <w:rPr>
          <w:rStyle w:val="Hervorhebung"/>
          <w:rFonts w:eastAsia="Calibri"/>
        </w:rPr>
        <w:t>to</w:t>
      </w:r>
      <w:proofErr w:type="spellEnd"/>
      <w:r>
        <w:rPr>
          <w:rStyle w:val="Hervorhebung"/>
          <w:rFonts w:eastAsia="Calibri"/>
        </w:rPr>
        <w:t xml:space="preserve"> </w:t>
      </w:r>
      <w:proofErr w:type="spellStart"/>
      <w:r>
        <w:rPr>
          <w:rStyle w:val="Hervorhebung"/>
          <w:rFonts w:eastAsia="Calibri"/>
        </w:rPr>
        <w:t>Cybernetics</w:t>
      </w:r>
      <w:proofErr w:type="spellEnd"/>
      <w:r>
        <w:t>, 1956, Chapman &amp; Hall.</w:t>
      </w:r>
      <w:r>
        <w:br/>
      </w:r>
      <w:r>
        <w:rPr>
          <w:rStyle w:val="Fett"/>
        </w:rPr>
        <w:t>[10]</w:t>
      </w:r>
      <w:r>
        <w:t xml:space="preserve"> </w:t>
      </w:r>
      <w:proofErr w:type="spellStart"/>
      <w:r>
        <w:t>Dohn</w:t>
      </w:r>
      <w:proofErr w:type="spellEnd"/>
      <w:r>
        <w:t xml:space="preserve">, N. B., </w:t>
      </w:r>
      <w:r>
        <w:rPr>
          <w:rStyle w:val="Hervorhebung"/>
          <w:rFonts w:eastAsia="Calibri"/>
        </w:rPr>
        <w:t xml:space="preserve">Design </w:t>
      </w:r>
      <w:proofErr w:type="spellStart"/>
      <w:r>
        <w:rPr>
          <w:rStyle w:val="Hervorhebung"/>
          <w:rFonts w:eastAsia="Calibri"/>
        </w:rPr>
        <w:t>for</w:t>
      </w:r>
      <w:proofErr w:type="spellEnd"/>
      <w:r>
        <w:rPr>
          <w:rStyle w:val="Hervorhebung"/>
          <w:rFonts w:eastAsia="Calibri"/>
        </w:rPr>
        <w:t xml:space="preserve"> Learning in a Multimodal Environment</w:t>
      </w:r>
      <w:r>
        <w:t>, 2018, Routledge.</w:t>
      </w:r>
      <w:r>
        <w:br/>
      </w:r>
      <w:r>
        <w:rPr>
          <w:rStyle w:val="Fett"/>
        </w:rPr>
        <w:t>[11]</w:t>
      </w:r>
      <w:r>
        <w:t xml:space="preserve"> Newman, M. E. J., </w:t>
      </w:r>
      <w:r>
        <w:rPr>
          <w:rStyle w:val="Hervorhebung"/>
          <w:rFonts w:eastAsia="Calibri"/>
        </w:rPr>
        <w:t xml:space="preserve">Networks: An </w:t>
      </w:r>
      <w:proofErr w:type="spellStart"/>
      <w:r>
        <w:rPr>
          <w:rStyle w:val="Hervorhebung"/>
          <w:rFonts w:eastAsia="Calibri"/>
        </w:rPr>
        <w:t>Introduction</w:t>
      </w:r>
      <w:proofErr w:type="spellEnd"/>
      <w:r>
        <w:t>, 2010, Oxford University Press.</w:t>
      </w:r>
      <w:r>
        <w:br/>
      </w:r>
      <w:r>
        <w:rPr>
          <w:rStyle w:val="Fett"/>
        </w:rPr>
        <w:t>[12]</w:t>
      </w:r>
      <w:r>
        <w:t xml:space="preserve"> Flick, U., </w:t>
      </w:r>
      <w:r>
        <w:rPr>
          <w:rStyle w:val="Hervorhebung"/>
          <w:rFonts w:eastAsia="Calibri"/>
        </w:rPr>
        <w:t>Qualitative Sozialforschung</w:t>
      </w:r>
      <w:r>
        <w:t>, 2019, Rowohlt.</w:t>
      </w:r>
      <w:r>
        <w:br/>
      </w:r>
      <w:r>
        <w:rPr>
          <w:rStyle w:val="Fett"/>
        </w:rPr>
        <w:t>[13]</w:t>
      </w:r>
      <w:r>
        <w:t xml:space="preserve"> Guba, E. G., &amp; Lincoln, Y. S., </w:t>
      </w:r>
      <w:proofErr w:type="spellStart"/>
      <w:r>
        <w:rPr>
          <w:rStyle w:val="Hervorhebung"/>
          <w:rFonts w:eastAsia="Calibri"/>
        </w:rPr>
        <w:t>Naturalistic</w:t>
      </w:r>
      <w:proofErr w:type="spellEnd"/>
      <w:r>
        <w:rPr>
          <w:rStyle w:val="Hervorhebung"/>
          <w:rFonts w:eastAsia="Calibri"/>
        </w:rPr>
        <w:t xml:space="preserve"> </w:t>
      </w:r>
      <w:proofErr w:type="spellStart"/>
      <w:r>
        <w:rPr>
          <w:rStyle w:val="Hervorhebung"/>
          <w:rFonts w:eastAsia="Calibri"/>
        </w:rPr>
        <w:t>Inquiry</w:t>
      </w:r>
      <w:proofErr w:type="spellEnd"/>
      <w:r>
        <w:t>, 1985, Sage Publications.</w:t>
      </w:r>
      <w:r>
        <w:br/>
      </w:r>
      <w:r>
        <w:rPr>
          <w:rStyle w:val="Fett"/>
        </w:rPr>
        <w:t>[14]</w:t>
      </w:r>
      <w:r>
        <w:t xml:space="preserve"> Penrose, R., </w:t>
      </w:r>
      <w:r>
        <w:rPr>
          <w:rStyle w:val="Hervorhebung"/>
          <w:rFonts w:eastAsia="Calibri"/>
        </w:rPr>
        <w:t xml:space="preserve">The Road </w:t>
      </w:r>
      <w:proofErr w:type="spellStart"/>
      <w:r>
        <w:rPr>
          <w:rStyle w:val="Hervorhebung"/>
          <w:rFonts w:eastAsia="Calibri"/>
        </w:rPr>
        <w:t>to</w:t>
      </w:r>
      <w:proofErr w:type="spellEnd"/>
      <w:r>
        <w:rPr>
          <w:rStyle w:val="Hervorhebung"/>
          <w:rFonts w:eastAsia="Calibri"/>
        </w:rPr>
        <w:t xml:space="preserve"> Reality</w:t>
      </w:r>
      <w:r>
        <w:t>, 2004, Alfred A. Knopf.</w:t>
      </w:r>
      <w:r>
        <w:br/>
      </w:r>
      <w:r>
        <w:rPr>
          <w:rStyle w:val="Fett"/>
        </w:rPr>
        <w:t>[15]</w:t>
      </w:r>
      <w:r>
        <w:t xml:space="preserve"> Schmidhuber, J., </w:t>
      </w:r>
      <w:r>
        <w:rPr>
          <w:rStyle w:val="Hervorhebung"/>
          <w:rFonts w:eastAsia="Calibri"/>
        </w:rPr>
        <w:t xml:space="preserve">Deep Learning in </w:t>
      </w:r>
      <w:proofErr w:type="spellStart"/>
      <w:r>
        <w:rPr>
          <w:rStyle w:val="Hervorhebung"/>
          <w:rFonts w:eastAsia="Calibri"/>
        </w:rPr>
        <w:t>Neural</w:t>
      </w:r>
      <w:proofErr w:type="spellEnd"/>
      <w:r>
        <w:rPr>
          <w:rStyle w:val="Hervorhebung"/>
          <w:rFonts w:eastAsia="Calibri"/>
        </w:rPr>
        <w:t xml:space="preserve"> Networks: An </w:t>
      </w:r>
      <w:proofErr w:type="spellStart"/>
      <w:r>
        <w:rPr>
          <w:rStyle w:val="Hervorhebung"/>
          <w:rFonts w:eastAsia="Calibri"/>
        </w:rPr>
        <w:t>Overview</w:t>
      </w:r>
      <w:proofErr w:type="spellEnd"/>
      <w:r>
        <w:t xml:space="preserve">, </w:t>
      </w:r>
      <w:proofErr w:type="spellStart"/>
      <w:r>
        <w:t>Neural</w:t>
      </w:r>
      <w:proofErr w:type="spellEnd"/>
      <w:r>
        <w:t xml:space="preserve"> Networks, 2015.</w:t>
      </w:r>
      <w:r>
        <w:br/>
      </w:r>
      <w:r>
        <w:rPr>
          <w:rStyle w:val="Fett"/>
        </w:rPr>
        <w:t>[16]</w:t>
      </w:r>
      <w:r>
        <w:t xml:space="preserve"> Russell, S., &amp; </w:t>
      </w:r>
      <w:proofErr w:type="spellStart"/>
      <w:r>
        <w:t>Norvig</w:t>
      </w:r>
      <w:proofErr w:type="spellEnd"/>
      <w:r>
        <w:t xml:space="preserve">, P., </w:t>
      </w:r>
      <w:proofErr w:type="spellStart"/>
      <w:r>
        <w:rPr>
          <w:rStyle w:val="Hervorhebung"/>
          <w:rFonts w:eastAsia="Calibri"/>
        </w:rPr>
        <w:t>Artificial</w:t>
      </w:r>
      <w:proofErr w:type="spellEnd"/>
      <w:r>
        <w:rPr>
          <w:rStyle w:val="Hervorhebung"/>
          <w:rFonts w:eastAsia="Calibri"/>
        </w:rPr>
        <w:t xml:space="preserve"> </w:t>
      </w:r>
      <w:proofErr w:type="spellStart"/>
      <w:r>
        <w:rPr>
          <w:rStyle w:val="Hervorhebung"/>
          <w:rFonts w:eastAsia="Calibri"/>
        </w:rPr>
        <w:t>Intelligence</w:t>
      </w:r>
      <w:proofErr w:type="spellEnd"/>
      <w:r>
        <w:rPr>
          <w:rStyle w:val="Hervorhebung"/>
          <w:rFonts w:eastAsia="Calibri"/>
        </w:rPr>
        <w:t>: A Modern Approach</w:t>
      </w:r>
      <w:r>
        <w:t>, 2010, Pearson Education.</w:t>
      </w:r>
      <w:r>
        <w:br/>
      </w:r>
      <w:r>
        <w:rPr>
          <w:rStyle w:val="Fett"/>
        </w:rPr>
        <w:t>[17]</w:t>
      </w:r>
      <w:r>
        <w:t xml:space="preserve"> Sutton, R. S., &amp; </w:t>
      </w:r>
      <w:proofErr w:type="spellStart"/>
      <w:r>
        <w:t>Barto</w:t>
      </w:r>
      <w:proofErr w:type="spellEnd"/>
      <w:r>
        <w:t xml:space="preserve">, A. G., </w:t>
      </w:r>
      <w:r>
        <w:rPr>
          <w:rStyle w:val="Hervorhebung"/>
          <w:rFonts w:eastAsia="Calibri"/>
        </w:rPr>
        <w:t xml:space="preserve">Reinforcement Learning: An </w:t>
      </w:r>
      <w:proofErr w:type="spellStart"/>
      <w:r>
        <w:rPr>
          <w:rStyle w:val="Hervorhebung"/>
          <w:rFonts w:eastAsia="Calibri"/>
        </w:rPr>
        <w:t>Introduction</w:t>
      </w:r>
      <w:proofErr w:type="spellEnd"/>
      <w:r>
        <w:t>, 2018, MIT Press.</w:t>
      </w:r>
      <w:r>
        <w:br/>
      </w:r>
      <w:r>
        <w:rPr>
          <w:rStyle w:val="Fett"/>
        </w:rPr>
        <w:t>[18]</w:t>
      </w:r>
      <w:r>
        <w:t xml:space="preserve"> Luhmann, N., </w:t>
      </w:r>
      <w:r>
        <w:rPr>
          <w:rStyle w:val="Hervorhebung"/>
          <w:rFonts w:eastAsia="Calibri"/>
        </w:rPr>
        <w:t>Die Gesellschaft der Gesellschaft</w:t>
      </w:r>
      <w:r>
        <w:t>, 1997, Suhrkamp.</w:t>
      </w:r>
    </w:p>
    <w:p w14:paraId="0FFDC9CC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75963"/>
    <w:multiLevelType w:val="multilevel"/>
    <w:tmpl w:val="FF9C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378C7"/>
    <w:multiLevelType w:val="multilevel"/>
    <w:tmpl w:val="6CD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C6043"/>
    <w:multiLevelType w:val="multilevel"/>
    <w:tmpl w:val="8872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C6D9C"/>
    <w:multiLevelType w:val="multilevel"/>
    <w:tmpl w:val="6FD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BC"/>
    <w:rsid w:val="000467F2"/>
    <w:rsid w:val="00082214"/>
    <w:rsid w:val="00106528"/>
    <w:rsid w:val="001830F2"/>
    <w:rsid w:val="0019229D"/>
    <w:rsid w:val="001A20BC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16103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CC274"/>
  <w15:chartTrackingRefBased/>
  <w15:docId w15:val="{C5EAEE46-DD06-442D-A8A8-D9A31EAC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A20BC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1A20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810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2025-07-08T13:51:00Z</dcterms:created>
  <dcterms:modified xsi:type="dcterms:W3CDTF">2025-07-08T13:55:00Z</dcterms:modified>
</cp:coreProperties>
</file>