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349B" w14:textId="649A0EF1" w:rsidR="00041688" w:rsidRDefault="00041688" w:rsidP="00041688">
      <w:pPr>
        <w:pStyle w:val="Titel"/>
      </w:pPr>
      <w:r w:rsidRPr="00041688">
        <w:t>Anlage 6.</w:t>
      </w:r>
      <w:r>
        <w:t xml:space="preserve">A - </w:t>
      </w:r>
      <w:r w:rsidRPr="00041688">
        <w:t>Strukturierung des epistemischen Raums</w:t>
      </w:r>
    </w:p>
    <w:p w14:paraId="304D533B" w14:textId="77777777" w:rsidR="00041688" w:rsidRPr="00041688" w:rsidRDefault="00041688" w:rsidP="00041688">
      <w:r w:rsidRPr="00041688">
        <w:t xml:space="preserve">Diese Anlage liefert eine tiefgehende Übersicht über die Dimensionen des epistemischen Raums, in dem Lernprozesse analysiert, visualisiert und gezielt gesteuert werden können. Sie dient als praxisnahes Werkzeug für Lehrkräfte, </w:t>
      </w:r>
      <w:proofErr w:type="spellStart"/>
      <w:proofErr w:type="gramStart"/>
      <w:r w:rsidRPr="00041688">
        <w:t>Ausbilder:innen</w:t>
      </w:r>
      <w:proofErr w:type="spellEnd"/>
      <w:proofErr w:type="gramEnd"/>
      <w:r w:rsidRPr="00041688">
        <w:t xml:space="preserve"> und Forschende, um Lernende systematisch zu verorten, Differenzen zu erkennen und adaptive Maßnahmen einzuleiten.</w:t>
      </w:r>
    </w:p>
    <w:p w14:paraId="217EC432" w14:textId="77777777" w:rsidR="00041688" w:rsidRPr="00041688" w:rsidRDefault="00041688" w:rsidP="00041688">
      <w:pPr>
        <w:rPr>
          <w:b/>
          <w:bCs/>
        </w:rPr>
      </w:pPr>
      <w:r w:rsidRPr="00041688">
        <w:rPr>
          <w:b/>
          <w:bCs/>
        </w:rPr>
        <w:t>Dimensionen des epistemischen Raums</w:t>
      </w:r>
    </w:p>
    <w:p w14:paraId="173969C4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Kognitive Anforderungen:</w:t>
      </w:r>
    </w:p>
    <w:p w14:paraId="109B2F24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Alle intellektuellen Herausforderungen, die Lernende bei der Bearbeitung von Aufgaben bewältigen müssen.</w:t>
      </w:r>
    </w:p>
    <w:p w14:paraId="2C6C2EA1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Beispiele: Lösen komplexer Gleichungen, Analyse physikalischer Experimente, Transfer von Wissen auf neue Problemstellungen.</w:t>
      </w:r>
    </w:p>
    <w:p w14:paraId="4D4592F4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Vorwissen, Arbeitsgedächtnis, Fähigkeit zur Vernetzung von Konzepten.</w:t>
      </w:r>
    </w:p>
    <w:p w14:paraId="01238AE3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Methodischer Nutzen: Lehrkraft kann Aufgaben gezielt differenzieren, um Über- oder Unterforderung zu vermeiden.</w:t>
      </w:r>
    </w:p>
    <w:p w14:paraId="4B93DDB0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Soziale Interaktion:</w:t>
      </w:r>
    </w:p>
    <w:p w14:paraId="02AC7DC3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Art und Intensität der Kommunikation und Zusammenarbeit zwischen Lernenden.</w:t>
      </w:r>
    </w:p>
    <w:p w14:paraId="2E615218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Beispiele: Peer-Erklärungen, Gruppenarbeit bei Projektaufgaben, Diskussionsrunden.</w:t>
      </w:r>
    </w:p>
    <w:p w14:paraId="66973BA9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Gruppengröße, Rollenverteilung, Kommunikationskultur.</w:t>
      </w:r>
    </w:p>
    <w:p w14:paraId="52D8A42D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Methodischer Nutzen: Ermöglicht gezielte Bildung von Kooperationshubs, Sichtbarmachung von Wissensaustausch und Stabilisierung semantischer Verdichtungen.</w:t>
      </w:r>
    </w:p>
    <w:p w14:paraId="5C1F2DC2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Affektive Beteiligung:</w:t>
      </w:r>
    </w:p>
    <w:p w14:paraId="332B5C65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Emotionale Einbindung der Lernenden in den Lernprozess.</w:t>
      </w:r>
    </w:p>
    <w:p w14:paraId="21845E44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Beispiele: Motivation durch herausfordernde Aufgaben, Freude an Entdeckung, Frustration bei Blockaden.</w:t>
      </w:r>
    </w:p>
    <w:p w14:paraId="6E212CCB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Selbstwirksamkeit, Lernklima, Feedbackkultur.</w:t>
      </w:r>
    </w:p>
    <w:p w14:paraId="09C05CA3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Methodischer Nutzen: Identifikation von Hoch- und Tiefphasen der Aufmerksamkeit, gezielte Intervention bei Desorientierung.</w:t>
      </w:r>
    </w:p>
    <w:p w14:paraId="33AE9A7A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Metakognitive Kontrolle:</w:t>
      </w:r>
    </w:p>
    <w:p w14:paraId="4C691C2D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Fähigkeit zur Planung, Überwachung und Anpassung eigener Lernstrategien.</w:t>
      </w:r>
    </w:p>
    <w:p w14:paraId="776ACCBA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lastRenderedPageBreak/>
        <w:t>Beispiele: Reflexion der Lösungswege, Einsatz von Planungs-Checklisten, Selbstbewertung von Lernfortschritten.</w:t>
      </w:r>
    </w:p>
    <w:p w14:paraId="573CE85D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Vorwissen, Instruktion zu Reflexion, Erfahrung mit Problemlösestrategien.</w:t>
      </w:r>
    </w:p>
    <w:p w14:paraId="56AB2E19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 xml:space="preserve">Methodischer Nutzen: Unterstützung der Selbststeuerung, Förderung von Orientierung in offenen Lernsettings, Erhöhung der Wirksamkeit </w:t>
      </w:r>
      <w:proofErr w:type="gramStart"/>
      <w:r w:rsidRPr="00041688">
        <w:t>von Hubs</w:t>
      </w:r>
      <w:proofErr w:type="gramEnd"/>
      <w:r w:rsidRPr="00041688">
        <w:t>.</w:t>
      </w:r>
    </w:p>
    <w:p w14:paraId="001447A8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Digitale Präsenz:</w:t>
      </w:r>
    </w:p>
    <w:p w14:paraId="250DB1F4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Nutzung digitaler Werkzeuge und Ressourcen zur Unterstützung des Lernprozesses.</w:t>
      </w:r>
    </w:p>
    <w:p w14:paraId="1970A0C8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Beispiele: Einsatz von Lernplattformen, Simulationstools, interaktiven Visualisierungen.</w:t>
      </w:r>
    </w:p>
    <w:p w14:paraId="10D4D02E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Digitale Kompetenz, technische Ausstattung, Interaktion über Online-Foren.</w:t>
      </w:r>
    </w:p>
    <w:p w14:paraId="4F433F0A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Methodischer Nutzen: Verstärkung semantischer Dichte, Ermöglichung adaptiver Lernpfade, Visualisierung von Orientierungsstrukturen.</w:t>
      </w:r>
    </w:p>
    <w:p w14:paraId="61D643AA" w14:textId="77777777" w:rsidR="00041688" w:rsidRPr="00041688" w:rsidRDefault="00041688" w:rsidP="00041688">
      <w:pPr>
        <w:numPr>
          <w:ilvl w:val="0"/>
          <w:numId w:val="4"/>
        </w:numPr>
      </w:pPr>
      <w:r w:rsidRPr="00041688">
        <w:rPr>
          <w:b/>
          <w:bCs/>
        </w:rPr>
        <w:t>Kulturelle Einbettung:</w:t>
      </w:r>
    </w:p>
    <w:p w14:paraId="73EEB336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Definition: Kontextuelle Faktoren, die das Lernen prägen, z. B. Vorwissen, kultureller Hintergrund, Erfahrungshorizont.</w:t>
      </w:r>
    </w:p>
    <w:p w14:paraId="275E1262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Beispiele: Sprachliche Unterschiede, unterschiedliche Herangehensweisen an Problemstellungen, unterschiedliche Erfahrungshintergründe.</w:t>
      </w:r>
    </w:p>
    <w:p w14:paraId="5EF40581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Einflussfaktoren: Soziale Herkunft, Bildungserfahrungen, kulturelle Normen.</w:t>
      </w:r>
    </w:p>
    <w:p w14:paraId="5283FFC7" w14:textId="77777777" w:rsidR="00041688" w:rsidRPr="00041688" w:rsidRDefault="00041688" w:rsidP="00041688">
      <w:pPr>
        <w:numPr>
          <w:ilvl w:val="1"/>
          <w:numId w:val="4"/>
        </w:numPr>
      </w:pPr>
      <w:r w:rsidRPr="00041688">
        <w:t>Methodischer Nutzen: Planung differenzierter Lernangebote, Sensibilisierung für Diversität, Integration in semantische Dichte- und Hub-Strukturen.</w:t>
      </w:r>
    </w:p>
    <w:p w14:paraId="2CF84DEF" w14:textId="77777777" w:rsidR="00041688" w:rsidRPr="00041688" w:rsidRDefault="00041688" w:rsidP="00041688">
      <w:pPr>
        <w:rPr>
          <w:b/>
          <w:bCs/>
        </w:rPr>
      </w:pPr>
      <w:r w:rsidRPr="00041688">
        <w:rPr>
          <w:b/>
          <w:bCs/>
        </w:rPr>
        <w:t>Praktische Anwendung der Anlage</w:t>
      </w:r>
    </w:p>
    <w:p w14:paraId="4CD29F18" w14:textId="77777777" w:rsidR="00041688" w:rsidRPr="00041688" w:rsidRDefault="00041688" w:rsidP="00041688">
      <w:pPr>
        <w:numPr>
          <w:ilvl w:val="0"/>
          <w:numId w:val="5"/>
        </w:numPr>
      </w:pPr>
      <w:r w:rsidRPr="00041688">
        <w:rPr>
          <w:b/>
          <w:bCs/>
        </w:rPr>
        <w:t>Verortung von Lernenden:</w:t>
      </w:r>
      <w:r w:rsidRPr="00041688">
        <w:t xml:space="preserve"> Jede Dimension kann mit numerischen oder qualitativen Skalen bewertet werden, um Lernende als Punkte im epistemischen Raum zu platzieren.</w:t>
      </w:r>
    </w:p>
    <w:p w14:paraId="472E2A52" w14:textId="77777777" w:rsidR="00041688" w:rsidRPr="00041688" w:rsidRDefault="00041688" w:rsidP="00041688">
      <w:pPr>
        <w:numPr>
          <w:ilvl w:val="0"/>
          <w:numId w:val="5"/>
        </w:numPr>
      </w:pPr>
      <w:r w:rsidRPr="00041688">
        <w:rPr>
          <w:b/>
          <w:bCs/>
        </w:rPr>
        <w:t>Analyse relationaler Positionen:</w:t>
      </w:r>
      <w:r w:rsidRPr="00041688">
        <w:t xml:space="preserve"> Erkennen von Clusterbildungen, Lücken und kritischen Übergangszonen (</w:t>
      </w:r>
      <w:proofErr w:type="spellStart"/>
      <w:r w:rsidRPr="00041688">
        <w:t>Transitionszonen</w:t>
      </w:r>
      <w:proofErr w:type="spellEnd"/>
      <w:r w:rsidRPr="00041688">
        <w:t>) im Lernprozess.</w:t>
      </w:r>
    </w:p>
    <w:p w14:paraId="511A5405" w14:textId="77777777" w:rsidR="00041688" w:rsidRPr="00041688" w:rsidRDefault="00041688" w:rsidP="00041688">
      <w:pPr>
        <w:numPr>
          <w:ilvl w:val="0"/>
          <w:numId w:val="5"/>
        </w:numPr>
      </w:pPr>
      <w:r w:rsidRPr="00041688">
        <w:rPr>
          <w:b/>
          <w:bCs/>
        </w:rPr>
        <w:t xml:space="preserve">Planung </w:t>
      </w:r>
      <w:proofErr w:type="gramStart"/>
      <w:r w:rsidRPr="00041688">
        <w:rPr>
          <w:b/>
          <w:bCs/>
        </w:rPr>
        <w:t>von Hubs</w:t>
      </w:r>
      <w:proofErr w:type="gramEnd"/>
      <w:r w:rsidRPr="00041688">
        <w:rPr>
          <w:b/>
          <w:bCs/>
        </w:rPr>
        <w:t>:</w:t>
      </w:r>
      <w:r w:rsidRPr="00041688">
        <w:t xml:space="preserve"> Die Anlage liefert die Basis, um gezielt Reflexionspunkte, Peer-Erklärungen oder Zwischentests zu setzen, die Orientierung und Verdichtung fördern.</w:t>
      </w:r>
    </w:p>
    <w:p w14:paraId="7A16218C" w14:textId="77777777" w:rsidR="00041688" w:rsidRPr="00041688" w:rsidRDefault="00041688" w:rsidP="00041688">
      <w:pPr>
        <w:numPr>
          <w:ilvl w:val="0"/>
          <w:numId w:val="5"/>
        </w:numPr>
      </w:pPr>
      <w:r w:rsidRPr="00041688">
        <w:rPr>
          <w:b/>
          <w:bCs/>
        </w:rPr>
        <w:t>Evaluation von semantischer Dichte:</w:t>
      </w:r>
      <w:r w:rsidRPr="00041688">
        <w:t xml:space="preserve"> Peaks und Täler in den Dimensionen werden sichtbar, um Lernaktivitäten adaptiv zu steuern.</w:t>
      </w:r>
    </w:p>
    <w:p w14:paraId="3E1200FB" w14:textId="77777777" w:rsidR="00041688" w:rsidRPr="00041688" w:rsidRDefault="00041688" w:rsidP="00041688">
      <w:pPr>
        <w:rPr>
          <w:b/>
          <w:bCs/>
        </w:rPr>
      </w:pPr>
      <w:r w:rsidRPr="00041688">
        <w:rPr>
          <w:b/>
          <w:bCs/>
        </w:rPr>
        <w:t>Bedeutung der Anlage</w:t>
      </w:r>
    </w:p>
    <w:p w14:paraId="53BC603E" w14:textId="77777777" w:rsidR="00041688" w:rsidRPr="00041688" w:rsidRDefault="00041688" w:rsidP="00041688">
      <w:r w:rsidRPr="00041688">
        <w:t xml:space="preserve">Diese detaillierte Strukturierung des epistemischen Raums ermöglicht eine </w:t>
      </w:r>
      <w:r w:rsidRPr="00041688">
        <w:rPr>
          <w:b/>
          <w:bCs/>
        </w:rPr>
        <w:t>präzise Steuerung von Lernprozessen</w:t>
      </w:r>
      <w:r w:rsidRPr="00041688">
        <w:t>:</w:t>
      </w:r>
    </w:p>
    <w:p w14:paraId="7CC51A2A" w14:textId="77777777" w:rsidR="00041688" w:rsidRPr="00041688" w:rsidRDefault="00041688" w:rsidP="00041688">
      <w:pPr>
        <w:numPr>
          <w:ilvl w:val="0"/>
          <w:numId w:val="6"/>
        </w:numPr>
      </w:pPr>
      <w:r w:rsidRPr="00041688">
        <w:t>Lehrkräfte können Lernende individuell verorten und differenzierte Lernpfade gestalten.</w:t>
      </w:r>
    </w:p>
    <w:p w14:paraId="3089AFD3" w14:textId="77777777" w:rsidR="00041688" w:rsidRPr="00041688" w:rsidRDefault="00041688" w:rsidP="00041688">
      <w:pPr>
        <w:numPr>
          <w:ilvl w:val="0"/>
          <w:numId w:val="6"/>
        </w:numPr>
      </w:pPr>
      <w:r w:rsidRPr="00041688">
        <w:t xml:space="preserve">Orientierung wird durch gezielte Platzierung </w:t>
      </w:r>
      <w:proofErr w:type="gramStart"/>
      <w:r w:rsidRPr="00041688">
        <w:t>von Hubs</w:t>
      </w:r>
      <w:proofErr w:type="gramEnd"/>
      <w:r w:rsidRPr="00041688">
        <w:t xml:space="preserve"> und Interventionen gefördert.</w:t>
      </w:r>
    </w:p>
    <w:p w14:paraId="2D2B0127" w14:textId="77777777" w:rsidR="00041688" w:rsidRPr="00041688" w:rsidRDefault="00041688" w:rsidP="00041688">
      <w:pPr>
        <w:numPr>
          <w:ilvl w:val="0"/>
          <w:numId w:val="6"/>
        </w:numPr>
      </w:pPr>
      <w:r w:rsidRPr="00041688">
        <w:t>Emergenz von Bedeutung und semantischer Dichte wird mess- und steuerbar.</w:t>
      </w:r>
    </w:p>
    <w:p w14:paraId="65D8044A" w14:textId="77777777" w:rsidR="00041688" w:rsidRPr="00041688" w:rsidRDefault="00041688" w:rsidP="00041688">
      <w:pPr>
        <w:numPr>
          <w:ilvl w:val="0"/>
          <w:numId w:val="6"/>
        </w:numPr>
      </w:pPr>
      <w:r w:rsidRPr="00041688">
        <w:t>Offene Lernsettings werden durch die Kombination aller Dimensionen kontrollierbarer und lernwirksamer.</w:t>
      </w:r>
    </w:p>
    <w:p w14:paraId="1C596AC5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97617"/>
    <w:multiLevelType w:val="multilevel"/>
    <w:tmpl w:val="4B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30F5"/>
    <w:multiLevelType w:val="multilevel"/>
    <w:tmpl w:val="C96E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44BA4"/>
    <w:multiLevelType w:val="multilevel"/>
    <w:tmpl w:val="4CB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4"/>
  </w:num>
  <w:num w:numId="4" w16cid:durableId="307441792">
    <w:abstractNumId w:val="3"/>
  </w:num>
  <w:num w:numId="5" w16cid:durableId="775832827">
    <w:abstractNumId w:val="5"/>
  </w:num>
  <w:num w:numId="6" w16cid:durableId="18051686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88"/>
    <w:rsid w:val="00041688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4197"/>
  <w15:chartTrackingRefBased/>
  <w15:docId w15:val="{4A5FF0EB-DB4C-46A1-AFE6-BBE40C09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575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2025-09-24T12:08:00Z</dcterms:created>
  <dcterms:modified xsi:type="dcterms:W3CDTF">2025-09-24T12:09:00Z</dcterms:modified>
</cp:coreProperties>
</file>