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185C" w14:textId="30D8FCC4" w:rsidR="00001353" w:rsidRPr="00001353" w:rsidRDefault="00001353" w:rsidP="007255CD">
      <w:pPr>
        <w:pStyle w:val="berschrift1"/>
      </w:pPr>
      <w:r>
        <w:t xml:space="preserve">Anlage 6.B - </w:t>
      </w:r>
      <w:r w:rsidRPr="00001353">
        <w:t>Definition „Hubs“ im Kontext des FRZK</w:t>
      </w:r>
    </w:p>
    <w:p w14:paraId="396777F6" w14:textId="77777777" w:rsidR="00001353" w:rsidRPr="00001353" w:rsidRDefault="00001353" w:rsidP="007255CD">
      <w:pPr>
        <w:pStyle w:val="berschrift2"/>
      </w:pPr>
      <w:r w:rsidRPr="00001353">
        <w:t>Hubs sind epistemische Verdichtungspunkte im semantischen Raum, an denen Bedeutungsstrukturen für Lernende wahrnehmbar und anschlussfähig werden.</w:t>
      </w:r>
    </w:p>
    <w:p w14:paraId="5171D9A1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Sie entstehen dort, wo kognitive, soziale oder affektive Aktivitäten eine besonders hohe semantische Dichte erzeugen. In der Modelllogik des FRZK sind Hubs durch Koordinaten </w:t>
      </w:r>
      <w:proofErr w:type="spellStart"/>
      <w:r w:rsidRPr="00001353">
        <w:rPr>
          <w:rFonts w:ascii="Times New Roman" w:hAnsi="Times New Roman"/>
        </w:rPr>
        <w:t>hk</w:t>
      </w:r>
      <w:r w:rsidRPr="00001353">
        <w:rPr>
          <w:rFonts w:ascii="Cambria Math" w:hAnsi="Cambria Math" w:cs="Cambria Math"/>
        </w:rPr>
        <w:t>∈</w:t>
      </w:r>
      <w:r w:rsidRPr="00001353">
        <w:rPr>
          <w:rFonts w:ascii="Times New Roman" w:hAnsi="Times New Roman"/>
        </w:rPr>
        <w:t>Rnh_k</w:t>
      </w:r>
      <w:proofErr w:type="spellEnd"/>
      <w:r w:rsidRPr="00001353">
        <w:rPr>
          <w:rFonts w:ascii="Times New Roman" w:hAnsi="Times New Roman"/>
        </w:rPr>
        <w:t xml:space="preserve"> \in \</w:t>
      </w:r>
      <w:proofErr w:type="spellStart"/>
      <w:r w:rsidRPr="00001353">
        <w:rPr>
          <w:rFonts w:ascii="Times New Roman" w:hAnsi="Times New Roman"/>
        </w:rPr>
        <w:t>mathbb</w:t>
      </w:r>
      <w:proofErr w:type="spellEnd"/>
      <w:r w:rsidRPr="00001353">
        <w:rPr>
          <w:rFonts w:ascii="Times New Roman" w:hAnsi="Times New Roman"/>
        </w:rPr>
        <w:t>{R}^</w:t>
      </w:r>
      <w:proofErr w:type="spellStart"/>
      <w:r w:rsidRPr="00001353">
        <w:rPr>
          <w:rFonts w:ascii="Times New Roman" w:hAnsi="Times New Roman"/>
        </w:rPr>
        <w:t>nhk</w:t>
      </w:r>
      <w:proofErr w:type="spellEnd"/>
      <w:r w:rsidRPr="00001353">
        <w:rPr>
          <w:rFonts w:ascii="Times New Roman" w:hAnsi="Times New Roman"/>
        </w:rPr>
        <w:t>​</w:t>
      </w:r>
      <w:r w:rsidRPr="00001353">
        <w:rPr>
          <w:rFonts w:ascii="Cambria Math" w:hAnsi="Cambria Math" w:cs="Cambria Math"/>
        </w:rPr>
        <w:t>∈</w:t>
      </w:r>
      <w:proofErr w:type="spellStart"/>
      <w:r w:rsidRPr="00001353">
        <w:rPr>
          <w:rFonts w:ascii="Times New Roman" w:hAnsi="Times New Roman"/>
        </w:rPr>
        <w:t>Rn</w:t>
      </w:r>
      <w:proofErr w:type="spellEnd"/>
      <w:r w:rsidRPr="00001353">
        <w:rPr>
          <w:rFonts w:ascii="Times New Roman" w:hAnsi="Times New Roman"/>
        </w:rPr>
        <w:t xml:space="preserve"> beschreibbar und mit zwei wesentlichen Eigenschaften ausgestattet:</w:t>
      </w:r>
    </w:p>
    <w:p w14:paraId="17B6D759" w14:textId="77777777" w:rsidR="00001353" w:rsidRPr="00001353" w:rsidRDefault="00001353" w:rsidP="0000135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  <w:b/>
          <w:bCs/>
        </w:rPr>
        <w:t>Gewicht (</w:t>
      </w:r>
      <w:proofErr w:type="spellStart"/>
      <w:r w:rsidRPr="00001353">
        <w:rPr>
          <w:rFonts w:ascii="Times New Roman" w:hAnsi="Times New Roman"/>
          <w:b/>
          <w:bCs/>
        </w:rPr>
        <w:t>wkw_kwk</w:t>
      </w:r>
      <w:proofErr w:type="spellEnd"/>
      <w:r w:rsidRPr="00001353">
        <w:rPr>
          <w:rFonts w:ascii="Times New Roman" w:hAnsi="Times New Roman"/>
          <w:b/>
          <w:bCs/>
        </w:rPr>
        <w:t>​)</w:t>
      </w:r>
      <w:r w:rsidRPr="00001353">
        <w:rPr>
          <w:rFonts w:ascii="Times New Roman" w:hAnsi="Times New Roman"/>
        </w:rPr>
        <w:t xml:space="preserve"> – es beschreibt die relative Bedeutung des Hubs im Lernraum (z. B. die Relevanz eines Themas, die emotionale Intensität einer Erfahrung oder die soziale Bedeutung einer Gruppeninteraktion).</w:t>
      </w:r>
    </w:p>
    <w:p w14:paraId="5C702D59" w14:textId="77777777" w:rsidR="00001353" w:rsidRPr="00001353" w:rsidRDefault="00001353" w:rsidP="0000135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  <w:b/>
          <w:bCs/>
        </w:rPr>
        <w:t>Reichweite (</w:t>
      </w:r>
      <w:proofErr w:type="spellStart"/>
      <w:r w:rsidRPr="00001353">
        <w:rPr>
          <w:rFonts w:ascii="Times New Roman" w:hAnsi="Times New Roman"/>
          <w:b/>
          <w:bCs/>
        </w:rPr>
        <w:t>σk</w:t>
      </w:r>
      <w:proofErr w:type="spellEnd"/>
      <w:r w:rsidRPr="00001353">
        <w:rPr>
          <w:rFonts w:ascii="Times New Roman" w:hAnsi="Times New Roman"/>
          <w:b/>
          <w:bCs/>
        </w:rPr>
        <w:t>\</w:t>
      </w:r>
      <w:proofErr w:type="spellStart"/>
      <w:r w:rsidRPr="00001353">
        <w:rPr>
          <w:rFonts w:ascii="Times New Roman" w:hAnsi="Times New Roman"/>
          <w:b/>
          <w:bCs/>
        </w:rPr>
        <w:t>sigma_kσk</w:t>
      </w:r>
      <w:proofErr w:type="spellEnd"/>
      <w:r w:rsidRPr="00001353">
        <w:rPr>
          <w:rFonts w:ascii="Times New Roman" w:hAnsi="Times New Roman"/>
          <w:b/>
          <w:bCs/>
        </w:rPr>
        <w:t>​)</w:t>
      </w:r>
      <w:r w:rsidRPr="00001353">
        <w:rPr>
          <w:rFonts w:ascii="Times New Roman" w:hAnsi="Times New Roman"/>
        </w:rPr>
        <w:t xml:space="preserve"> – sie kennzeichnet den Einflussradius des Hubs, also wie weit seine orientierende Wirkung auf Lernende reicht.</w:t>
      </w:r>
    </w:p>
    <w:p w14:paraId="56889C20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>Mathematisch erscheinen Hubs als „Peaks“ in der semantischen Landschaft: Sie bündeln Aufmerksamkeit, lenken Aktivität und strukturieren die Orientierung.</w:t>
      </w:r>
    </w:p>
    <w:p w14:paraId="51DA6DF0" w14:textId="77777777" w:rsidR="00001353" w:rsidRPr="00001353" w:rsidRDefault="00000000" w:rsidP="000013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1F49727">
          <v:rect id="_x0000_i1025" style="width:0;height:1.5pt" o:hralign="center" o:hrstd="t" o:hr="t" fillcolor="#a0a0a0" stroked="f"/>
        </w:pict>
      </w:r>
    </w:p>
    <w:p w14:paraId="43B862C2" w14:textId="77777777" w:rsidR="00001353" w:rsidRPr="00001353" w:rsidRDefault="00001353" w:rsidP="00001353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001353">
        <w:rPr>
          <w:rFonts w:ascii="Times New Roman" w:hAnsi="Times New Roman"/>
          <w:b/>
          <w:bCs/>
          <w:sz w:val="27"/>
          <w:szCs w:val="27"/>
        </w:rPr>
        <w:t>Didaktische Perspektive</w:t>
      </w:r>
    </w:p>
    <w:p w14:paraId="13B18CC3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>In der Praxis können Hubs ganz unterschiedliche Gestalt annehmen:</w:t>
      </w:r>
    </w:p>
    <w:p w14:paraId="1D71D7FA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Kognitive Hubs</w:t>
      </w:r>
      <w:proofErr w:type="gramEnd"/>
      <w:r w:rsidRPr="00001353">
        <w:rPr>
          <w:rFonts w:ascii="Times New Roman" w:hAnsi="Times New Roman"/>
        </w:rPr>
        <w:t>: ein zentrales Konzept, eine Schlüsselfrage oder ein Konflikt im Lernstoff.</w:t>
      </w:r>
    </w:p>
    <w:p w14:paraId="33776212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Soziale Hubs</w:t>
      </w:r>
      <w:proofErr w:type="gramEnd"/>
      <w:r w:rsidRPr="00001353">
        <w:rPr>
          <w:rFonts w:ascii="Times New Roman" w:hAnsi="Times New Roman"/>
        </w:rPr>
        <w:t>: eine Gruppeninteraktion, ein gemeinsames Feedback oder ein Kooperationsmoment.</w:t>
      </w:r>
    </w:p>
    <w:p w14:paraId="05FA14A0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Affektive Hubs</w:t>
      </w:r>
      <w:proofErr w:type="gramEnd"/>
      <w:r w:rsidRPr="00001353">
        <w:rPr>
          <w:rFonts w:ascii="Times New Roman" w:hAnsi="Times New Roman"/>
        </w:rPr>
        <w:t>: eine emotionale Resonanz, ein Aha-Erlebnis oder ein Moment der Irritation.</w:t>
      </w:r>
    </w:p>
    <w:p w14:paraId="65F5E78F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Allen gemeinsam ist, dass sie </w:t>
      </w:r>
      <w:r w:rsidRPr="00001353">
        <w:rPr>
          <w:rFonts w:ascii="Times New Roman" w:hAnsi="Times New Roman"/>
          <w:b/>
          <w:bCs/>
        </w:rPr>
        <w:t>Orientierung erzeugen</w:t>
      </w:r>
      <w:r w:rsidRPr="00001353">
        <w:rPr>
          <w:rFonts w:ascii="Times New Roman" w:hAnsi="Times New Roman"/>
        </w:rPr>
        <w:t>, indem sie Bedeutung im offenen Lernraum sichtbar machen.</w:t>
      </w:r>
    </w:p>
    <w:p w14:paraId="25C143F3" w14:textId="77777777" w:rsidR="00001353" w:rsidRPr="00001353" w:rsidRDefault="00000000" w:rsidP="000013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F57B192">
          <v:rect id="_x0000_i1026" style="width:0;height:1.5pt" o:hralign="center" o:hrstd="t" o:hr="t" fillcolor="#a0a0a0" stroked="f"/>
        </w:pict>
      </w:r>
    </w:p>
    <w:p w14:paraId="02588371" w14:textId="7C2A950B" w:rsid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Hubs sind </w:t>
      </w:r>
      <w:r w:rsidRPr="00001353">
        <w:rPr>
          <w:rFonts w:ascii="Times New Roman" w:hAnsi="Times New Roman"/>
          <w:b/>
          <w:bCs/>
        </w:rPr>
        <w:t>Orientierungspunkte</w:t>
      </w:r>
      <w:r w:rsidRPr="00001353">
        <w:rPr>
          <w:rFonts w:ascii="Times New Roman" w:hAnsi="Times New Roman"/>
        </w:rPr>
        <w:t xml:space="preserve"> im FRZK, die Lernende nicht von außen steuern, sondern die sich aus der Dynamik des Lernens ergeben – und die Lehrkräfte gezielt verstärken oder sichtbar machen können.</w:t>
      </w:r>
    </w:p>
    <w:p w14:paraId="34E51C6A" w14:textId="3C0F6E2B" w:rsidR="007255CD" w:rsidRPr="00001353" w:rsidRDefault="007255CD" w:rsidP="007255CD">
      <w:pPr>
        <w:pStyle w:val="berschrift2"/>
      </w:pPr>
      <w:proofErr w:type="spellStart"/>
      <w:r>
        <w:t>Hubtypen</w:t>
      </w:r>
      <w:proofErr w:type="spellEnd"/>
    </w:p>
    <w:p w14:paraId="62B84C2C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1. Kognitive Hubs (Fokus: Wissens- und Verständnispeaks)</w:t>
      </w:r>
    </w:p>
    <w:p w14:paraId="534F2AE5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 xml:space="preserve">„Schlüsselfrage“ (z. B. </w:t>
      </w:r>
      <w:r w:rsidRPr="007255CD">
        <w:rPr>
          <w:i/>
          <w:iCs/>
        </w:rPr>
        <w:t>Warum fällt ein Apfel nach unten?</w:t>
      </w:r>
      <w:r w:rsidRPr="007255CD">
        <w:t>)</w:t>
      </w:r>
    </w:p>
    <w:p w14:paraId="1F2D7726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>„Kernbegriff-Einführung“ (Definition von Energie, Funktion, Vektor)</w:t>
      </w:r>
    </w:p>
    <w:p w14:paraId="2E40AC1F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lastRenderedPageBreak/>
        <w:t>„Konzeptuelle Brücke“ (Verbindung zweier Themenfelder, z. B. Mathematik ↔ Physik)</w:t>
      </w:r>
    </w:p>
    <w:p w14:paraId="0217E766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>„Fehleranalyse“ (gemeinsame Bearbeitung einer typischen Fehlvorstellung)</w:t>
      </w:r>
    </w:p>
    <w:p w14:paraId="6A14E821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2. Soziale Hubs (Fokus: Interaktion und Kooperation)</w:t>
      </w:r>
    </w:p>
    <w:p w14:paraId="3F1A1D0C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„Peer-Erklärung“ (</w:t>
      </w:r>
      <w:r w:rsidRPr="007255CD">
        <w:rPr>
          <w:i/>
          <w:iCs/>
        </w:rPr>
        <w:t>Erkläre deinem Partner deine Lösung</w:t>
      </w:r>
      <w:r w:rsidRPr="007255CD">
        <w:t>)</w:t>
      </w:r>
    </w:p>
    <w:p w14:paraId="67D924C8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„Diskussionsrunde“ (kontroverses Problem im Plenum)</w:t>
      </w:r>
    </w:p>
    <w:p w14:paraId="1064FB2E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„Gruppenentscheidung“ (gemeinsame Wahl einer Lösungsstrategie)</w:t>
      </w:r>
    </w:p>
    <w:p w14:paraId="0D04C41E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„Kooperationscheck“ (Absprachen, Rollenklärung)</w:t>
      </w:r>
    </w:p>
    <w:p w14:paraId="0AE4736A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3. Affektive Hubs (Fokus: Motivation, Resonanz, Emotion)</w:t>
      </w:r>
    </w:p>
    <w:p w14:paraId="792C6C0A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„Aha-Erlebnis“ (Überraschungsexperiment, plötzliche Einsicht)</w:t>
      </w:r>
    </w:p>
    <w:p w14:paraId="3839C73A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„Resonanzmoment“ (Verbindung zu Alltagsbeispiel, z. B. Smartphone-Physik)</w:t>
      </w:r>
    </w:p>
    <w:p w14:paraId="1B9CBED5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„Frustrationsauflösung“ (gezielte Hilfestellung nach Sackgasse)</w:t>
      </w:r>
    </w:p>
    <w:p w14:paraId="6751C526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„Erfolgserfahrung“ (kurzer Test mit positivem Feedback)</w:t>
      </w:r>
    </w:p>
    <w:p w14:paraId="47051F7E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4. Metakognitive Hubs (Fokus: Reflexion, Selbststeuerung)</w:t>
      </w:r>
    </w:p>
    <w:p w14:paraId="2A95F2B3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„Zwischenreflexion“ (</w:t>
      </w:r>
      <w:r w:rsidRPr="007255CD">
        <w:rPr>
          <w:i/>
          <w:iCs/>
        </w:rPr>
        <w:t>Wo stehen wir gerade?</w:t>
      </w:r>
      <w:r w:rsidRPr="007255CD">
        <w:t>)</w:t>
      </w:r>
    </w:p>
    <w:p w14:paraId="558C9345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„Lernweg-Skizze“ (Visualisierung des bisherigen Verlaufs)</w:t>
      </w:r>
    </w:p>
    <w:p w14:paraId="0CFA9A88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„Selbsteinschätzung“ (Ampelkarten, Skala 1–5)</w:t>
      </w:r>
    </w:p>
    <w:p w14:paraId="05070C6E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„Transferfrage“ (</w:t>
      </w:r>
      <w:r w:rsidRPr="007255CD">
        <w:rPr>
          <w:i/>
          <w:iCs/>
        </w:rPr>
        <w:t>Wie könnte man das in einem anderen Fach anwenden?</w:t>
      </w:r>
      <w:r w:rsidRPr="007255CD">
        <w:t>)</w:t>
      </w:r>
    </w:p>
    <w:p w14:paraId="7A749433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5. Didaktische/Methodische Hubs (Fokus: Struktur, Methodenwechsel)</w:t>
      </w:r>
    </w:p>
    <w:p w14:paraId="65666A3A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„Methodenbruch“ (Wechsel von Gruppenarbeit zu Experiment)</w:t>
      </w:r>
    </w:p>
    <w:p w14:paraId="25061D19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„Material-Peak“ (Einführung eines neuen Mediums, z. B. Simulation)</w:t>
      </w:r>
    </w:p>
    <w:p w14:paraId="7696FC61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„Aufgabenwende“ (von Reproduktion → offene Problemstellung)</w:t>
      </w:r>
    </w:p>
    <w:p w14:paraId="195D0D33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„Projektgipfel“ (Zwischenpräsentation, Pitch der Ergebnisse)</w:t>
      </w:r>
    </w:p>
    <w:p w14:paraId="21D03007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 xml:space="preserve">6. Datenbankgestützte Hubs (aus </w:t>
      </w:r>
      <w:proofErr w:type="spellStart"/>
      <w:r w:rsidRPr="007255CD">
        <w:rPr>
          <w:b/>
          <w:bCs/>
        </w:rPr>
        <w:t>icas.sql</w:t>
      </w:r>
      <w:proofErr w:type="spellEnd"/>
      <w:r w:rsidRPr="007255CD">
        <w:rPr>
          <w:b/>
          <w:bCs/>
        </w:rPr>
        <w:t>)</w:t>
      </w:r>
    </w:p>
    <w:p w14:paraId="4ACF2F7E" w14:textId="77777777" w:rsidR="007255CD" w:rsidRPr="007255CD" w:rsidRDefault="007255CD" w:rsidP="007255CD">
      <w:r w:rsidRPr="007255CD">
        <w:t xml:space="preserve">Aus </w:t>
      </w:r>
      <w:proofErr w:type="spellStart"/>
      <w:r w:rsidRPr="007255CD">
        <w:t>frzk_operatoren</w:t>
      </w:r>
      <w:proofErr w:type="spellEnd"/>
      <w:r w:rsidRPr="007255CD">
        <w:t xml:space="preserve"> und </w:t>
      </w:r>
      <w:proofErr w:type="spellStart"/>
      <w:r w:rsidRPr="007255CD">
        <w:t>frzk_semantische_dichte</w:t>
      </w:r>
      <w:proofErr w:type="spellEnd"/>
      <w:r w:rsidRPr="007255CD">
        <w:t xml:space="preserve"> können Hubs anhand signifikanter Peaks in σ-, M-, R-, E-Leveln und </w:t>
      </w:r>
      <w:proofErr w:type="spellStart"/>
      <w:r w:rsidRPr="007255CD">
        <w:t>dh</w:t>
      </w:r>
      <w:proofErr w:type="spellEnd"/>
      <w:r w:rsidRPr="007255CD">
        <w:t>/</w:t>
      </w:r>
      <w:proofErr w:type="spellStart"/>
      <w:r w:rsidRPr="007255CD">
        <w:t>dt</w:t>
      </w:r>
      <w:proofErr w:type="spellEnd"/>
      <w:r w:rsidRPr="007255CD">
        <w:t xml:space="preserve"> markiert werden, z. B.:</w:t>
      </w:r>
    </w:p>
    <w:p w14:paraId="095DE266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„σ-Hub“: Bedeutungsverdichtung (Einführung zentraler Inhalte).</w:t>
      </w:r>
    </w:p>
    <w:p w14:paraId="71C30C90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„M-Hub“: Meta-Reflexion (Diskurs über Vorgehen).</w:t>
      </w:r>
    </w:p>
    <w:p w14:paraId="62C5E247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„R-Hub“: Resonanzmoment (soziale Verstärkung).</w:t>
      </w:r>
    </w:p>
    <w:p w14:paraId="5C86A245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„E-Hub“: Emergenz (unerwartete neue Struktur).</w:t>
      </w:r>
    </w:p>
    <w:p w14:paraId="5AEB767D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15FA"/>
    <w:multiLevelType w:val="multilevel"/>
    <w:tmpl w:val="BF1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63D5"/>
    <w:multiLevelType w:val="multilevel"/>
    <w:tmpl w:val="52D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4362"/>
    <w:multiLevelType w:val="multilevel"/>
    <w:tmpl w:val="768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66C32"/>
    <w:multiLevelType w:val="multilevel"/>
    <w:tmpl w:val="08E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B48AF"/>
    <w:multiLevelType w:val="multilevel"/>
    <w:tmpl w:val="25627544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F8742FE"/>
    <w:multiLevelType w:val="multilevel"/>
    <w:tmpl w:val="928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C22"/>
    <w:multiLevelType w:val="multilevel"/>
    <w:tmpl w:val="6456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56B30"/>
    <w:multiLevelType w:val="multilevel"/>
    <w:tmpl w:val="B9C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D05B2"/>
    <w:multiLevelType w:val="multilevel"/>
    <w:tmpl w:val="5DB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98337">
    <w:abstractNumId w:val="0"/>
  </w:num>
  <w:num w:numId="2" w16cid:durableId="1423335309">
    <w:abstractNumId w:val="1"/>
  </w:num>
  <w:num w:numId="3" w16cid:durableId="321590616">
    <w:abstractNumId w:val="5"/>
  </w:num>
  <w:num w:numId="4" w16cid:durableId="1182209660">
    <w:abstractNumId w:val="9"/>
  </w:num>
  <w:num w:numId="5" w16cid:durableId="323290117">
    <w:abstractNumId w:val="11"/>
  </w:num>
  <w:num w:numId="6" w16cid:durableId="458453504">
    <w:abstractNumId w:val="7"/>
  </w:num>
  <w:num w:numId="7" w16cid:durableId="12414087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284114">
    <w:abstractNumId w:val="6"/>
  </w:num>
  <w:num w:numId="9" w16cid:durableId="272396185">
    <w:abstractNumId w:val="4"/>
  </w:num>
  <w:num w:numId="10" w16cid:durableId="970134853">
    <w:abstractNumId w:val="2"/>
  </w:num>
  <w:num w:numId="11" w16cid:durableId="336885723">
    <w:abstractNumId w:val="3"/>
  </w:num>
  <w:num w:numId="12" w16cid:durableId="812868997">
    <w:abstractNumId w:val="8"/>
  </w:num>
  <w:num w:numId="13" w16cid:durableId="64979483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53"/>
    <w:rsid w:val="00001353"/>
    <w:rsid w:val="000467F2"/>
    <w:rsid w:val="00082214"/>
    <w:rsid w:val="00106528"/>
    <w:rsid w:val="001830F2"/>
    <w:rsid w:val="0019229D"/>
    <w:rsid w:val="002B03D4"/>
    <w:rsid w:val="002D4202"/>
    <w:rsid w:val="002E79DD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255CD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5547"/>
  <w15:chartTrackingRefBased/>
  <w15:docId w15:val="{D314927F-D9D5-413D-921F-0FCBF3EC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6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001353"/>
  </w:style>
  <w:style w:type="character" w:customStyle="1" w:styleId="mord">
    <w:name w:val="mord"/>
    <w:basedOn w:val="Absatz-Standardschriftart"/>
    <w:rsid w:val="00001353"/>
  </w:style>
  <w:style w:type="character" w:customStyle="1" w:styleId="vlist-s">
    <w:name w:val="vlist-s"/>
    <w:basedOn w:val="Absatz-Standardschriftart"/>
    <w:rsid w:val="00001353"/>
  </w:style>
  <w:style w:type="character" w:customStyle="1" w:styleId="mrel">
    <w:name w:val="mrel"/>
    <w:basedOn w:val="Absatz-Standardschriftart"/>
    <w:rsid w:val="00001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488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2025-09-19T08:43:00Z</dcterms:created>
  <dcterms:modified xsi:type="dcterms:W3CDTF">2025-09-24T05:36:00Z</dcterms:modified>
</cp:coreProperties>
</file>