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A8026" w14:textId="77777777" w:rsidR="000A3993" w:rsidRDefault="000A3993" w:rsidP="000A399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Kapitel 3, "Iterative Konstruktion eines funktionalen Bezugssystems</w:t>
      </w:r>
    </w:p>
    <w:p w14:paraId="78AE7767" w14:textId="295AC73F" w:rsidR="000A3993" w:rsidRPr="000A3993" w:rsidRDefault="000A3993" w:rsidP="000A3993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 Ausgangspunkt: Das Nichts (</w:t>
      </w:r>
      <w:r w:rsidRPr="000A3993">
        <w:rPr>
          <w:rFonts w:ascii="Cambria Math" w:eastAsia="Times New Roman" w:hAnsi="Cambria Math" w:cs="Cambria Math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∅</w:t>
      </w: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) – Philosophische und mathematische Fundierung:</w:t>
      </w:r>
    </w:p>
    <w:p w14:paraId="58279BA2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Axiomatische Mengenlehre: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Das Leermengenaxiom der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Zermelo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-Fraenkel-Mengenlehre (ZF) wird formuliert als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∃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x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∀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y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¬(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y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∈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x) </w:t>
      </w:r>
      <w:hyperlink r:id="rId5" w:tooltip="Reference 17 (source not available)" w:history="1">
        <w:r w:rsidRPr="000A3993">
          <w:rPr>
            <w:rFonts w:ascii="Arial" w:eastAsia="Times New Roman" w:hAnsi="Arial" w:cs="Arial"/>
            <w:color w:val="2563EB"/>
            <w:sz w:val="18"/>
            <w:szCs w:val="18"/>
            <w:bdr w:val="single" w:sz="2" w:space="0" w:color="E4E4E7" w:frame="1"/>
            <w:shd w:val="clear" w:color="auto" w:fill="FAFAFA"/>
            <w:vertAlign w:val="superscript"/>
            <w:lang w:eastAsia="de-DE"/>
          </w:rPr>
          <w:t>17</w:t>
        </w:r>
      </w:hyperlink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. Dies postuliert die Existenz einer Menge ohne Elemente, symbolisiert durch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∅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028A8161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3.2 Erste Entität: Der Initialpunkt – Abstraktion und Unterscheidbarkeit:</w:t>
      </w:r>
    </w:p>
    <w:p w14:paraId="16920C74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Mengenlehre: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Der Initialpunkt wird als einzelnes Element I einer Grundmenge M = {I} aufgefasst </w:t>
      </w:r>
      <w:hyperlink r:id="rId6" w:tooltip="Reference 17 (source not available)" w:history="1">
        <w:r w:rsidRPr="000A3993">
          <w:rPr>
            <w:rFonts w:ascii="Arial" w:eastAsia="Times New Roman" w:hAnsi="Arial" w:cs="Arial"/>
            <w:color w:val="2563EB"/>
            <w:sz w:val="18"/>
            <w:szCs w:val="18"/>
            <w:bdr w:val="single" w:sz="2" w:space="0" w:color="E4E4E7" w:frame="1"/>
            <w:shd w:val="clear" w:color="auto" w:fill="FAFAFA"/>
            <w:vertAlign w:val="superscript"/>
            <w:lang w:eastAsia="de-DE"/>
          </w:rPr>
          <w:t>17</w:t>
        </w:r>
      </w:hyperlink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 Dies bildet den minimalen nichtleeren Fall in der Mengenlehre.</w:t>
      </w:r>
    </w:p>
    <w:p w14:paraId="7BF48A0B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3.3 Das funktionale Bezugssystem: Konstruktion, Konzeption und erkenntnistheoretische Relevanz:</w:t>
      </w:r>
    </w:p>
    <w:p w14:paraId="6F60B8E9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Funktionale Relationen: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Raum wird als ein System funktionaler Relationen dargestellt, wobei einem Punkt U durch Funktionen x(U), y(U), z(U) ein Koordinatentripel zugewiesen wird. Die Differenz zweier Punkte ist nur durch die Differenz ihrer Funktionswerte definiert.</w:t>
      </w:r>
    </w:p>
    <w:p w14:paraId="6CA2B8A7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3.4 Raumfunktionen x(U), y(U), z(U): Die Emergenz des Ortes – Eine vertiefte Analyse:</w:t>
      </w:r>
    </w:p>
    <w:p w14:paraId="3992E22B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Raumfunktionen: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Jedem Bezugspunkt U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∈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M wird ein Tripel reeller Zahlen zugeordnet: x, y, z : M →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, U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↦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(x(U), y(U), z(U)) </w:t>
      </w:r>
      <w:hyperlink r:id="rId7" w:tooltip="Reference 46 (source not available)" w:history="1">
        <w:r w:rsidRPr="000A3993">
          <w:rPr>
            <w:rFonts w:ascii="Arial" w:eastAsia="Times New Roman" w:hAnsi="Arial" w:cs="Arial"/>
            <w:color w:val="2563EB"/>
            <w:sz w:val="18"/>
            <w:szCs w:val="18"/>
            <w:bdr w:val="single" w:sz="2" w:space="0" w:color="E4E4E7" w:frame="1"/>
            <w:shd w:val="clear" w:color="auto" w:fill="FAFAFA"/>
            <w:vertAlign w:val="superscript"/>
            <w:lang w:eastAsia="de-DE"/>
          </w:rPr>
          <w:t>46</w:t>
        </w:r>
      </w:hyperlink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52FB5D11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Metrikfreiheit</w:t>
      </w:r>
      <w:proofErr w:type="spellEnd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Es wird keine a priori-Metrik angenommen. Im klassischen euklidischen Raum ist die Struktur durch die Metrik ds2 = dx2 + dy2 + dz2 vorgegeben, aber das funktionale System erlaubt eine offenere Konstruktion.</w:t>
      </w:r>
    </w:p>
    <w:p w14:paraId="102E4007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Verallgemeinerung auf höhere Dimensionen: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Die Raumfunktionen lassen sich auf beliebige Dimensionen erweitern: x1(U), x2(U), …,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(U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 :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M → </w:t>
      </w:r>
      <w:proofErr w:type="spellStart"/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595B00C4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Diskretisierung</w:t>
      </w:r>
      <w:proofErr w:type="spellEnd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In digitalen Modellen wird Raum diskret beschrieben: x, y,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 :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MZ →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ℤ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3, U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↦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(x(U), y(U), z(U)).</w:t>
      </w:r>
    </w:p>
    <w:p w14:paraId="13395033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 xml:space="preserve">3.5 Die </w:t>
      </w:r>
      <w:proofErr w:type="spellStart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Brane</w:t>
      </w:r>
      <w:proofErr w:type="spellEnd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 xml:space="preserve">-Funktion </w:t>
      </w:r>
      <w:proofErr w:type="gramStart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h(</w:t>
      </w:r>
      <w:proofErr w:type="gramEnd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x, y, z): Strukturierung des funktionalen Raumes:</w:t>
      </w:r>
    </w:p>
    <w:p w14:paraId="18C664B5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proofErr w:type="spellStart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Brane</w:t>
      </w:r>
      <w:proofErr w:type="spellEnd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-Funktion: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Definiert als eine skalare Feldfunktion h: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3 →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, (x, y, z)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↦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 y, z). Die Werte von h(</w:t>
      </w:r>
      <w:proofErr w:type="spellStart"/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x,y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,z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 können als Gravitationspotential, Energiedichte usw. interpretiert werden.</w:t>
      </w:r>
    </w:p>
    <w:p w14:paraId="0E1245BB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Raum-Zeit-Metrik: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Eine mögliche Form lautet ds2 = -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 y) dt2 + 1/f(x, y) (dx2 + dy2).</w:t>
      </w:r>
    </w:p>
    <w:p w14:paraId="6E09BF78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3.6 Funktional erzeugte Metrik: Geometrie aus innerer Struktur:</w:t>
      </w:r>
    </w:p>
    <w:p w14:paraId="070342B4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Funktional erzeugte Metrik: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Eine Metrik g auf einem Raum M ist eine symmetrische, positiv-definite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Bilinearform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, die jedem Punkt p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∈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M eine lokale Längenstruktur zuweist. Im funktionalen Ansatz wird g jedoch als 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 xml:space="preserve">Funktion der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Brane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-Funktion definiert: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μν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x, y, z) =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Gμν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(h(x, y, z), ∂αh, ∂α∂βh).</w:t>
      </w:r>
    </w:p>
    <w:p w14:paraId="23229A48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Kausalität und Lichtkegelstruktur: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In einer Metrik ds2 = -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 y, z) dt2 + 1/h(x, y, z) (dx2 + dy2 + dz2) hängt die lokale Lichtgeschwindigkeit c(x, y, z) direkt von h ab.</w:t>
      </w:r>
    </w:p>
    <w:p w14:paraId="01857A0D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Eigenzeit: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Die Eigenzeit τ eines Beobachters mit Weltlinie γ ergibt sich durch: τ = ∫γ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√(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-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gμν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dxμ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dxν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).</w:t>
      </w:r>
    </w:p>
    <w:p w14:paraId="78A7F98B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3.7 Funktionale Dynamik und Kausalität im strukturierten Raum:</w:t>
      </w:r>
    </w:p>
    <w:p w14:paraId="5F1D4BDF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Lagrange-Formalismus: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Die Lagrange-Funktion erhält eine feldabhängige Form: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L(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 x˙, t) = 1/2 m x˙2 - h(x). Die Euler-Lagrange-Gleichung führt zu einer Bewegungsgleichung, in der die Feldstruktur direkt die Dynamik bestimmt.</w:t>
      </w:r>
    </w:p>
    <w:p w14:paraId="01F4917E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Hamilton-Formalismus: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Der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Hamiltonian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 p) = p2/2m + h(x) erlaubt eine alternative Beschreibung der Dynamik durch das Paar: x˙ = ∂H/∂p, p˙ = -∂H/∂x.</w:t>
      </w:r>
    </w:p>
    <w:p w14:paraId="1E7E3C55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Energie und Impuls: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Energie und Impulsverteilungen können sich durch strukturelle Veränderungen in h(x) verändern: E(x) = 1/2 m x˙2 + h(x), p = ∂L/∂x˙ = m x˙.</w:t>
      </w:r>
    </w:p>
    <w:p w14:paraId="6BDD4D23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3.8 Strukturierung des Raums durch Wechselwirkung:</w:t>
      </w:r>
    </w:p>
    <w:p w14:paraId="23E53AC4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Feld-Funktionen: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Ein klassisches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Skalarfeld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wird als Abbildung der Form definiert: Ψ: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4 →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ℂ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, (x, y, z, t)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↦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Ψ(x, y, z, t) </w:t>
      </w:r>
      <w:hyperlink r:id="rId8" w:tooltip="Reference 68 (source not available)" w:history="1">
        <w:r w:rsidRPr="000A3993">
          <w:rPr>
            <w:rFonts w:ascii="Arial" w:eastAsia="Times New Roman" w:hAnsi="Arial" w:cs="Arial"/>
            <w:color w:val="2563EB"/>
            <w:sz w:val="18"/>
            <w:szCs w:val="18"/>
            <w:bdr w:val="single" w:sz="2" w:space="0" w:color="E4E4E7" w:frame="1"/>
            <w:shd w:val="clear" w:color="auto" w:fill="FAFAFA"/>
            <w:vertAlign w:val="superscript"/>
            <w:lang w:eastAsia="de-DE"/>
          </w:rPr>
          <w:t>68</w:t>
        </w:r>
      </w:hyperlink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2C0C3F34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Feldgleichungen: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Die Dynamik von Feldern wird durch Feldgleichungen bestimmt, wie die Maxwell-Gleichungen, Einstein-Gleichungen, Dirac-Gleichung und Klein-Gordon-Gleichung </w:t>
      </w:r>
      <w:hyperlink r:id="rId9" w:tooltip="Reference 70 (source not available)" w:history="1">
        <w:r w:rsidRPr="000A3993">
          <w:rPr>
            <w:rFonts w:ascii="Arial" w:eastAsia="Times New Roman" w:hAnsi="Arial" w:cs="Arial"/>
            <w:color w:val="2563EB"/>
            <w:sz w:val="18"/>
            <w:szCs w:val="18"/>
            <w:bdr w:val="single" w:sz="2" w:space="0" w:color="E4E4E7" w:frame="1"/>
            <w:shd w:val="clear" w:color="auto" w:fill="FAFAFA"/>
            <w:vertAlign w:val="superscript"/>
            <w:lang w:eastAsia="de-DE"/>
          </w:rPr>
          <w:t>70</w:t>
        </w:r>
      </w:hyperlink>
      <w:hyperlink r:id="rId10" w:tooltip="Reference 71 (source not available)" w:history="1">
        <w:r w:rsidRPr="000A3993">
          <w:rPr>
            <w:rFonts w:ascii="Arial" w:eastAsia="Times New Roman" w:hAnsi="Arial" w:cs="Arial"/>
            <w:color w:val="2563EB"/>
            <w:sz w:val="18"/>
            <w:szCs w:val="18"/>
            <w:bdr w:val="single" w:sz="2" w:space="0" w:color="E4E4E7" w:frame="1"/>
            <w:shd w:val="clear" w:color="auto" w:fill="FAFAFA"/>
            <w:vertAlign w:val="superscript"/>
            <w:lang w:eastAsia="de-DE"/>
          </w:rPr>
          <w:t>71</w:t>
        </w:r>
      </w:hyperlink>
      <w:hyperlink r:id="rId11" w:tooltip="Reference 72 (source not available)" w:history="1">
        <w:r w:rsidRPr="000A3993">
          <w:rPr>
            <w:rFonts w:ascii="Arial" w:eastAsia="Times New Roman" w:hAnsi="Arial" w:cs="Arial"/>
            <w:color w:val="2563EB"/>
            <w:sz w:val="18"/>
            <w:szCs w:val="18"/>
            <w:bdr w:val="single" w:sz="2" w:space="0" w:color="E4E4E7" w:frame="1"/>
            <w:shd w:val="clear" w:color="auto" w:fill="FAFAFA"/>
            <w:vertAlign w:val="superscript"/>
            <w:lang w:eastAsia="de-DE"/>
          </w:rPr>
          <w:t>72</w:t>
        </w:r>
      </w:hyperlink>
      <w:hyperlink r:id="rId12" w:tooltip="Reference 73 (source not available)" w:history="1">
        <w:r w:rsidRPr="000A3993">
          <w:rPr>
            <w:rFonts w:ascii="Arial" w:eastAsia="Times New Roman" w:hAnsi="Arial" w:cs="Arial"/>
            <w:color w:val="2563EB"/>
            <w:sz w:val="18"/>
            <w:szCs w:val="18"/>
            <w:bdr w:val="single" w:sz="2" w:space="0" w:color="E4E4E7" w:frame="1"/>
            <w:shd w:val="clear" w:color="auto" w:fill="FAFAFA"/>
            <w:vertAlign w:val="superscript"/>
            <w:lang w:eastAsia="de-DE"/>
          </w:rPr>
          <w:t>73</w:t>
        </w:r>
      </w:hyperlink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6CE18B19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 xml:space="preserve">3.9 Akteur-Funktionen </w:t>
      </w:r>
      <w:proofErr w:type="gramStart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A(</w:t>
      </w:r>
      <w:proofErr w:type="gramEnd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Ψ, x, y, z, t): Intentionale Systeme – Vom Feld zur Bedeutung:</w:t>
      </w:r>
    </w:p>
    <w:p w14:paraId="23A23CCA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Akteur-Funktion: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Formal definiert als A: F ×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3 ×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→ H, (Ψ, x, y, z, t)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↦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Ψ, x, y, z, t). Dabei ist F der Raum aller möglichen Feldzustände, (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x,y,z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 der Ort, t die Zeit, und H der Raum möglicher Handlungen </w:t>
      </w:r>
      <w:hyperlink r:id="rId13" w:tooltip="Reference 81 (source not available)" w:history="1">
        <w:r w:rsidRPr="000A3993">
          <w:rPr>
            <w:rFonts w:ascii="Arial" w:eastAsia="Times New Roman" w:hAnsi="Arial" w:cs="Arial"/>
            <w:color w:val="2563EB"/>
            <w:sz w:val="18"/>
            <w:szCs w:val="18"/>
            <w:bdr w:val="single" w:sz="2" w:space="0" w:color="E4E4E7" w:frame="1"/>
            <w:shd w:val="clear" w:color="auto" w:fill="FAFAFA"/>
            <w:vertAlign w:val="superscript"/>
            <w:lang w:eastAsia="de-DE"/>
          </w:rPr>
          <w:t>81</w:t>
        </w:r>
      </w:hyperlink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p w14:paraId="2202CADB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 xml:space="preserve">3.10 Meta-Funktionen </w:t>
      </w:r>
      <w:proofErr w:type="gramStart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M(</w:t>
      </w:r>
      <w:proofErr w:type="gramEnd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A, Ψ, x, y, z, t): Reflexive Beobachtung – Vom Akteur zum System:</w:t>
      </w:r>
    </w:p>
    <w:p w14:paraId="602CF33F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Meta-Funktion: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Formal definiert als M: A × F ×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3 ×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→ O, (A, Ψ, x, y, z, t)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↦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M(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A, Ψ, x, y, z, t), wobei O der Raum möglicher Beobachtungen ist.</w:t>
      </w:r>
    </w:p>
    <w:p w14:paraId="377CA0DD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3.11 Modellierung von Beobachter-Transformationen: Invarianz und Perspektivität im funktionalen Raum:</w:t>
      </w:r>
    </w:p>
    <w:p w14:paraId="4334041E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Beobachter-Transformationen: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Abbildungen zwischen verschiedenen Meta-Funktionen bzw. Beobachterperspektiven, formalisiert als T: M → M, M1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↦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M2 = T(M1).</w:t>
      </w:r>
    </w:p>
    <w:p w14:paraId="3D8ED7D4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3.12 Integrale Funktionalität: Emergenz höherer Ordnung – Vom System zur Bedeutung:</w:t>
      </w:r>
    </w:p>
    <w:p w14:paraId="2BFAAD31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Integrale Funktionalität: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Mathematisch beschrieben als B(t) = ∫M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x, y, z, t)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⋅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σ(x, y, z, t)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dV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 wobei σ(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x,y,z,t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) die semantische Dichte, 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w(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x,y,z,t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 die Gewichtungsfunktion und B(t) die aggregierte Bedeutung ist.</w:t>
      </w:r>
    </w:p>
    <w:p w14:paraId="4AD30E16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3.13 Bedeutungsfelder und semantische Attraktoren:</w:t>
      </w:r>
    </w:p>
    <w:p w14:paraId="1DD0414E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Semantische Dichtefunktion: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σ: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3 ×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→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, (x, y, z, t)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↦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 y, z, t).</w:t>
      </w:r>
    </w:p>
    <w:p w14:paraId="5966029C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Dynamik: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∂σ/∂t = D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∇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2σ -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∇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⋅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(σ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∇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V), mit einem semantischen Potential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x, y, z, t) = ∑i=1N αi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⋅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e-βi || r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⃗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-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r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⃗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(t) ||2.</w:t>
      </w:r>
    </w:p>
    <w:p w14:paraId="397EFA22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Erweiterung: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∂σ/∂t = D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∇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2σ -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∇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⋅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(σ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∇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V) + λ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⋅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 y, z, t), wobei P(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x,y,z,t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) die subjektive Relevanzwahrnehmung modelliert.</w:t>
      </w:r>
    </w:p>
    <w:p w14:paraId="574EAD90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3.14 Meta-Strukturen symbolischer Welten:</w:t>
      </w:r>
    </w:p>
    <w:p w14:paraId="00654489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Semantische Räume: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Symbolische Welten lassen sich als Teilräume Σ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⊆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ℝ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modellieren, auf die durch einen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Constraint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-Operator C[σ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](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x, y, z, t) projiziert wird.</w:t>
      </w:r>
    </w:p>
    <w:p w14:paraId="4802D95E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3.15 Reflexion, Diskurs und Metakognition:</w:t>
      </w:r>
    </w:p>
    <w:p w14:paraId="3059BB53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Reflexionsprozess: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σ' = R[σ] =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σ, C), wobei σ die ursprüngliche semantische Konfiguration, C die Kontext- oder Normstruktur, T die Transformation und σ' die resultierende Bedeutungskonfiguration ist.</w:t>
      </w:r>
    </w:p>
    <w:p w14:paraId="7D742EA6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Diskurs: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σDiskurs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= D[{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}i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=1N] = A(σ1, …,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), wobei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σi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die Bedeutungsstruktur eines einzelnen Akteurs und A die Aggregationsregel ist.</w:t>
      </w:r>
    </w:p>
    <w:p w14:paraId="6D2E8BCA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Metakognition: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Kn+1 =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M(</w:t>
      </w:r>
      <w:proofErr w:type="spellStart"/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,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), wobei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der kognitive Zustand,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der Input und M die Metakognitionsfunktion ist.</w:t>
      </w:r>
    </w:p>
    <w:p w14:paraId="2DB5BD65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3.16 Semantische Evolution und kulturelle Entwicklung:</w:t>
      </w:r>
    </w:p>
    <w:p w14:paraId="302F8CA8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Agentenbasierte Simulationen: Σ(t) =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⋃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i=1N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σi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(t).</w:t>
      </w:r>
    </w:p>
    <w:p w14:paraId="2B33CF04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Netzwerktheorie: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Gt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= (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Vt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, Et), mit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Vt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: Begriffsmenge und Et: semantische Relationen.</w:t>
      </w:r>
    </w:p>
    <w:p w14:paraId="7D9998F4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Dynamische Systeme: ∂σ/∂t = D </w:t>
      </w:r>
      <w:r w:rsidRPr="000A3993">
        <w:rPr>
          <w:rFonts w:ascii="Cambria Math" w:eastAsia="Times New Roman" w:hAnsi="Cambria Math" w:cs="Cambria Math"/>
          <w:color w:val="3F3F46"/>
          <w:sz w:val="24"/>
          <w:szCs w:val="24"/>
          <w:lang w:eastAsia="de-DE"/>
        </w:rPr>
        <w:t>∇</w:t>
      </w: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2σ + </w:t>
      </w:r>
      <w:proofErr w:type="gram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F(</w:t>
      </w:r>
      <w:proofErr w:type="gram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σ, C, M).</w:t>
      </w:r>
    </w:p>
    <w:p w14:paraId="088DB3F1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3.17 Metatheorie intentionaler Systeme:</w:t>
      </w:r>
    </w:p>
    <w:p w14:paraId="3F3CDC39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I(t) = E(R(M(D(S(σ))))), wobei σ das semantische Ursprungsfeld, S die symbolische Meta-Struktur, D der Diskursoperator, M der Metakognitionsoperator, R der Reflexionsoperator und E die </w:t>
      </w:r>
      <w:proofErr w:type="spellStart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Emergenzfunktion</w:t>
      </w:r>
      <w:proofErr w:type="spellEnd"/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ist.</w:t>
      </w:r>
    </w:p>
    <w:p w14:paraId="1CD94EFA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3.18 Methodologische Konsequenzen: Wie kann die Theorie intentionaler Systeme empirisch oder simulationsbasiert untersucht werden?</w:t>
      </w:r>
    </w:p>
    <w:p w14:paraId="57B77F3F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keine expliziten mathematischen Formeln</w:t>
      </w:r>
    </w:p>
    <w:p w14:paraId="35997718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3.19 Ethik und Verantwortung in intentionalen Systemen:</w:t>
      </w:r>
    </w:p>
    <w:p w14:paraId="5B7A9A13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keine expliziten mathematischen Formeln</w:t>
      </w:r>
    </w:p>
    <w:p w14:paraId="0975BA40" w14:textId="77777777" w:rsidR="000A3993" w:rsidRPr="000A3993" w:rsidRDefault="000A3993" w:rsidP="000A3993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 xml:space="preserve">3.20 Epilog: Die Zukunft funktionaler Bezugssysteme – Eine philosophische </w:t>
      </w:r>
      <w:proofErr w:type="spellStart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Ausblicksreflexion</w:t>
      </w:r>
      <w:proofErr w:type="spellEnd"/>
      <w:r w:rsidRPr="000A3993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 xml:space="preserve"> zur Rolle dieser Modelle in Wissenschaft, Gesellschaft und Technik:</w:t>
      </w:r>
    </w:p>
    <w:p w14:paraId="0476D995" w14:textId="77777777" w:rsidR="000A3993" w:rsidRPr="000A3993" w:rsidRDefault="000A3993" w:rsidP="000A3993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3993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keine expliziten mathematischen Formeln</w:t>
      </w:r>
    </w:p>
    <w:p w14:paraId="2A2A5168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01A96"/>
    <w:multiLevelType w:val="multilevel"/>
    <w:tmpl w:val="370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93"/>
    <w:rsid w:val="000A3993"/>
    <w:rsid w:val="00106528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1B42"/>
  <w15:chartTrackingRefBased/>
  <w15:docId w15:val="{145E7BE2-176D-47F5-8570-1EB10257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paragraph" w:styleId="StandardWeb">
    <w:name w:val="Normal (Web)"/>
    <w:basedOn w:val="Standard"/>
    <w:uiPriority w:val="99"/>
    <w:semiHidden/>
    <w:unhideWhenUsed/>
    <w:rsid w:val="000A3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0A3993"/>
    <w:rPr>
      <w:b/>
      <w:bCs/>
    </w:rPr>
  </w:style>
  <w:style w:type="character" w:customStyle="1" w:styleId="underline">
    <w:name w:val="underline"/>
    <w:basedOn w:val="Absatz-Standardschriftart"/>
    <w:rsid w:val="000A3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tmerlin.in/de/chat/50233d65-e355-4275-b575-0e6c43b9c81a" TargetMode="External"/><Relationship Id="rId13" Type="http://schemas.openxmlformats.org/officeDocument/2006/relationships/hyperlink" Target="https://www.getmerlin.in/de/chat/50233d65-e355-4275-b575-0e6c43b9c81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tmerlin.in/de/chat/50233d65-e355-4275-b575-0e6c43b9c81a" TargetMode="External"/><Relationship Id="rId12" Type="http://schemas.openxmlformats.org/officeDocument/2006/relationships/hyperlink" Target="https://www.getmerlin.in/de/chat/50233d65-e355-4275-b575-0e6c43b9c81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tmerlin.in/de/chat/50233d65-e355-4275-b575-0e6c43b9c81a" TargetMode="External"/><Relationship Id="rId11" Type="http://schemas.openxmlformats.org/officeDocument/2006/relationships/hyperlink" Target="https://www.getmerlin.in/de/chat/50233d65-e355-4275-b575-0e6c43b9c81a" TargetMode="External"/><Relationship Id="rId5" Type="http://schemas.openxmlformats.org/officeDocument/2006/relationships/hyperlink" Target="https://www.getmerlin.in/de/chat/50233d65-e355-4275-b575-0e6c43b9c81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etmerlin.in/de/chat/50233d65-e355-4275-b575-0e6c43b9c81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tmerlin.in/de/chat/50233d65-e355-4275-b575-0e6c43b9c81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1074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2025-06-06T18:22:00Z</dcterms:created>
  <dcterms:modified xsi:type="dcterms:W3CDTF">2025-06-06T18:24:00Z</dcterms:modified>
</cp:coreProperties>
</file>