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8E8F" w14:textId="77777777" w:rsidR="00121132" w:rsidRDefault="00121132" w:rsidP="00121132">
      <w:pPr>
        <w:pStyle w:val="berschrift1"/>
      </w:pPr>
      <w:r>
        <w:t xml:space="preserve">4. Vorhersagen </w:t>
      </w:r>
      <w:proofErr w:type="gramStart"/>
      <w:r>
        <w:t>des  Funktionales</w:t>
      </w:r>
      <w:proofErr w:type="gramEnd"/>
      <w:r>
        <w:t xml:space="preserve"> Raum-Zeit-Kohärenzsystem (FRZK)</w:t>
      </w:r>
    </w:p>
    <w:p w14:paraId="67BBE8E0" w14:textId="77777777" w:rsidR="00121132" w:rsidRDefault="00121132" w:rsidP="00121132">
      <w:r>
        <w:t>Das Funktionale Raum-Zeit-Kohärenzsystem (FRZK) formuliert keine Vorhersagen im Sinne klassischer empirischer Theorien, die konkrete Einzelereignisse prognostizieren, sondern modellinterne Konsequenzen, die sich aus seiner funktionalen Architektur systematisch ableiten lassen. Diese „Vorhersagen“ sind strukturelle Implikationen eines metatheoretischen Rahmens zur Beschreibung von Realität und Erkenntnis, wie er in Kapitel 3 entwickelt wurde. Sie betreffen nicht den Inhalt physikalischer Weltzustände, sondern die generative Logik, mit der sich Raum, Zeit, Kausalität, Bedeutung und Beobachtung innerhalb eines konstruktiven Bezugssystems entfalten können.</w:t>
      </w:r>
    </w:p>
    <w:p w14:paraId="2EE1CCEA" w14:textId="77777777" w:rsidR="00121132" w:rsidRDefault="00121132" w:rsidP="00121132">
      <w:r>
        <w:t>Der Begriff der „Vorhersage“ ist daher im Kontext des FRZK epistemologisch zu verstehen: als Ableitung modelllogischer Konsequenzen aus einem funktional erzeugten System. Diese Konsequenzen entstehen durch die iterative Entwicklung von Differenz, Koordination, Feldstruktur und Beobachtungsebene – beginnend bei der leeren Menge (</w:t>
      </w:r>
      <w:r>
        <w:rPr>
          <w:rFonts w:ascii="Cambria Math" w:hAnsi="Cambria Math" w:cs="Cambria Math"/>
        </w:rPr>
        <w:t>∅</w:t>
      </w:r>
      <w:r>
        <w:t xml:space="preserve">) </w:t>
      </w:r>
      <w:r>
        <w:rPr>
          <w:rFonts w:ascii="Times New Roman" w:hAnsi="Times New Roman"/>
        </w:rPr>
        <w:t>ü</w:t>
      </w:r>
      <w:r>
        <w:t>ber Initialpunkt, Raumfunktionen, Metriken und Dynamiken bis hin zu intentionalen und reflexiven Strukturen. Jeder Vorhersagetyp steht dabei in direkter Verbindung zur jeweiligen Schicht des funktionalen Systems.</w:t>
      </w:r>
    </w:p>
    <w:p w14:paraId="277F0A4C" w14:textId="77777777" w:rsidR="00121132" w:rsidRDefault="00121132" w:rsidP="00121132">
      <w:r>
        <w:t>Das FRZK kann somit als eine Architektur gelesen werden, die nicht nur bestehende Phänomene rekonstruieren, sondern auch neue Ordnungsmöglichkeiten für komplexe Systeme aufzeigen kann – in Physik, Kognitionswissenschaft, Didaktik oder Technikreflexion. Die im Folgenden dargestellten Modellkonsequenzen sind daher weniger als empirisch verifizierbare Hypothesen zu verstehen, sondern als systemisch begründete Prinzipien, die sich aus der internen Logik des funktionalen Referenzsystems ergeben und Rückwirkungen auf Theoriebildung, Modellkonstruktion und epistemische Praxis entfalten.</w:t>
      </w:r>
    </w:p>
    <w:p w14:paraId="4FBABE8E" w14:textId="580B899E" w:rsidR="00121132" w:rsidRDefault="00121132" w:rsidP="00121132">
      <w:r>
        <w:t>In den folgenden Abschnitten werden die zentralen Vorhersagen des FRZK zusammengefasst.</w:t>
      </w:r>
    </w:p>
    <w:p w14:paraId="4DAB463E" w14:textId="064E25CA" w:rsidR="00DD5A28" w:rsidRDefault="00DD5A28" w:rsidP="00121132">
      <w:r>
        <w:sym w:font="Wingdings" w:char="F0E0"/>
      </w:r>
    </w:p>
    <w:p w14:paraId="79076DB7" w14:textId="77777777" w:rsidR="00DD5A28" w:rsidRDefault="00DD5A28" w:rsidP="00DD5A28">
      <w:pPr>
        <w:pStyle w:val="StandardWeb"/>
      </w:pPr>
      <w:r>
        <w:t xml:space="preserve">Das Funktionale Raum-Zeit-Kohärenzsystem (FRZK) formuliert keine Vorhersagen im Sinne empirischer Theorien, wie sie etwa in der klassischen Naturwissenschaft üblich sind – also keine spezifischen Aussagen über zukünftige Einzelereignisse mit probabilistischer Absicherung. Stattdessen handelt es sich um </w:t>
      </w:r>
      <w:r>
        <w:rPr>
          <w:rStyle w:val="Fett"/>
        </w:rPr>
        <w:t>modelllogische Konsequenzen</w:t>
      </w:r>
      <w:r>
        <w:t>, die sich aus der inneren Struktur des FRZK systematisch ableiten lassen. Solche Konsequenzen sind epistemologisch als „Vorhersagen“ zu verstehen, sofern sie sich als notwendig aus der spezifischen Konstruktion des funktionalen Bezugssystems ergeben und bestimmte formale Eigenschaften für mögliche Systeme oder Prozesse determinieren [1].</w:t>
      </w:r>
    </w:p>
    <w:p w14:paraId="2D09102D" w14:textId="77777777" w:rsidR="00DD5A28" w:rsidRDefault="00DD5A28" w:rsidP="00DD5A28">
      <w:pPr>
        <w:pStyle w:val="StandardWeb"/>
      </w:pPr>
      <w:r>
        <w:t>Diese Form von Vorhersage gründet auf einer spezifischen Form erkenntnistheoretischer Modellierung: Das FRZK operiert nicht mit ontologischen Grundannahmen über Raum, Zeit, Objektivität oder Kausalität, sondern entwickelt diese Begriffe selbst aus der iterativen Anwendung funktionaler Operationen – beginnend mit der Unterscheidung eines Initialpunkts (I) aus dem strukturlosen Zustand (</w:t>
      </w:r>
      <w:r>
        <w:rPr>
          <w:rFonts w:ascii="Cambria Math" w:hAnsi="Cambria Math" w:cs="Cambria Math"/>
        </w:rPr>
        <w:t>∅</w:t>
      </w:r>
      <w:r>
        <w:t xml:space="preserve">) [2]. In diesem Sinne beschreibt das Modell </w:t>
      </w:r>
      <w:r>
        <w:rPr>
          <w:rStyle w:val="Fett"/>
        </w:rPr>
        <w:t xml:space="preserve">nicht nur </w:t>
      </w:r>
      <w:r>
        <w:rPr>
          <w:rStyle w:val="Fett"/>
        </w:rPr>
        <w:lastRenderedPageBreak/>
        <w:t>die Welt</w:t>
      </w:r>
      <w:r>
        <w:t>, sondern erzeugt systemisch die konzeptuellen Bedingungen, unter denen überhaupt sinnvoll von „Welt“, „Beobachtung“, „Ordnung“ oder „Bedeutung“ gesprochen werden kann [3].</w:t>
      </w:r>
    </w:p>
    <w:p w14:paraId="4FBE4A37" w14:textId="77777777" w:rsidR="00DD5A28" w:rsidRDefault="00DD5A28" w:rsidP="00DD5A28">
      <w:pPr>
        <w:pStyle w:val="StandardWeb"/>
      </w:pPr>
      <w:r>
        <w:t xml:space="preserve">Diese emergente Struktur orientiert sich methodisch an formalen Fixpunktverfahren, Operatorlogiken und rekursiven Konstruktionsprinzipien, wie sie etwa in der mathematischen Systemtheorie, der funktionalen Physik (z. B. Feldtheorie, Stringtheorie) und der konstruktiven Erkenntnistheorie (z. B. bei Spencer-Brown, Varela, von Foerster) etabliert sind [4][5]. Vorhersagen im Sinne des FRZK sind daher das Resultat einer </w:t>
      </w:r>
      <w:r>
        <w:rPr>
          <w:rStyle w:val="Fett"/>
        </w:rPr>
        <w:t>strukturgenerierenden Architektur</w:t>
      </w:r>
      <w:r>
        <w:t>: Sie beziehen sich auf die internen Bedingungen der Modellbildung selbst und zielen auf Aussagen über die Form, Dynamik und Differenzierungslogik von Realität.</w:t>
      </w:r>
    </w:p>
    <w:p w14:paraId="5231FED7" w14:textId="3391E879" w:rsidR="00DD5A28" w:rsidRDefault="00DD5A28" w:rsidP="00DD5A28">
      <w:pPr>
        <w:pStyle w:val="StandardWeb"/>
      </w:pPr>
      <w:r>
        <w:t xml:space="preserve">Im Folgenden werden jene modellinternen Konsequenzen als „Vorhersagen“ des FRZK ausgewiesen, die sich mit systematischer Strenge aus den zugrunde gelegten Operationen und Funktionsprinzipien ableiten lassen. Jeder Abschnitt behandelt dabei ein spezifisches emergentes Phänomen (z. B. Raumzeit, Kausalität, Beobachtung, Bedeutung), dessen Entstehung, Struktur und Modifizierbarkeit innerhalb des funktionalen Rahmens rekonstruiert wird. Das Ziel ist keine empirische Verifikation im klassischen Sinn, sondern die </w:t>
      </w:r>
      <w:r>
        <w:rPr>
          <w:rStyle w:val="Fett"/>
        </w:rPr>
        <w:t>Begründung struktureller Notwendigkeit</w:t>
      </w:r>
      <w:r>
        <w:t xml:space="preserve"> innerhalb eines geschlossenen, aber anschlussfähigen Modells.</w:t>
      </w:r>
    </w:p>
    <w:p w14:paraId="7F903435" w14:textId="025A576F" w:rsidR="0050473A" w:rsidRDefault="0050473A" w:rsidP="00DD5A28">
      <w:pPr>
        <w:pStyle w:val="StandardWeb"/>
      </w:pPr>
      <w:r>
        <w:sym w:font="Wingdings" w:char="F0DF"/>
      </w:r>
    </w:p>
    <w:p w14:paraId="4A2D2939" w14:textId="77777777" w:rsidR="00121132" w:rsidRDefault="0050473A" w:rsidP="00121132">
      <w:bookmarkStart w:id="0" w:name="_qfz912g5z21i" w:colFirst="0" w:colLast="0"/>
      <w:bookmarkEnd w:id="0"/>
      <w:r>
        <w:pict w14:anchorId="7117D108">
          <v:rect id="_x0000_i1025" style="width:0;height:1.5pt" o:hralign="center" o:hrstd="t" o:hr="t" fillcolor="#a0a0a0" stroked="f"/>
        </w:pict>
      </w:r>
    </w:p>
    <w:p w14:paraId="41934F2A" w14:textId="77777777" w:rsidR="00121132" w:rsidRDefault="00121132" w:rsidP="00121132">
      <w:pPr>
        <w:pStyle w:val="berschrift1"/>
      </w:pPr>
      <w:r>
        <w:t>4.1 Emergenz von Realität durch funktionale Zuweisungen</w:t>
      </w:r>
    </w:p>
    <w:p w14:paraId="4B50E7D5" w14:textId="77777777" w:rsidR="00121132" w:rsidRPr="00CC0275" w:rsidRDefault="00121132" w:rsidP="00121132">
      <w:pPr>
        <w:rPr>
          <w:lang w:eastAsia="de-DE"/>
        </w:rPr>
      </w:pPr>
      <w:bookmarkStart w:id="1" w:name="_adwbs3eaxvvf" w:colFirst="0" w:colLast="0"/>
      <w:bookmarkEnd w:id="1"/>
      <w:r w:rsidRPr="00CC0275">
        <w:rPr>
          <w:lang w:eastAsia="de-DE"/>
        </w:rPr>
        <w:t>Das FRZK prognostiziert, dass fundamentale Begriffe wie Raum, Zeit, Objektivität und Kausalität nicht als vorausgesetzte ontologische Konstanten existieren, sondern als Resultate funktionaler Zuweisungen innerhalb eines relationalen Beobachterkontexts emergieren [5]. Realität wird nicht entdeckt, sondern durch systematische Differenzierungen, Koordinationen und Feldzuweisungen konstruiert. Die Basis dieser Konstruktion bildet die funktionale Unterscheidung eines Anfangspunkts (Initialpunkt) vom strukturlosen Zustand (</w:t>
      </w:r>
      <w:r w:rsidRPr="00CC0275">
        <w:rPr>
          <w:rFonts w:ascii="Cambria Math" w:hAnsi="Cambria Math" w:cs="Cambria Math"/>
          <w:lang w:eastAsia="de-DE"/>
        </w:rPr>
        <w:t>∅</w:t>
      </w:r>
      <w:r w:rsidRPr="00CC0275">
        <w:rPr>
          <w:lang w:eastAsia="de-DE"/>
        </w:rPr>
        <w:t>), aus der heraus sukzessive Raumfunktionen, Metriken und Dynamiken erzeugt werden.</w:t>
      </w:r>
    </w:p>
    <w:p w14:paraId="79DAAD98" w14:textId="77777777" w:rsidR="00121132" w:rsidRPr="00CC0275" w:rsidRDefault="00121132" w:rsidP="00121132">
      <w:pPr>
        <w:rPr>
          <w:lang w:eastAsia="de-DE"/>
        </w:rPr>
      </w:pPr>
      <w:r w:rsidRPr="00CC0275">
        <w:rPr>
          <w:lang w:eastAsia="de-DE"/>
        </w:rPr>
        <w:t xml:space="preserve">Diese Perspektive lässt sich nicht im klassischen Sinn „experimentell beweisen“, da das FRZK kein empirisches Modell ist, sondern ein metatheoretisches System, das die Bedingungen der Möglichkeit von Raumzeit und Objektkonstitution modelliert. Der Geltungsanspruch dieser Vorhersage ergibt sich daher nicht aus externen Verifikationen, sondern aus der </w:t>
      </w:r>
      <w:r w:rsidRPr="00CC0275">
        <w:rPr>
          <w:b/>
          <w:bCs/>
          <w:lang w:eastAsia="de-DE"/>
        </w:rPr>
        <w:t>konsistenten, nachvollziehbaren Ableitbarkeit</w:t>
      </w:r>
      <w:r w:rsidRPr="00CC0275">
        <w:rPr>
          <w:lang w:eastAsia="de-DE"/>
        </w:rPr>
        <w:t xml:space="preserve"> der genannten Konzepte aus den Strukturprinzipien des Modells selbst. Dies entspricht einer </w:t>
      </w:r>
      <w:r w:rsidRPr="00CC0275">
        <w:rPr>
          <w:b/>
          <w:bCs/>
          <w:lang w:eastAsia="de-DE"/>
        </w:rPr>
        <w:t>transzendental-funktionalen Begründungsweise</w:t>
      </w:r>
      <w:r w:rsidRPr="00CC0275">
        <w:rPr>
          <w:lang w:eastAsia="de-DE"/>
        </w:rPr>
        <w:t xml:space="preserve">, wie sie auch in der </w:t>
      </w:r>
      <w:proofErr w:type="spellStart"/>
      <w:r w:rsidRPr="00CC0275">
        <w:rPr>
          <w:lang w:eastAsia="de-DE"/>
        </w:rPr>
        <w:t>Konstruktivismusforschung</w:t>
      </w:r>
      <w:proofErr w:type="spellEnd"/>
      <w:r w:rsidRPr="00CC0275">
        <w:rPr>
          <w:lang w:eastAsia="de-DE"/>
        </w:rPr>
        <w:t xml:space="preserve"> und erkenntnistheoretischen Systemtheorie etabliert ist [6].</w:t>
      </w:r>
    </w:p>
    <w:p w14:paraId="55428A8B" w14:textId="77777777" w:rsidR="00121132" w:rsidRPr="00CC0275" w:rsidRDefault="00121132" w:rsidP="00121132">
      <w:pPr>
        <w:rPr>
          <w:lang w:eastAsia="de-DE"/>
        </w:rPr>
      </w:pPr>
      <w:r w:rsidRPr="00CC0275">
        <w:rPr>
          <w:lang w:eastAsia="de-DE"/>
        </w:rPr>
        <w:t>Gleichzeitig steht das Modell in inhaltlicher Resonanz mit modernen physikalischen Theorien: So zeigt die Relativitätstheorie, dass Raum und Zeit keine absoluten Größen, sondern durch Energieverteilung und Bewegung strukturierte Felder sind [36][37]. In der Stringtheorie und holographischen Gravitation wird Raumzeit sogar als emergente Größe beschrieben, die aus tieferliegenden Interaktionen hervorgeht [42]. Das FRZK bietet einen übergeordneten funktionalen Rahmen, in dem solche emergenten Strukturen nicht bloß postuliert, sondern systematisch generiert und konzeptuell gefasst werden können.</w:t>
      </w:r>
    </w:p>
    <w:p w14:paraId="74C9C6BE" w14:textId="0272200D" w:rsidR="00121132" w:rsidRDefault="00121132" w:rsidP="00121132">
      <w:pPr>
        <w:rPr>
          <w:lang w:eastAsia="de-DE"/>
        </w:rPr>
      </w:pPr>
      <w:r w:rsidRPr="00CC0275">
        <w:rPr>
          <w:lang w:eastAsia="de-DE"/>
        </w:rPr>
        <w:t xml:space="preserve">Die epistemische Stärke dieser Vorhersage liegt somit in der Fähigkeit des Modells, die Entstehung ontologisch wirksamer Begriffe aus rein funktionalen Operationen zu rekonstruieren – ohne auf ontologische Zuschreibungen angewiesen zu sein. Raum, Zeit, Kausalität und Objektivität erscheinen aus dieser Sicht als </w:t>
      </w:r>
      <w:r w:rsidRPr="00CC0275">
        <w:rPr>
          <w:b/>
          <w:bCs/>
          <w:lang w:eastAsia="de-DE"/>
        </w:rPr>
        <w:t>produktive Effekte einer strukturierenden Beobachtung</w:t>
      </w:r>
      <w:r w:rsidRPr="00CC0275">
        <w:rPr>
          <w:lang w:eastAsia="de-DE"/>
        </w:rPr>
        <w:t>, nicht als gegebene Wirklichkeitsgrundlagen. Dies eröffnet zugleich erkenntnistheoretische und modellmethodische Anschlussmöglichkeiten – sowohl in der theoretischen Physik als auch in kognitiven, didaktischen und soziotechnischen Kontexten.</w:t>
      </w:r>
    </w:p>
    <w:p w14:paraId="6F445016" w14:textId="0FF35966" w:rsidR="00DD5A28" w:rsidRDefault="00DD5A28" w:rsidP="00121132">
      <w:pPr>
        <w:rPr>
          <w:lang w:eastAsia="de-DE"/>
        </w:rPr>
      </w:pPr>
      <w:r>
        <w:rPr>
          <w:lang w:eastAsia="de-DE"/>
        </w:rPr>
        <w:sym w:font="Wingdings" w:char="F0E0"/>
      </w:r>
    </w:p>
    <w:p w14:paraId="2C310605" w14:textId="77777777" w:rsidR="00DD5A28" w:rsidRDefault="00DD5A28" w:rsidP="00DD5A28">
      <w:r>
        <w:pict w14:anchorId="79E05484">
          <v:rect id="_x0000_i1036" style="width:0;height:1.5pt" o:hralign="center" o:hrstd="t" o:hr="t" fillcolor="#a0a0a0" stroked="f"/>
        </w:pict>
      </w:r>
    </w:p>
    <w:p w14:paraId="6FC0B9B7" w14:textId="77777777" w:rsidR="00DD5A28" w:rsidRDefault="00DD5A28" w:rsidP="00DD5A28">
      <w:pPr>
        <w:pStyle w:val="berschrift3"/>
      </w:pPr>
      <w:r>
        <w:rPr>
          <w:rStyle w:val="Fett"/>
          <w:b/>
          <w:bCs w:val="0"/>
        </w:rPr>
        <w:t>4.1 Emergenz von Realität durch funktionale Zuweisungen</w:t>
      </w:r>
    </w:p>
    <w:p w14:paraId="4FA1A1C2" w14:textId="77777777" w:rsidR="00DD5A28" w:rsidRDefault="00DD5A28" w:rsidP="00DD5A28">
      <w:pPr>
        <w:pStyle w:val="berschrift4"/>
      </w:pPr>
      <w:r>
        <w:rPr>
          <w:rStyle w:val="Fett"/>
          <w:b w:val="0"/>
          <w:bCs w:val="0"/>
        </w:rPr>
        <w:t>4.1.1 Ontologische Zurückhaltung als Modellprinzip</w:t>
      </w:r>
    </w:p>
    <w:p w14:paraId="06C7681F" w14:textId="77777777" w:rsidR="00DD5A28" w:rsidRDefault="00DD5A28" w:rsidP="00DD5A28">
      <w:pPr>
        <w:pStyle w:val="StandardWeb"/>
      </w:pPr>
      <w:r>
        <w:t xml:space="preserve">Das FRZK verzichtet bewusst auf ontologische Vorannahmen über die Existenz von Raum, Zeit, Objekten oder Kausalität. Diese Grundgrößen der Wirklichkeitsbeschreibung werden im Modell nicht vorausgesetzt, sondern </w:t>
      </w:r>
      <w:r>
        <w:rPr>
          <w:rStyle w:val="Fett"/>
        </w:rPr>
        <w:t>aus funktionalen Operationen systemisch generiert</w:t>
      </w:r>
      <w:r>
        <w: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2AF21C2B" w14:textId="77777777" w:rsidR="00DD5A28" w:rsidRDefault="00DD5A28" w:rsidP="00DD5A28">
      <w:pPr>
        <w:pStyle w:val="berschrift4"/>
      </w:pPr>
      <w:r>
        <w:rPr>
          <w:rStyle w:val="Fett"/>
          <w:b w:val="0"/>
          <w:bCs w:val="0"/>
        </w:rPr>
        <w:t>4.1.2 Initialpunkt und strukturloser Zustand (</w:t>
      </w:r>
      <w:r>
        <w:rPr>
          <w:rStyle w:val="Fett"/>
          <w:rFonts w:ascii="Cambria Math" w:hAnsi="Cambria Math" w:cs="Cambria Math"/>
          <w:b w:val="0"/>
          <w:bCs w:val="0"/>
        </w:rPr>
        <w:t>∅</w:t>
      </w:r>
      <w:r>
        <w:rPr>
          <w:rStyle w:val="Fett"/>
          <w:b w:val="0"/>
          <w:bCs w:val="0"/>
        </w:rPr>
        <w:t>)</w:t>
      </w:r>
    </w:p>
    <w:p w14:paraId="252F6C39" w14:textId="77777777" w:rsidR="00DD5A28" w:rsidRDefault="00DD5A28" w:rsidP="00DD5A28">
      <w:pPr>
        <w:pStyle w:val="StandardWeb"/>
      </w:pPr>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w:t>
      </w:r>
      <w:r>
        <w:rPr>
          <w:rStyle w:val="Fett"/>
        </w:rPr>
        <w:t>logischer Startpunkt</w:t>
      </w:r>
      <w:r>
        <w:t xml:space="preserve"> aller weiteren funktionalen Ableitungen. Diese Idee entspricht der Formlogik von Spencer-Brown und der Konstitution durch Unterscheidung [9].</w:t>
      </w:r>
    </w:p>
    <w:p w14:paraId="27578EF1" w14:textId="77777777" w:rsidR="00DD5A28" w:rsidRDefault="00DD5A28" w:rsidP="00DD5A28">
      <w:pPr>
        <w:pStyle w:val="berschrift4"/>
      </w:pPr>
      <w:r>
        <w:rPr>
          <w:rStyle w:val="Fett"/>
          <w:b w:val="0"/>
          <w:bCs w:val="0"/>
        </w:rPr>
        <w:t>4.1.3 Funktionale Entstehung von Raum und Zeit</w:t>
      </w:r>
    </w:p>
    <w:p w14:paraId="65136AEC" w14:textId="77777777" w:rsidR="00DD5A28" w:rsidRDefault="00DD5A28" w:rsidP="00DD5A28">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w:t>
      </w:r>
    </w:p>
    <w:p w14:paraId="34F9C27E" w14:textId="77777777" w:rsidR="00DD5A28" w:rsidRDefault="00DD5A28" w:rsidP="00DD5A28">
      <w:pPr>
        <w:pStyle w:val="berschrift4"/>
      </w:pPr>
      <w:r>
        <w:rPr>
          <w:rStyle w:val="Fett"/>
          <w:b w:val="0"/>
          <w:bCs w:val="0"/>
        </w:rPr>
        <w:t xml:space="preserve">4.1.4 Konsistenz mit physikalischen </w:t>
      </w:r>
      <w:proofErr w:type="spellStart"/>
      <w:r>
        <w:rPr>
          <w:rStyle w:val="Fett"/>
          <w:b w:val="0"/>
          <w:bCs w:val="0"/>
        </w:rPr>
        <w:t>Emergenztheorien</w:t>
      </w:r>
      <w:proofErr w:type="spellEnd"/>
    </w:p>
    <w:p w14:paraId="6CA71EAF" w14:textId="77777777" w:rsidR="00DD5A28" w:rsidRDefault="00DD5A28" w:rsidP="00DD5A28">
      <w:pPr>
        <w:pStyle w:val="StandardWeb"/>
      </w:pPr>
      <w:r>
        <w:t xml:space="preserve">Die im FRZK postulierte </w:t>
      </w:r>
      <w:proofErr w:type="spellStart"/>
      <w:r>
        <w:t>Emergenzstruktur</w:t>
      </w:r>
      <w:proofErr w:type="spellEnd"/>
      <w:r>
        <w:t xml:space="preserve">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62510147" w14:textId="77777777" w:rsidR="00DD5A28" w:rsidRDefault="00DD5A28" w:rsidP="00DD5A28">
      <w:pPr>
        <w:pStyle w:val="berschrift4"/>
      </w:pPr>
      <w:r>
        <w:rPr>
          <w:rStyle w:val="Fett"/>
          <w:b w:val="0"/>
          <w:bCs w:val="0"/>
        </w:rPr>
        <w:t>4.1.5 Epistemische Position der Vorhersage</w:t>
      </w:r>
    </w:p>
    <w:p w14:paraId="58AAFB99" w14:textId="5248620E" w:rsidR="00DD5A28" w:rsidRDefault="00DD5A28" w:rsidP="00DD5A28">
      <w:pPr>
        <w:pStyle w:val="StandardWeb"/>
      </w:pPr>
      <w:r>
        <w:t xml:space="preserve">Die Vorhersage, dass Raum, Zeit, Objektivität und Kausalität emergente Effekte funktionaler Zuweisung sind, ist nicht experimentell im klassischen Sinn verifizierbar. Ihre Geltung ergibt sich aus der </w:t>
      </w:r>
      <w:r>
        <w:rPr>
          <w:rStyle w:val="Fett"/>
        </w:rPr>
        <w:t>internen Kohärenz</w:t>
      </w:r>
      <w:r>
        <w:t xml:space="preserve">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3DE6965E" w14:textId="13B566A1" w:rsidR="0050473A" w:rsidRDefault="0050473A" w:rsidP="00DD5A28">
      <w:pPr>
        <w:pStyle w:val="StandardWeb"/>
      </w:pPr>
      <w:r>
        <w:sym w:font="Wingdings" w:char="F0DF"/>
      </w:r>
    </w:p>
    <w:p w14:paraId="7BDA5577" w14:textId="77777777" w:rsidR="00121132" w:rsidRDefault="0050473A" w:rsidP="00121132">
      <w:r>
        <w:pict w14:anchorId="39BB0F8D">
          <v:rect id="_x0000_i1026" style="width:0;height:1.5pt" o:hralign="center" o:hrstd="t" o:hr="t" fillcolor="#a0a0a0" stroked="f"/>
        </w:pict>
      </w:r>
    </w:p>
    <w:p w14:paraId="020DAC8C" w14:textId="77777777" w:rsidR="00121132" w:rsidRDefault="00121132" w:rsidP="00121132">
      <w:pPr>
        <w:pStyle w:val="berschrift1"/>
      </w:pPr>
      <w:r>
        <w:t>4.2 Hierarchische und emergente Struktur von Gleichungstypen</w:t>
      </w:r>
    </w:p>
    <w:p w14:paraId="61A12324" w14:textId="77777777" w:rsidR="00121132" w:rsidRPr="00CC0275" w:rsidRDefault="00121132" w:rsidP="00121132">
      <w:pPr>
        <w:rPr>
          <w:lang w:eastAsia="de-DE"/>
        </w:rPr>
      </w:pPr>
      <w:bookmarkStart w:id="2" w:name="_5ourynwsicbx" w:colFirst="0" w:colLast="0"/>
      <w:bookmarkEnd w:id="2"/>
      <w:r w:rsidRPr="00CC0275">
        <w:rPr>
          <w:lang w:eastAsia="de-DE"/>
        </w:rPr>
        <w:t>Das FRZK prognostiziert eine systematisch aufgebaute funktionale Hierarchie von Gleichungstypen, die sich iterativ aus einem strukturlosen Ausgangszustand (</w:t>
      </w:r>
      <w:r w:rsidRPr="00CC0275">
        <w:rPr>
          <w:rFonts w:ascii="Cambria Math" w:hAnsi="Cambria Math" w:cs="Cambria Math"/>
          <w:lang w:eastAsia="de-DE"/>
        </w:rPr>
        <w:t>∅</w:t>
      </w:r>
      <w:r w:rsidRPr="00CC0275">
        <w:rPr>
          <w:lang w:eastAsia="de-DE"/>
        </w:rPr>
        <w:t xml:space="preserve">) konstituieren. In dieser Architektur entstehen komplexere Ebenen </w:t>
      </w:r>
      <w:r w:rsidRPr="00CC0275">
        <w:rPr>
          <w:rFonts w:cs="Calibri"/>
          <w:lang w:eastAsia="de-DE"/>
        </w:rPr>
        <w:t>–</w:t>
      </w:r>
      <w:r w:rsidRPr="00CC0275">
        <w:rPr>
          <w:lang w:eastAsia="de-DE"/>
        </w:rPr>
        <w:t xml:space="preserve"> etwa Dynamik, Handlung oder Reflexion </w:t>
      </w:r>
      <w:r w:rsidRPr="00CC0275">
        <w:rPr>
          <w:rFonts w:cs="Calibri"/>
          <w:lang w:eastAsia="de-DE"/>
        </w:rPr>
        <w:t>–</w:t>
      </w:r>
      <w:r w:rsidRPr="00CC0275">
        <w:rPr>
          <w:lang w:eastAsia="de-DE"/>
        </w:rPr>
        <w:t xml:space="preserve"> nicht isoliert, sondern als strukturierte Folgeoperationen auf elementareren Gleichungstypen. Die Hierarchie umfasst in ihrer Grundform sieben Ebenen: Initialpunkt, Raumfunktion, </w:t>
      </w:r>
      <w:proofErr w:type="spellStart"/>
      <w:r w:rsidRPr="00CC0275">
        <w:rPr>
          <w:lang w:eastAsia="de-DE"/>
        </w:rPr>
        <w:t>Brane</w:t>
      </w:r>
      <w:proofErr w:type="spellEnd"/>
      <w:r w:rsidRPr="00CC0275">
        <w:rPr>
          <w:lang w:eastAsia="de-DE"/>
        </w:rPr>
        <w:t>-Funktion, Metrik, Dynamik, Akteur-Funktion und Meta-Funktion [52:0].</w:t>
      </w:r>
    </w:p>
    <w:p w14:paraId="7DCE0354" w14:textId="77777777" w:rsidR="00121132" w:rsidRPr="00CC0275" w:rsidRDefault="00121132" w:rsidP="00121132">
      <w:pPr>
        <w:rPr>
          <w:lang w:eastAsia="de-DE"/>
        </w:rPr>
      </w:pPr>
      <w:r w:rsidRPr="00CC0275">
        <w:rPr>
          <w:lang w:eastAsia="de-DE"/>
        </w:rPr>
        <w:t xml:space="preserve">Jede dieser Ebenen basiert logisch und konstruktiv auf der vorangegangenen: So setzt die Raumfunktion die Festlegung eines Initialpunkts voraus, während die </w:t>
      </w:r>
      <w:proofErr w:type="spellStart"/>
      <w:r w:rsidRPr="00CC0275">
        <w:rPr>
          <w:lang w:eastAsia="de-DE"/>
        </w:rPr>
        <w:t>Brane</w:t>
      </w:r>
      <w:proofErr w:type="spellEnd"/>
      <w:r w:rsidRPr="00CC0275">
        <w:rPr>
          <w:lang w:eastAsia="de-DE"/>
        </w:rPr>
        <w:t xml:space="preserve">-Funktion als strukturverteilende Feldfunktion erst sinnvoll definierbar ist, wenn ein Raumkontext etabliert wurde. Die Metrik benötigt eine </w:t>
      </w:r>
      <w:proofErr w:type="spellStart"/>
      <w:r w:rsidRPr="00CC0275">
        <w:rPr>
          <w:lang w:eastAsia="de-DE"/>
        </w:rPr>
        <w:t>Brane</w:t>
      </w:r>
      <w:proofErr w:type="spellEnd"/>
      <w:r w:rsidRPr="00CC0275">
        <w:rPr>
          <w:lang w:eastAsia="de-DE"/>
        </w:rPr>
        <w:t>-Struktur zur Formbestimmung, und die Dynamik ergibt sich erst aus der Variation metrischer Verhältnisse im Zeitverlauf. Noch weiterführend beruhen Akteur-Funktionen auf dynamischen Zustandsbeschreibungen und erlauben schließlich in Meta-Funktionen eine Reflexion der systemimmanenten Prozesse selbst.</w:t>
      </w:r>
    </w:p>
    <w:p w14:paraId="6362A9E5" w14:textId="77777777" w:rsidR="00121132" w:rsidRPr="00CC0275" w:rsidRDefault="00121132" w:rsidP="00121132">
      <w:pPr>
        <w:rPr>
          <w:lang w:eastAsia="de-DE"/>
        </w:rPr>
      </w:pPr>
      <w:r w:rsidRPr="00CC0275">
        <w:rPr>
          <w:lang w:eastAsia="de-DE"/>
        </w:rPr>
        <w:t xml:space="preserve">Die interne Beweisbarkeit dieser Hierarchie ergibt sich nicht aus externen Validierungen, sondern aus der </w:t>
      </w:r>
      <w:r w:rsidRPr="00CC0275">
        <w:rPr>
          <w:b/>
          <w:bCs/>
          <w:lang w:eastAsia="de-DE"/>
        </w:rPr>
        <w:t>konstruktiven Geschlossenheit</w:t>
      </w:r>
      <w:r w:rsidRPr="00CC0275">
        <w:rPr>
          <w:lang w:eastAsia="de-DE"/>
        </w:rPr>
        <w:t xml:space="preserve"> der Modellarchitektur: Jeder Übergang zwischen zwei Ebenen ist funktional definiert und kontextuell konsistent. Die Gleichungen sind dabei nicht als klassische Differenzialgleichungen im physikalischen Sinn zu verstehen, sondern als </w:t>
      </w:r>
      <w:r w:rsidRPr="00CC0275">
        <w:rPr>
          <w:b/>
          <w:bCs/>
          <w:lang w:eastAsia="de-DE"/>
        </w:rPr>
        <w:t>funktionale Operatorrelationen</w:t>
      </w:r>
      <w:r w:rsidRPr="00CC0275">
        <w:rPr>
          <w:lang w:eastAsia="de-DE"/>
        </w:rPr>
        <w:t xml:space="preserve">, die Struktur, Transformation und Korrelation beschreiben. Die </w:t>
      </w:r>
      <w:r w:rsidRPr="00CC0275">
        <w:rPr>
          <w:b/>
          <w:bCs/>
          <w:lang w:eastAsia="de-DE"/>
        </w:rPr>
        <w:t>Beweisführung</w:t>
      </w:r>
      <w:r w:rsidRPr="00CC0275">
        <w:rPr>
          <w:lang w:eastAsia="de-DE"/>
        </w:rPr>
        <w:t xml:space="preserve"> erfolgt durch die Demonstration der Transformationsregeln zwischen den Ebenen, z. B. über die Ableitung der Dynamik aus metrischen Gradienten oder der Akteur-Funktion aus Zustandsfunktionen [52:</w:t>
      </w:r>
      <w:proofErr w:type="gramStart"/>
      <w:r w:rsidRPr="00CC0275">
        <w:rPr>
          <w:lang w:eastAsia="de-DE"/>
        </w:rPr>
        <w:t>5][</w:t>
      </w:r>
      <w:proofErr w:type="gramEnd"/>
      <w:r w:rsidRPr="00CC0275">
        <w:rPr>
          <w:lang w:eastAsia="de-DE"/>
        </w:rPr>
        <w:t>52:11].</w:t>
      </w:r>
    </w:p>
    <w:p w14:paraId="5B1CA41C" w14:textId="77777777" w:rsidR="00121132" w:rsidRPr="00CC0275" w:rsidRDefault="00121132" w:rsidP="00121132">
      <w:pPr>
        <w:rPr>
          <w:lang w:eastAsia="de-DE"/>
        </w:rPr>
      </w:pPr>
      <w:r w:rsidRPr="00CC0275">
        <w:rPr>
          <w:lang w:eastAsia="de-DE"/>
        </w:rPr>
        <w:t xml:space="preserve">Diese hierarchische Struktur reflektiert zugleich ein erkenntnistheoretisches Prinzip: Sie zeigt, dass höhere Ordnungen wie Handlung, Bedeutung oder Beobachtung nicht vorausgesetzt, sondern innerhalb des Systems emergieren können – in kontrollierbarer, rekursiver Weise. Damit liefert das FRZK nicht nur eine theoretische Beschreibung der Realität, sondern ein generatives Modell, das </w:t>
      </w:r>
      <w:r w:rsidRPr="00CC0275">
        <w:rPr>
          <w:b/>
          <w:bCs/>
          <w:lang w:eastAsia="de-DE"/>
        </w:rPr>
        <w:t xml:space="preserve">Emergenz als </w:t>
      </w:r>
      <w:proofErr w:type="spellStart"/>
      <w:r w:rsidRPr="00CC0275">
        <w:rPr>
          <w:b/>
          <w:bCs/>
          <w:lang w:eastAsia="de-DE"/>
        </w:rPr>
        <w:t>formalisierbaren</w:t>
      </w:r>
      <w:proofErr w:type="spellEnd"/>
      <w:r w:rsidRPr="00CC0275">
        <w:rPr>
          <w:b/>
          <w:bCs/>
          <w:lang w:eastAsia="de-DE"/>
        </w:rPr>
        <w:t xml:space="preserve"> Prozess</w:t>
      </w:r>
      <w:r w:rsidRPr="00CC0275">
        <w:rPr>
          <w:lang w:eastAsia="de-DE"/>
        </w:rPr>
        <w:t xml:space="preserve"> begreifbar macht.</w:t>
      </w:r>
    </w:p>
    <w:p w14:paraId="74D0B1EA" w14:textId="4BC0F4D5" w:rsidR="00121132" w:rsidRDefault="00121132" w:rsidP="00121132">
      <w:pPr>
        <w:rPr>
          <w:lang w:eastAsia="de-DE"/>
        </w:rPr>
      </w:pPr>
      <w:r w:rsidRPr="00CC0275">
        <w:rPr>
          <w:lang w:eastAsia="de-DE"/>
        </w:rPr>
        <w:t xml:space="preserve">Diese Schichtung der Gleichungstypen lässt sich zudem als funktionale Tiefenstruktur interpretieren: Jede Ebene enthält implizit das Potenzial der folgenden und begrenzt zugleich deren Entfaltung. In diesem Sinne ist die Hierarchie nicht starr, sondern </w:t>
      </w:r>
      <w:r w:rsidRPr="00CC0275">
        <w:rPr>
          <w:b/>
          <w:bCs/>
          <w:lang w:eastAsia="de-DE"/>
        </w:rPr>
        <w:t xml:space="preserve">dynamisch </w:t>
      </w:r>
      <w:proofErr w:type="spellStart"/>
      <w:r w:rsidRPr="00CC0275">
        <w:rPr>
          <w:b/>
          <w:bCs/>
          <w:lang w:eastAsia="de-DE"/>
        </w:rPr>
        <w:t>rekonfigurierbar</w:t>
      </w:r>
      <w:proofErr w:type="spellEnd"/>
      <w:r w:rsidRPr="00CC0275">
        <w:rPr>
          <w:lang w:eastAsia="de-DE"/>
        </w:rPr>
        <w:t>, je nach initialer Systemauslegung und Modellzweck. So zeigt das FRZK, wie differenzielle Komplexität durch funktionale Emergenz modelliert werden kann – ohne Bruch, aber mit zunehmender Selbstreferenz und Reflexionsfähigkeit.</w:t>
      </w:r>
    </w:p>
    <w:p w14:paraId="447D6B8A" w14:textId="18E7997C" w:rsidR="00DD5A28" w:rsidRDefault="00DD5A28" w:rsidP="00121132">
      <w:pPr>
        <w:rPr>
          <w:lang w:eastAsia="de-DE"/>
        </w:rPr>
      </w:pPr>
      <w:r>
        <w:rPr>
          <w:lang w:eastAsia="de-DE"/>
        </w:rPr>
        <w:sym w:font="Wingdings" w:char="F0E0"/>
      </w:r>
    </w:p>
    <w:p w14:paraId="761CCDF2" w14:textId="77777777" w:rsidR="00DD5A28" w:rsidRDefault="00DD5A28" w:rsidP="00DD5A28">
      <w:pPr>
        <w:pStyle w:val="berschrift3"/>
        <w:rPr>
          <w:sz w:val="27"/>
          <w:szCs w:val="27"/>
          <w:lang w:eastAsia="de-DE"/>
        </w:rPr>
      </w:pPr>
      <w:r>
        <w:rPr>
          <w:rStyle w:val="Fett"/>
          <w:b/>
          <w:bCs w:val="0"/>
        </w:rPr>
        <w:t>4.2 Hierarchische und emergente Struktur von Gleichungstypen</w:t>
      </w:r>
    </w:p>
    <w:p w14:paraId="4A15B28D" w14:textId="77777777" w:rsidR="00DD5A28" w:rsidRDefault="00DD5A28" w:rsidP="00DD5A28">
      <w:pPr>
        <w:pStyle w:val="berschrift4"/>
      </w:pPr>
      <w:r>
        <w:rPr>
          <w:rStyle w:val="Fett"/>
          <w:b w:val="0"/>
          <w:bCs w:val="0"/>
        </w:rPr>
        <w:t>4.2.1 Gleichungstypen als funktionale Ebenen</w:t>
      </w:r>
    </w:p>
    <w:p w14:paraId="3D6FABF5" w14:textId="77777777" w:rsidR="00DD5A28" w:rsidRDefault="00DD5A28" w:rsidP="00DD5A28">
      <w:pPr>
        <w:pStyle w:val="StandardWeb"/>
      </w:pPr>
      <w:r>
        <w:t xml:space="preserve">Das FRZK beschreibt Gleichungstypen nicht als formale Ausdrücke zur Modellierung gegebener Zustände, sondern als </w:t>
      </w:r>
      <w:r>
        <w:rPr>
          <w:rStyle w:val="Fett"/>
        </w:rPr>
        <w:t>funktionale Operatoren</w:t>
      </w:r>
      <w:r>
        <w:t xml:space="preserve">, die selbst Realität strukturieren. Dabei folgt das Modell einer schichtweisen Systemarchitektur: Initialpunkt, Raumfunktion, </w:t>
      </w:r>
      <w:proofErr w:type="spellStart"/>
      <w:r>
        <w:t>Brane</w:t>
      </w:r>
      <w:proofErr w:type="spellEnd"/>
      <w:r>
        <w:t xml:space="preserve">-Funktion, Metrik, Dynamik, Akteur-Funktion und Meta-Funktion stellen </w:t>
      </w:r>
      <w:r>
        <w:rPr>
          <w:rStyle w:val="Fett"/>
        </w:rPr>
        <w:t>strukturell gestufte Operatoren</w:t>
      </w:r>
      <w:r>
        <w:t xml:space="preserve"> dar, die sich wechselseitig voraussetzen und erzeugen [16]. Die Gleichungstypen bilden somit nicht nur mathematische Formulierungen ab, sondern kodieren systemische Übergänge zwischen Beobachtungs-, Interaktions- und Reflexionsebenen.</w:t>
      </w:r>
    </w:p>
    <w:p w14:paraId="00249C97" w14:textId="77777777" w:rsidR="00DD5A28" w:rsidRDefault="00DD5A28" w:rsidP="00DD5A28">
      <w:pPr>
        <w:pStyle w:val="berschrift4"/>
      </w:pPr>
      <w:r>
        <w:rPr>
          <w:rStyle w:val="Fett"/>
          <w:b w:val="0"/>
          <w:bCs w:val="0"/>
        </w:rPr>
        <w:t>4.2.2 Iterative Ableitbarkeit und funktionale Emergenz</w:t>
      </w:r>
    </w:p>
    <w:p w14:paraId="17980461" w14:textId="77777777" w:rsidR="00DD5A28" w:rsidRDefault="00DD5A28" w:rsidP="00DD5A28">
      <w:pPr>
        <w:pStyle w:val="StandardWeb"/>
      </w:pPr>
      <w:r>
        <w:t xml:space="preserve">Die Entstehung dieser Gleichungstypen erfolgt </w:t>
      </w:r>
      <w:r>
        <w:rPr>
          <w:rStyle w:val="Fett"/>
        </w:rPr>
        <w:t>iterativ</w:t>
      </w:r>
      <w:r>
        <w:t xml:space="preserve"> ausgehend vom strukturlosen Zustand (</w:t>
      </w:r>
      <w:r>
        <w:rPr>
          <w:rFonts w:ascii="Cambria Math" w:hAnsi="Cambria Math" w:cs="Cambria Math"/>
        </w:rPr>
        <w:t>∅</w:t>
      </w:r>
      <w:r>
        <w:t xml:space="preserve">). Aus der ersten funktionalen Unterscheidung entsteht ein Initialpunkt, auf dessen Basis eine Raumfunktion als Koordinationsstruktur generiert wird. Daraus entwickelt sich eine </w:t>
      </w:r>
      <w:proofErr w:type="spellStart"/>
      <w:r>
        <w:t>Brane</w:t>
      </w:r>
      <w:proofErr w:type="spellEnd"/>
      <w:r>
        <w:t xml:space="preserve">-Funktion, welche die interne Feldstruktur beschreibt. Erst darauf aufbauend kann eine Metrik definiert werden, die Entfernungen, Krümmungen und Richtungen operationalisiert. Diese Metrik ermöglicht in Kombination mit der </w:t>
      </w:r>
      <w:proofErr w:type="spellStart"/>
      <w:r>
        <w:t>Brane</w:t>
      </w:r>
      <w:proofErr w:type="spellEnd"/>
      <w:r>
        <w:t xml:space="preserve">-Funktion die Formulierung von Dynamiken (z. B. Bewegung, Wechselwirkung), auf denen wiederum Handlungs- und </w:t>
      </w:r>
      <w:proofErr w:type="spellStart"/>
      <w:r>
        <w:t>Akteursfunktionen</w:t>
      </w:r>
      <w:proofErr w:type="spellEnd"/>
      <w:r>
        <w:t xml:space="preserve"> sowie deren reflexive Meta-Ebenen aufbauen [17].</w:t>
      </w:r>
    </w:p>
    <w:p w14:paraId="3DECC792" w14:textId="77777777" w:rsidR="00DD5A28" w:rsidRDefault="00DD5A28" w:rsidP="00DD5A28">
      <w:pPr>
        <w:pStyle w:val="StandardWeb"/>
      </w:pPr>
      <w:r>
        <w:t xml:space="preserve">Diese Abfolge entspricht einem </w:t>
      </w:r>
      <w:r>
        <w:rPr>
          <w:rStyle w:val="Fett"/>
        </w:rPr>
        <w:t>emergenten Funktionsgefüge</w:t>
      </w:r>
      <w:r>
        <w:t>, in dem jede neue Schicht systematisch aus den strukturellen Freiheitsgraden der vorherigen hervorgeht – vergleichbar mit iterativen Fixpunktverfahren in der nichtlinearen Systemdynamik [18].</w:t>
      </w:r>
    </w:p>
    <w:p w14:paraId="3FB0F513" w14:textId="77777777" w:rsidR="00DD5A28" w:rsidRDefault="00DD5A28" w:rsidP="00DD5A28">
      <w:pPr>
        <w:pStyle w:val="berschrift4"/>
      </w:pPr>
      <w:r>
        <w:rPr>
          <w:rStyle w:val="Fett"/>
          <w:b w:val="0"/>
          <w:bCs w:val="0"/>
        </w:rPr>
        <w:t>4.2.3 Formale Kohärenz und interne Beweisbarkeit</w:t>
      </w:r>
    </w:p>
    <w:p w14:paraId="02B6BF6F" w14:textId="77777777" w:rsidR="00DD5A28" w:rsidRDefault="00DD5A28" w:rsidP="00DD5A28">
      <w:pPr>
        <w:pStyle w:val="StandardWeb"/>
      </w:pPr>
      <w:r>
        <w:t xml:space="preserve">Die Validität dieser Struktur ergibt sich aus der </w:t>
      </w:r>
      <w:r>
        <w:rPr>
          <w:rStyle w:val="Fett"/>
        </w:rPr>
        <w:t>konstruktiven Kohärenz</w:t>
      </w:r>
      <w:r>
        <w:t xml:space="preserve"> der Modellarchitektur selbst: Jeder Übergang ist als Operator auf vorherige Funktionsebenen mathematisch definierbar und systemisch notwendig. Anstatt empirischer Belege tritt hier die </w:t>
      </w:r>
      <w:r>
        <w:rPr>
          <w:rStyle w:val="Fett"/>
        </w:rPr>
        <w:t>interne Beweisbarkeit</w:t>
      </w:r>
      <w:r>
        <w:t xml:space="preserve"> als Geltungskriterium auf – ein Ansatz, der mit </w:t>
      </w:r>
      <w:proofErr w:type="spellStart"/>
      <w:r>
        <w:t>axiombasierten</w:t>
      </w:r>
      <w:proofErr w:type="spellEnd"/>
      <w:r>
        <w:t xml:space="preserve"> formalen Systemen, aber auch mit konstruktiven Logiken verwandt ist [19]. Damit weist das FRZK eine formale Selbststimmigkeit auf, die in sich geschlossene Funktionalität mit struktureller Offenheit für Erweiterung verbindet.</w:t>
      </w:r>
    </w:p>
    <w:p w14:paraId="37DABD85" w14:textId="77777777" w:rsidR="00DD5A28" w:rsidRDefault="00DD5A28" w:rsidP="00DD5A28">
      <w:pPr>
        <w:pStyle w:val="berschrift4"/>
      </w:pPr>
      <w:r>
        <w:rPr>
          <w:rStyle w:val="Fett"/>
          <w:b w:val="0"/>
          <w:bCs w:val="0"/>
        </w:rPr>
        <w:t>4.2.4 Rekursive Strukturlogik und Reflexion</w:t>
      </w:r>
    </w:p>
    <w:p w14:paraId="5DA579FF" w14:textId="77777777" w:rsidR="00DD5A28" w:rsidRDefault="00DD5A28" w:rsidP="00DD5A28">
      <w:pPr>
        <w:pStyle w:val="StandardWeb"/>
      </w:pPr>
      <w:r>
        <w:t xml:space="preserve">Ab der Ebene der Akteur-Funktion tritt eine neue Qualität ein: Systeme können nicht nur mit sich selbst, sondern </w:t>
      </w:r>
      <w:r>
        <w:rPr>
          <w:rStyle w:val="Fett"/>
        </w:rPr>
        <w:t>über sich selbst</w:t>
      </w:r>
      <w:r>
        <w:t xml:space="preserve"> operieren. Die Meta-Funktion stellt eine Reflexionsstruktur dar, durch die Beobachtungs- und Zuweisungsvorgänge selbst Gegenstand weiterer funktionaler Operationen werden können. Damit besitzt das FRZK eine inhärente </w:t>
      </w:r>
      <w:r>
        <w:rPr>
          <w:rStyle w:val="Fett"/>
        </w:rPr>
        <w:t>rekursive Systemlogik</w:t>
      </w:r>
      <w:r>
        <w:t>, wie sie auch in selbstbeschreibenden Systemen in der theoretischen Informatik oder in Beobachtung zweiter Ordnung nach Luhmann vorkommt [20][21].</w:t>
      </w:r>
    </w:p>
    <w:p w14:paraId="304624F2" w14:textId="77777777" w:rsidR="00DD5A28" w:rsidRDefault="00DD5A28" w:rsidP="00DD5A28">
      <w:pPr>
        <w:pStyle w:val="berschrift4"/>
      </w:pPr>
      <w:r>
        <w:rPr>
          <w:rStyle w:val="Fett"/>
          <w:b w:val="0"/>
          <w:bCs w:val="0"/>
        </w:rPr>
        <w:t>4.2.5 Vergleich zu etablierten Systemtheorien</w:t>
      </w:r>
    </w:p>
    <w:p w14:paraId="0E0434AE" w14:textId="77777777" w:rsidR="00DD5A28" w:rsidRDefault="00DD5A28" w:rsidP="00DD5A28">
      <w:pPr>
        <w:pStyle w:val="StandardWeb"/>
      </w:pPr>
      <w:r>
        <w:t xml:space="preserve">Diese hierarchische Gliederung von Operatoren unterscheidet sich von klassischen Systemtheorien, die oft lediglich Input-Output-Strukturen oder Feedback-Schleifen modellieren. Das FRZK macht sichtbar, wie </w:t>
      </w:r>
      <w:r>
        <w:rPr>
          <w:rStyle w:val="Fett"/>
        </w:rPr>
        <w:t>komplexe kognitive, physikalische oder gesellschaftliche Phänomene</w:t>
      </w:r>
      <w:r>
        <w:t xml:space="preserve"> durch rekursiv geschichtete Funktionsebenen generiert und differenziert werden können. Ähnliche Strukturkonzepte finden sich etwa in der mehrstufigen Semantik nach </w:t>
      </w:r>
      <w:proofErr w:type="spellStart"/>
      <w:r>
        <w:t>Barwise</w:t>
      </w:r>
      <w:proofErr w:type="spellEnd"/>
      <w:r>
        <w:t>, der kategorialen Modellierung in der Mathematik oder in der Selbstorganisation in dissipativen Systemen [22][23].</w:t>
      </w:r>
    </w:p>
    <w:p w14:paraId="1C8C14A3" w14:textId="77777777" w:rsidR="0050473A" w:rsidRDefault="0050473A" w:rsidP="00121132">
      <w:r>
        <w:sym w:font="Wingdings" w:char="F0DF"/>
      </w:r>
    </w:p>
    <w:p w14:paraId="054665DB" w14:textId="1A572751" w:rsidR="00121132" w:rsidRDefault="0050473A" w:rsidP="00121132">
      <w:r>
        <w:pict w14:anchorId="58506093">
          <v:rect id="_x0000_i1027" style="width:0;height:1.5pt" o:hralign="center" o:hrstd="t" o:hr="t" fillcolor="#a0a0a0" stroked="f"/>
        </w:pict>
      </w:r>
    </w:p>
    <w:p w14:paraId="78BE422B" w14:textId="77777777" w:rsidR="00121132" w:rsidRDefault="00121132" w:rsidP="00121132">
      <w:pPr>
        <w:pStyle w:val="berschrift1"/>
      </w:pPr>
      <w:r>
        <w:t>4.3 Rekursivität und Selbstbezüglichkeit von Beobachtung</w:t>
      </w:r>
    </w:p>
    <w:p w14:paraId="35FD73FE" w14:textId="77777777" w:rsidR="00121132" w:rsidRPr="00CC0275" w:rsidRDefault="00121132" w:rsidP="00121132">
      <w:pPr>
        <w:rPr>
          <w:lang w:eastAsia="de-DE"/>
        </w:rPr>
      </w:pPr>
      <w:bookmarkStart w:id="3" w:name="_reon0l8ybxra" w:colFirst="0" w:colLast="0"/>
      <w:bookmarkEnd w:id="3"/>
      <w:r w:rsidRPr="00CC0275">
        <w:rPr>
          <w:lang w:eastAsia="de-DE"/>
        </w:rPr>
        <w:t xml:space="preserve">Das FRZK prognostiziert, dass Beobachtung kein externer Zugriff </w:t>
      </w:r>
      <w:proofErr w:type="gramStart"/>
      <w:r w:rsidRPr="00CC0275">
        <w:rPr>
          <w:lang w:eastAsia="de-DE"/>
        </w:rPr>
        <w:t>auf ein objektives Außen</w:t>
      </w:r>
      <w:proofErr w:type="gramEnd"/>
      <w:r w:rsidRPr="00CC0275">
        <w:rPr>
          <w:lang w:eastAsia="de-DE"/>
        </w:rPr>
        <w:t xml:space="preserve"> ist, sondern ein rekursiver, systemimmanenter Prozess, bei dem der Beobachter als strukturkonstituierende Instanz am Entstehen der Realität beteiligt ist. Beobachtung ist demnach keine Spiegelung vorgegebener Weltverhältnisse, sondern ein Akt funktionaler Zuweisung, bei dem Relationen, Differenzen und Bedeutungen erzeugt – nicht entdeckt – werden [91–96].</w:t>
      </w:r>
    </w:p>
    <w:p w14:paraId="5757A13A" w14:textId="77777777" w:rsidR="00121132" w:rsidRPr="00CC0275" w:rsidRDefault="00121132" w:rsidP="00121132">
      <w:pPr>
        <w:rPr>
          <w:lang w:eastAsia="de-DE"/>
        </w:rPr>
      </w:pPr>
      <w:r w:rsidRPr="00CC0275">
        <w:rPr>
          <w:lang w:eastAsia="de-DE"/>
        </w:rPr>
        <w:t>Im funktionalen Bezugssystem des FRZK wird Beobachtung durch sogenannte Meta-Funktionen modelliert, die nicht nur systeminterne Zustände registrieren, sondern auch auf eigene Operationen rückbezogen sind. Dadurch entsteht ein strukturelles Moment der Selbstbezüglichkeit, das eine dynamische Rekonstruktion von Beobachtung im System selbst ermöglicht. Beobachter sind in diesem Modell keine entkoppelten Entitäten, sondern Knotenpunkte in einem rekursiven Geflecht aus Wahrnehmung, Bewertung und Interpretation.</w:t>
      </w:r>
    </w:p>
    <w:p w14:paraId="57D1129F" w14:textId="77777777" w:rsidR="00121132" w:rsidRPr="00CC0275" w:rsidRDefault="00121132" w:rsidP="00121132">
      <w:pPr>
        <w:rPr>
          <w:lang w:eastAsia="de-DE"/>
        </w:rPr>
      </w:pPr>
      <w:r w:rsidRPr="00CC0275">
        <w:rPr>
          <w:lang w:eastAsia="de-DE"/>
        </w:rPr>
        <w:t xml:space="preserve">Diese Konzeption steht in enger Verbindung mit dem Konzept der </w:t>
      </w:r>
      <w:r w:rsidRPr="00CC0275">
        <w:rPr>
          <w:b/>
          <w:bCs/>
          <w:lang w:eastAsia="de-DE"/>
        </w:rPr>
        <w:t>Beobachtung zweiter Ordnung</w:t>
      </w:r>
      <w:r w:rsidRPr="00CC0275">
        <w:rPr>
          <w:lang w:eastAsia="de-DE"/>
        </w:rPr>
        <w:t>, wie es in der soziologischen Systemtheorie (z. B. bei Luhmann oder Foerster) ausgearbeitet wurde [93]. Beobachtung wird dort nicht als unmittelbare Repräsentation, sondern als Unterscheidung mit Verweisstruktur verstanden: Man beobachtet nicht Dinge, sondern Unterscheidungen, inklusive der eigenen Unterscheidungen. Das FRZK operationalisiert dieses Konzept mathematisch-funktional, indem es Meta-Funktionen definiert, die sich selbst und ihre Ausgangsbedingungen mitreflektieren.</w:t>
      </w:r>
    </w:p>
    <w:p w14:paraId="0AC454D4" w14:textId="77777777" w:rsidR="00121132" w:rsidRPr="00CC0275" w:rsidRDefault="00121132" w:rsidP="00121132">
      <w:pPr>
        <w:rPr>
          <w:lang w:eastAsia="de-DE"/>
        </w:rPr>
      </w:pPr>
      <w:r w:rsidRPr="00CC0275">
        <w:rPr>
          <w:lang w:eastAsia="de-DE"/>
        </w:rPr>
        <w:t xml:space="preserve">Gleichzeitig korrespondiert dieser Zugang mit erkenntnistheoretischen Implikationen der modernen Physik, insbesondere mit dem </w:t>
      </w:r>
      <w:r w:rsidRPr="00CC0275">
        <w:rPr>
          <w:b/>
          <w:bCs/>
          <w:lang w:eastAsia="de-DE"/>
        </w:rPr>
        <w:t>Beobachtereffekt in der Quantenmechanik</w:t>
      </w:r>
      <w:r w:rsidRPr="00CC0275">
        <w:rPr>
          <w:lang w:eastAsia="de-DE"/>
        </w:rPr>
        <w:t>, der besagt, dass der Messprozess den Zustand des gemessenen Systems verändert [94]. Das FRZK überträgt diesen Zusammenhang auf allgemeine Strukturen der Erkenntnis: Es ist prinzipiell unmöglich, einen neutralen Außenstandpunkt einzunehmen, da jede Beobachtung strukturabhängig und kontextgebunden ist. Die Grenzen der Beobachtung – ihre Kontingenz, Selektivität und Rückwirkung – werden im Modell nicht als Störung, sondern als integrale Bedingung von Erkenntnis explizit berücksichtigt [95].</w:t>
      </w:r>
    </w:p>
    <w:p w14:paraId="28F6EE2F" w14:textId="41290905" w:rsidR="00121132" w:rsidRDefault="00121132" w:rsidP="00121132">
      <w:pPr>
        <w:rPr>
          <w:lang w:eastAsia="de-DE"/>
        </w:rPr>
      </w:pPr>
      <w:r w:rsidRPr="00CC0275">
        <w:rPr>
          <w:lang w:eastAsia="de-DE"/>
        </w:rPr>
        <w:t>Die epistemische Tragweite dieser Vorhersage liegt in der Fähigkeit des Modells, den Beobachter nicht auszuklammern, sondern ihn funktional einzubauen. Dies erlaubt es, sowohl kognitive als auch soziale und technische Systeme zu modellieren, bei denen Selbstreferenz, Rückkopplung und operative Geschlossenheit zentrale Eigenschaften darstellen. Beobachtung wird damit zur dynamischen Systemfunktion: sie erzeugt nicht nur Sinn, sondern Bedingungen von Realität selbst.</w:t>
      </w:r>
    </w:p>
    <w:p w14:paraId="5E4BE97B" w14:textId="7138756C" w:rsidR="00DD5A28" w:rsidRDefault="00DD5A28" w:rsidP="00121132">
      <w:pPr>
        <w:rPr>
          <w:lang w:eastAsia="de-DE"/>
        </w:rPr>
      </w:pPr>
      <w:r>
        <w:rPr>
          <w:lang w:eastAsia="de-DE"/>
        </w:rPr>
        <w:sym w:font="Wingdings" w:char="F0E0"/>
      </w:r>
    </w:p>
    <w:p w14:paraId="33F90BBD" w14:textId="77777777" w:rsidR="00DD5A28" w:rsidRDefault="00DD5A28" w:rsidP="00DD5A28">
      <w:pPr>
        <w:pStyle w:val="berschrift3"/>
        <w:rPr>
          <w:sz w:val="27"/>
          <w:szCs w:val="27"/>
          <w:lang w:eastAsia="de-DE"/>
        </w:rPr>
      </w:pPr>
      <w:r>
        <w:rPr>
          <w:rStyle w:val="Fett"/>
          <w:b/>
          <w:bCs w:val="0"/>
        </w:rPr>
        <w:t>4.3 Rekursivität und Selbstbezüglichkeit von Beobachtung</w:t>
      </w:r>
    </w:p>
    <w:p w14:paraId="74441A30" w14:textId="77777777" w:rsidR="00DD5A28" w:rsidRDefault="00DD5A28" w:rsidP="00DD5A28">
      <w:pPr>
        <w:pStyle w:val="berschrift4"/>
      </w:pPr>
      <w:r>
        <w:rPr>
          <w:rStyle w:val="Fett"/>
          <w:b w:val="0"/>
          <w:bCs w:val="0"/>
        </w:rPr>
        <w:t>4.3.1 Beobachtung als Systemfunktion</w:t>
      </w:r>
    </w:p>
    <w:p w14:paraId="73AD9D0B" w14:textId="77777777" w:rsidR="00DD5A28" w:rsidRDefault="00DD5A28" w:rsidP="00DD5A28">
      <w:pPr>
        <w:pStyle w:val="StandardWeb"/>
      </w:pPr>
      <w:r>
        <w:t xml:space="preserve">Das FRZK modelliert Beobachtung nicht als externen Zugriff eines unabhängigen Subjekts auf eine objektive Welt, sondern als </w:t>
      </w:r>
      <w:r>
        <w:rPr>
          <w:rStyle w:val="Fett"/>
        </w:rPr>
        <w:t>systeminterne Operation</w:t>
      </w:r>
      <w:r>
        <w:t>, durch die Strukturen generiert und unterschieden werden. Beobachtung ist im funktionalen Rahmen eine spezielle Form funktionaler Zuweisung, bei der nicht nur Relationen gebildet, sondern auch Selektionsprozesse gesteuert und interpretativ gerahmt werden [24]. Diese Funktion ist an kein „Bewusstsein“ gebunden, sondern kann von kognitiven, sozialen oder technischen Systemen gleichermaßen realisiert werden.</w:t>
      </w:r>
    </w:p>
    <w:p w14:paraId="666EA7B4" w14:textId="77777777" w:rsidR="00DD5A28" w:rsidRDefault="00DD5A28" w:rsidP="00DD5A28">
      <w:pPr>
        <w:pStyle w:val="berschrift4"/>
      </w:pPr>
      <w:r>
        <w:rPr>
          <w:rStyle w:val="Fett"/>
          <w:b w:val="0"/>
          <w:bCs w:val="0"/>
        </w:rPr>
        <w:t>4.3.2 Rekursion und funktionale Selbstanwendung</w:t>
      </w:r>
    </w:p>
    <w:p w14:paraId="3E249635" w14:textId="77777777" w:rsidR="00DD5A28" w:rsidRDefault="00DD5A28" w:rsidP="00DD5A28">
      <w:pPr>
        <w:pStyle w:val="StandardWeb"/>
      </w:pPr>
      <w:r>
        <w:t xml:space="preserve">Beobachtung im FRZK ist </w:t>
      </w:r>
      <w:r>
        <w:rPr>
          <w:rStyle w:val="Fett"/>
        </w:rPr>
        <w:t>rekursiv</w:t>
      </w:r>
      <w:r>
        <w:t>, das heißt, sie kann auf sich selbst angewendet werden. Diese Eigenschaft wird durch die Einführung sogenannter Meta-Funktionen operationalisiert, die es erlauben, Beobachtungen nicht nur zu tätigen, sondern auch zu beobachten, dass beobachtet wird. Solche Operationen sind notwendig, sobald Systeme mit mehr als einer Beobachtungsebene agieren – etwa bei der Unterscheidung von Fakt und Interpretation, erster und zweiter Ordnung oder Handlung und Metareflexion [25].</w:t>
      </w:r>
    </w:p>
    <w:p w14:paraId="1CA345B9" w14:textId="77777777" w:rsidR="00DD5A28" w:rsidRDefault="00DD5A28" w:rsidP="00DD5A28">
      <w:pPr>
        <w:pStyle w:val="StandardWeb"/>
      </w:pPr>
      <w:r>
        <w:t xml:space="preserve">Diese Rekursivität wird formal als </w:t>
      </w:r>
      <w:r>
        <w:rPr>
          <w:rStyle w:val="Fett"/>
        </w:rPr>
        <w:t>funktionale Selbstanwendung</w:t>
      </w:r>
      <w:r>
        <w:t xml:space="preserve"> modelliert: Ein System bezieht sich auf die Operatoren, die es selbst generiert hat, und modifiziert sie unter bestimmten Bedingungen. Vergleichbare Konzepte finden sich in der theoretischen Informatik (z. B. λ-Kalkül), der mathematischen Logik (z. B. Gödels Selbstreferenzprinzip) und der soziologischen Systemtheorie [26].</w:t>
      </w:r>
    </w:p>
    <w:p w14:paraId="3EB69536" w14:textId="77777777" w:rsidR="00DD5A28" w:rsidRDefault="00DD5A28" w:rsidP="00DD5A28">
      <w:pPr>
        <w:pStyle w:val="berschrift4"/>
      </w:pPr>
      <w:r>
        <w:rPr>
          <w:rStyle w:val="Fett"/>
          <w:b w:val="0"/>
          <w:bCs w:val="0"/>
        </w:rPr>
        <w:t>4.3.3 Beobachtung zweiter Ordnung als Modellprinzip</w:t>
      </w:r>
    </w:p>
    <w:p w14:paraId="7D870BA2" w14:textId="77777777" w:rsidR="00DD5A28" w:rsidRDefault="00DD5A28" w:rsidP="00DD5A28">
      <w:pPr>
        <w:pStyle w:val="StandardWeb"/>
      </w:pPr>
      <w:r>
        <w:t xml:space="preserve">Die Unterscheidung zwischen Beobachtung erster und zweiter Ordnung wird im FRZK nicht nur als erkenntnistheoretisches Konzept übernommen, sondern strukturell in das Modell eingebettet. Beobachtung erster Ordnung betrifft die Unterscheidung von Systemelementen (z. B. „dies ist Objekt A“), während Beobachtung zweiter Ordnung sich auf die </w:t>
      </w:r>
      <w:r>
        <w:rPr>
          <w:rStyle w:val="Fett"/>
        </w:rPr>
        <w:t>Unterscheidung von Unterscheidungen</w:t>
      </w:r>
      <w:r>
        <w:t xml:space="preserve"> bezieht (z. B. „diese Beobachtung wurde unter einer bestimmten Perspektive vorgenommen“) [27].</w:t>
      </w:r>
    </w:p>
    <w:p w14:paraId="40D64FF2" w14:textId="77777777" w:rsidR="00DD5A28" w:rsidRDefault="00DD5A28" w:rsidP="00DD5A28">
      <w:pPr>
        <w:pStyle w:val="StandardWeb"/>
      </w:pPr>
      <w:r>
        <w:t>Diese Unterscheidung erlaubt es, kontextabhängige, perspektivische und reflexive Modelloperationen zu beschreiben – eine Eigenschaft, die für alle Systeme mit mehrschichtiger Semantik oder adaptiver Steuerung unverzichtbar ist. Das FRZK bietet hier ein formalisiertes Rahmenmodell, das diese Tiefenstruktur funktional konsistent beschreibt.</w:t>
      </w:r>
    </w:p>
    <w:p w14:paraId="78C5C7C2" w14:textId="77777777" w:rsidR="00DD5A28" w:rsidRDefault="00DD5A28" w:rsidP="00DD5A28">
      <w:pPr>
        <w:pStyle w:val="berschrift4"/>
      </w:pPr>
      <w:r>
        <w:rPr>
          <w:rStyle w:val="Fett"/>
          <w:b w:val="0"/>
          <w:bCs w:val="0"/>
        </w:rPr>
        <w:t>4.3.4 Beobachtereffekte und strukturabhängige Erkenntnis</w:t>
      </w:r>
    </w:p>
    <w:p w14:paraId="568D5D4E" w14:textId="77777777" w:rsidR="00DD5A28" w:rsidRDefault="00DD5A28" w:rsidP="00DD5A28">
      <w:pPr>
        <w:pStyle w:val="StandardWeb"/>
      </w:pPr>
      <w:r>
        <w:t xml:space="preserve">Im Sinne der Quantenphysik tritt mit dem sogenannten </w:t>
      </w:r>
      <w:r>
        <w:rPr>
          <w:rStyle w:val="Fett"/>
        </w:rPr>
        <w:t>Beobachtereffekt</w:t>
      </w:r>
      <w:r>
        <w:t xml:space="preserve"> ein Prinzip in Erscheinung, das auch im FRZK grundlegend ist: Jede Beobachtung verändert das Beobachtete – oder genauer: das Beobachtete ist nur in Relation zur Beobachtungsoperation bestimmbar [28]. Das FRZK generalisiert dieses Prinzip und wendet es auf alle funktionalen Beobachtungssysteme an. Erkenntnis ist nicht unabhängig von ihrer Struktur möglich, sondern durch diese </w:t>
      </w:r>
      <w:r>
        <w:rPr>
          <w:rStyle w:val="Fett"/>
        </w:rPr>
        <w:t>strukturell begrenzt und geformt</w:t>
      </w:r>
      <w:r>
        <w:t>. Diese Form der Einschränkung ist keine Schwäche, sondern ein systemimmanenter Konstruktionsmechanismus.</w:t>
      </w:r>
    </w:p>
    <w:p w14:paraId="08414EAF" w14:textId="77777777" w:rsidR="00DD5A28" w:rsidRDefault="00DD5A28" w:rsidP="00DD5A28">
      <w:pPr>
        <w:pStyle w:val="berschrift4"/>
      </w:pPr>
      <w:r>
        <w:rPr>
          <w:rStyle w:val="Fett"/>
          <w:b w:val="0"/>
          <w:bCs w:val="0"/>
        </w:rPr>
        <w:t>4.3.5 Beobachtung als dynamische Steuergröße</w:t>
      </w:r>
    </w:p>
    <w:p w14:paraId="4C743EC7" w14:textId="77777777" w:rsidR="00DD5A28" w:rsidRDefault="00DD5A28" w:rsidP="00DD5A28">
      <w:pPr>
        <w:pStyle w:val="StandardWeb"/>
      </w:pPr>
      <w:r>
        <w:t xml:space="preserve">Beobachtung ist im FRZK nicht nur erkenntnistheoretisch relevant, sondern auch operativ: Sie steuert die Auswahl von Zuweisungen, aktiviert bestimmte semantische Felder und ist an der Bewertung und Transformation symbolischer Ordnungen beteiligt. Insofern ist Beobachtung eine </w:t>
      </w:r>
      <w:r>
        <w:rPr>
          <w:rStyle w:val="Fett"/>
        </w:rPr>
        <w:t>dynamische Steuergröße</w:t>
      </w:r>
      <w:r>
        <w:t>, die den Funktionsverlauf des Gesamtsystems mitbestimmt. Ihre Rekursivität erlaubt es, auch auf Veränderungen im eigenen Funktionsmodus zu reagieren – ein zentrales Merkmal für adaptive, lernfähige oder selbstreferenzielle Systeme.</w:t>
      </w:r>
    </w:p>
    <w:p w14:paraId="64510FCD" w14:textId="77777777" w:rsidR="0050473A" w:rsidRDefault="0050473A" w:rsidP="0050473A">
      <w:r>
        <w:sym w:font="Wingdings" w:char="F0DF"/>
      </w:r>
    </w:p>
    <w:p w14:paraId="241C3826" w14:textId="77777777" w:rsidR="00121132" w:rsidRDefault="0050473A" w:rsidP="00121132">
      <w:r>
        <w:pict w14:anchorId="1E95C4C4">
          <v:rect id="_x0000_i1028" style="width:0;height:1.5pt" o:hralign="center" o:hrstd="t" o:hr="t" fillcolor="#a0a0a0" stroked="f"/>
        </w:pict>
      </w:r>
    </w:p>
    <w:p w14:paraId="69A2D0AF" w14:textId="77777777" w:rsidR="00121132" w:rsidRDefault="00121132" w:rsidP="00121132">
      <w:pPr>
        <w:pStyle w:val="berschrift1"/>
      </w:pPr>
      <w:r>
        <w:t>4.4 Funktionale Abhängigkeit von Kausalität und Energie</w:t>
      </w:r>
    </w:p>
    <w:p w14:paraId="262CC356" w14:textId="77777777" w:rsidR="00121132" w:rsidRPr="00CC0275" w:rsidRDefault="00121132" w:rsidP="00121132">
      <w:pPr>
        <w:rPr>
          <w:lang w:eastAsia="de-DE"/>
        </w:rPr>
      </w:pPr>
      <w:bookmarkStart w:id="4" w:name="_xi48z0q7hv9" w:colFirst="0" w:colLast="0"/>
      <w:bookmarkEnd w:id="4"/>
      <w:r w:rsidRPr="00CC0275">
        <w:rPr>
          <w:lang w:eastAsia="de-DE"/>
        </w:rPr>
        <w:t>Das FRZK prognostiziert, dass Kausalität nicht als lineare, ontologisch gegebene Beziehung zwischen Ereignissen existiert, sondern als strukturabhängige Funktion emergenter Feldkonfigurationen verstanden werden muss. Ebenso sind Energie und Impuls keine universellen Grundgrößen, sondern kontextspezifische Funktionen, die aus der Struktur und Dynamik des funktionalen Raumes hervorgehen [66][49].</w:t>
      </w:r>
    </w:p>
    <w:p w14:paraId="1E4E7417" w14:textId="77777777" w:rsidR="00121132" w:rsidRPr="00CC0275" w:rsidRDefault="00121132" w:rsidP="00121132">
      <w:pPr>
        <w:rPr>
          <w:lang w:eastAsia="de-DE"/>
        </w:rPr>
      </w:pPr>
      <w:r w:rsidRPr="00CC0275">
        <w:rPr>
          <w:lang w:eastAsia="de-DE"/>
        </w:rPr>
        <w:t xml:space="preserve">Diese Einsicht ergibt sich aus der Modellarchitektur des FRZK, </w:t>
      </w:r>
      <w:proofErr w:type="gramStart"/>
      <w:r w:rsidRPr="00CC0275">
        <w:rPr>
          <w:lang w:eastAsia="de-DE"/>
        </w:rPr>
        <w:t>in der dynamische Gleichungen</w:t>
      </w:r>
      <w:proofErr w:type="gramEnd"/>
      <w:r w:rsidRPr="00CC0275">
        <w:rPr>
          <w:lang w:eastAsia="de-DE"/>
        </w:rPr>
        <w:t xml:space="preserve"> – insbesondere im Lagrange- und Hamilton-Formalismus – nicht als Axiome vorausgesetzt, sondern aus tieferliegenden Strukturen wie der </w:t>
      </w:r>
      <w:proofErr w:type="spellStart"/>
      <w:r w:rsidRPr="00CC0275">
        <w:rPr>
          <w:lang w:eastAsia="de-DE"/>
        </w:rPr>
        <w:t>Brane</w:t>
      </w:r>
      <w:proofErr w:type="spellEnd"/>
      <w:r w:rsidRPr="00CC0275">
        <w:rPr>
          <w:lang w:eastAsia="de-DE"/>
        </w:rPr>
        <w:t xml:space="preserve">-Funktion und der Raumzeitmetrik konstruktiv abgeleitet werden [64][65]. Die </w:t>
      </w:r>
      <w:proofErr w:type="spellStart"/>
      <w:r w:rsidRPr="00CC0275">
        <w:rPr>
          <w:lang w:eastAsia="de-DE"/>
        </w:rPr>
        <w:t>Brane</w:t>
      </w:r>
      <w:proofErr w:type="spellEnd"/>
      <w:r w:rsidRPr="00CC0275">
        <w:rPr>
          <w:lang w:eastAsia="de-DE"/>
        </w:rPr>
        <w:t>-Funktion definiert die Strukturverteilung des funktionalen Raumes, während die Metrik die geometrischen Relationen dieser Struktur formalisiert. Erst im Zusammenspiel dieser beiden Operatoren entstehen dynamische Verhältnisse, die als Kausalzusammenhänge interpretierbar sind.</w:t>
      </w:r>
    </w:p>
    <w:p w14:paraId="42C85286" w14:textId="77777777" w:rsidR="00121132" w:rsidRPr="00CC0275" w:rsidRDefault="00121132" w:rsidP="00121132">
      <w:pPr>
        <w:rPr>
          <w:lang w:eastAsia="de-DE"/>
        </w:rPr>
      </w:pPr>
      <w:r w:rsidRPr="00CC0275">
        <w:rPr>
          <w:lang w:eastAsia="de-DE"/>
        </w:rPr>
        <w:t xml:space="preserve">Damit verschiebt sich die Rolle von Kausalität: Sie ist nicht Ursache-Wirkung in klassischem Sinn, sondern eine </w:t>
      </w:r>
      <w:r w:rsidRPr="00CC0275">
        <w:rPr>
          <w:b/>
          <w:bCs/>
          <w:lang w:eastAsia="de-DE"/>
        </w:rPr>
        <w:t>zweite Ableitung funktionaler Raumstruktur</w:t>
      </w:r>
      <w:r w:rsidRPr="00CC0275">
        <w:rPr>
          <w:lang w:eastAsia="de-DE"/>
        </w:rPr>
        <w:t xml:space="preserve">, die in bestimmten Konfigurationen als gerichtete Veränderung (Zeit), Energiefluss oder Impulsübertragung erscheint. Diese Sichtweise steht in enger Übereinstimmung mit modernen Feldtheorien, in denen Teilchen nicht mehr als Substanzen, sondern als </w:t>
      </w:r>
      <w:r w:rsidRPr="00CC0275">
        <w:rPr>
          <w:b/>
          <w:bCs/>
          <w:lang w:eastAsia="de-DE"/>
        </w:rPr>
        <w:t>Anregungszustände von Feldern</w:t>
      </w:r>
      <w:r w:rsidRPr="00CC0275">
        <w:rPr>
          <w:lang w:eastAsia="de-DE"/>
        </w:rPr>
        <w:t xml:space="preserve"> beschrieben werden [63][76]. Auch hier ist Energie nicht ontologisch unabhängig, sondern eine Erscheinungsform struktureller Variation.</w:t>
      </w:r>
    </w:p>
    <w:p w14:paraId="1A12B30D" w14:textId="77777777" w:rsidR="00121132" w:rsidRPr="00CC0275" w:rsidRDefault="00121132" w:rsidP="00121132">
      <w:pPr>
        <w:rPr>
          <w:lang w:eastAsia="de-DE"/>
        </w:rPr>
      </w:pPr>
      <w:r w:rsidRPr="00CC0275">
        <w:rPr>
          <w:lang w:eastAsia="de-DE"/>
        </w:rPr>
        <w:t xml:space="preserve">Die funktionale Geometrie des FRZK erlaubt es, diese Zusammenhänge formal zu fassen: Zeit, Impuls und Energie sind keine separaten Entitäten, sondern </w:t>
      </w:r>
      <w:r w:rsidRPr="00CC0275">
        <w:rPr>
          <w:b/>
          <w:bCs/>
          <w:lang w:eastAsia="de-DE"/>
        </w:rPr>
        <w:t>Operatorwirkungen auf strukturierte Felder</w:t>
      </w:r>
      <w:r w:rsidRPr="00CC0275">
        <w:rPr>
          <w:lang w:eastAsia="de-DE"/>
        </w:rPr>
        <w:t xml:space="preserve">, deren Verhalten durch Variation ihrer Konfigurationen beschrieben werden kann [49][56]. Damit wird nicht nur die klassische Unterscheidung zwischen Substanz und Kraft obsolet, sondern auch die Vorstellung einer linearen, universellen Kausalordnung infrage gestellt. Kausalität erscheint im FRZK als </w:t>
      </w:r>
      <w:r w:rsidRPr="00CC0275">
        <w:rPr>
          <w:b/>
          <w:bCs/>
          <w:lang w:eastAsia="de-DE"/>
        </w:rPr>
        <w:t>emergentes Ordnungsprinzip</w:t>
      </w:r>
      <w:r w:rsidRPr="00CC0275">
        <w:rPr>
          <w:lang w:eastAsia="de-DE"/>
        </w:rPr>
        <w:t xml:space="preserve">, das sich aus der topologischen und metrischen Dynamik des Bezugssystems ergibt – flexibel, </w:t>
      </w:r>
      <w:proofErr w:type="spellStart"/>
      <w:r w:rsidRPr="00CC0275">
        <w:rPr>
          <w:lang w:eastAsia="de-DE"/>
        </w:rPr>
        <w:t>rekonfigurierbar</w:t>
      </w:r>
      <w:proofErr w:type="spellEnd"/>
      <w:r w:rsidRPr="00CC0275">
        <w:rPr>
          <w:lang w:eastAsia="de-DE"/>
        </w:rPr>
        <w:t xml:space="preserve"> und systemabhängig.</w:t>
      </w:r>
    </w:p>
    <w:p w14:paraId="5A6BC16E" w14:textId="702F2333" w:rsidR="00121132" w:rsidRDefault="00121132" w:rsidP="00121132">
      <w:pPr>
        <w:rPr>
          <w:lang w:eastAsia="de-DE"/>
        </w:rPr>
      </w:pPr>
      <w:r w:rsidRPr="00CC0275">
        <w:rPr>
          <w:lang w:eastAsia="de-DE"/>
        </w:rPr>
        <w:t>Diese Vorhersage trägt wesentlich dazu bei, bestehende Modelle in Physik und Systemtheorie neu zu interpretieren: Sie zeigt, dass Kausalität nicht außerhalb der Struktur liegt, sondern aus ihr generiert wird – eine Einsicht, die insbesondere für nichtlineare Systeme, adaptive Prozesse und komplexe Wechselwirkungsfelder von zentraler Bedeutung ist.</w:t>
      </w:r>
    </w:p>
    <w:p w14:paraId="5B665A61" w14:textId="3F9D8905" w:rsidR="00DD5A28" w:rsidRDefault="00DD5A28" w:rsidP="00121132">
      <w:pPr>
        <w:rPr>
          <w:lang w:eastAsia="de-DE"/>
        </w:rPr>
      </w:pPr>
      <w:r>
        <w:rPr>
          <w:lang w:eastAsia="de-DE"/>
        </w:rPr>
        <w:sym w:font="Wingdings" w:char="F0E0"/>
      </w:r>
    </w:p>
    <w:p w14:paraId="168E4974" w14:textId="77777777" w:rsidR="00DD5A28" w:rsidRDefault="00DD5A28" w:rsidP="00DD5A28">
      <w:pPr>
        <w:pStyle w:val="berschrift3"/>
        <w:rPr>
          <w:sz w:val="27"/>
          <w:szCs w:val="27"/>
          <w:lang w:eastAsia="de-DE"/>
        </w:rPr>
      </w:pPr>
      <w:r>
        <w:rPr>
          <w:rStyle w:val="Fett"/>
          <w:b/>
          <w:bCs w:val="0"/>
        </w:rPr>
        <w:t>4.4 Funktionale Abhängigkeit von Kausalität und Energie</w:t>
      </w:r>
    </w:p>
    <w:p w14:paraId="6BA4AF25" w14:textId="77777777" w:rsidR="00DD5A28" w:rsidRDefault="00DD5A28" w:rsidP="00DD5A28">
      <w:pPr>
        <w:pStyle w:val="berschrift4"/>
      </w:pPr>
      <w:r>
        <w:rPr>
          <w:rStyle w:val="Fett"/>
          <w:b w:val="0"/>
          <w:bCs w:val="0"/>
        </w:rPr>
        <w:t>4.4.1 Kausalität als strukturabhängige Funktion</w:t>
      </w:r>
    </w:p>
    <w:p w14:paraId="27E00DA3" w14:textId="77777777" w:rsidR="00DD5A28" w:rsidRDefault="00DD5A28" w:rsidP="00DD5A28">
      <w:pPr>
        <w:pStyle w:val="StandardWeb"/>
      </w:pPr>
      <w:r>
        <w:t xml:space="preserve">Im FRZK wird Kausalität nicht als gegebene Ordnung zwischen Ursachen und Wirkungen verstanden, sondern als </w:t>
      </w:r>
      <w:r>
        <w:rPr>
          <w:rStyle w:val="Fett"/>
        </w:rPr>
        <w:t>emergente Struktur</w:t>
      </w:r>
      <w:r>
        <w:t xml:space="preserve">, die aus feldabhängigen Raumkonfigurationen resultiert. Kausalrelationen erscheinen als Folgen spezifischer Feldzustände, deren Veränderungsrichtungen systemisch interpretierbar sind. Damit ist Kausalität </w:t>
      </w:r>
      <w:r>
        <w:rPr>
          <w:rStyle w:val="Fett"/>
        </w:rPr>
        <w:t>nicht vorausgesetzt</w:t>
      </w:r>
      <w:r>
        <w:t>, sondern funktional ableitbar – als Differenzstruktur zwischen Feldwerten über Zeitfolgen [29].</w:t>
      </w:r>
    </w:p>
    <w:p w14:paraId="5977EEF8" w14:textId="77777777" w:rsidR="00DD5A28" w:rsidRDefault="00DD5A28" w:rsidP="00DD5A28">
      <w:pPr>
        <w:pStyle w:val="berschrift4"/>
      </w:pPr>
      <w:r>
        <w:rPr>
          <w:rStyle w:val="Fett"/>
          <w:b w:val="0"/>
          <w:bCs w:val="0"/>
        </w:rPr>
        <w:t>4.4.2 Dynamik als Resultat metrischer und topologischer Operatoren</w:t>
      </w:r>
    </w:p>
    <w:p w14:paraId="6917883E" w14:textId="77777777" w:rsidR="00DD5A28" w:rsidRDefault="00DD5A28" w:rsidP="00DD5A28">
      <w:pPr>
        <w:pStyle w:val="StandardWeb"/>
      </w:pPr>
      <w:r>
        <w:t xml:space="preserve">Die Modellarchitektur des FRZK generiert Dynamik als Kombination von Metrik und </w:t>
      </w:r>
      <w:proofErr w:type="spellStart"/>
      <w:r>
        <w:t>Brane</w:t>
      </w:r>
      <w:proofErr w:type="spellEnd"/>
      <w:r>
        <w:t xml:space="preserve">-Funktion. Letztere kodiert die materielle und strukturelle Verteilung im Raum, während die Metrik deren geometrische Relationen bestimmt. Erst durch die Ableitung aus diesen beiden Operatoren entstehen </w:t>
      </w:r>
      <w:r>
        <w:rPr>
          <w:rStyle w:val="Fett"/>
        </w:rPr>
        <w:t>dynamische Gleichungen</w:t>
      </w:r>
      <w:r>
        <w:t xml:space="preserve">, die zeitabhängige Veränderung von Zuständen beschreiben – vergleichbar dem Lagrange- oder Hamilton-Formalismus in der klassischen Mechanik [30]. Diese Gleichungen treten jedoch nicht als externe Formeln auf, sondern als </w:t>
      </w:r>
      <w:r>
        <w:rPr>
          <w:rStyle w:val="Fett"/>
        </w:rPr>
        <w:t>Konsequenzen funktionaler Operatorverknüpfung</w:t>
      </w:r>
      <w:r>
        <w:t>.</w:t>
      </w:r>
    </w:p>
    <w:p w14:paraId="46D29ECB" w14:textId="77777777" w:rsidR="00DD5A28" w:rsidRDefault="00DD5A28" w:rsidP="00DD5A28">
      <w:pPr>
        <w:pStyle w:val="berschrift4"/>
      </w:pPr>
      <w:r>
        <w:rPr>
          <w:rStyle w:val="Fett"/>
          <w:b w:val="0"/>
          <w:bCs w:val="0"/>
        </w:rPr>
        <w:t>4.4.3 Energie und Impuls als abgeleitete Systemgrößen</w:t>
      </w:r>
    </w:p>
    <w:p w14:paraId="1922BDA5" w14:textId="77777777" w:rsidR="00DD5A28" w:rsidRDefault="00DD5A28" w:rsidP="00DD5A28">
      <w:pPr>
        <w:pStyle w:val="StandardWeb"/>
      </w:pPr>
      <w:r>
        <w:t xml:space="preserve">Im funktionalen Bezugssystem werden Energie und Impuls nicht als ontologisch festgelegte Erhaltungsgrößen eingeführt, sondern als </w:t>
      </w:r>
      <w:r>
        <w:rPr>
          <w:rStyle w:val="Fett"/>
        </w:rPr>
        <w:t>abgeleitete Systemgrößen</w:t>
      </w:r>
      <w:r>
        <w:t>, die aus der spezifischen Veränderung des Raum-Zeit-Feldes entstehen. So wird Energie im FRZK als Maß für die Rate der strukturellen Feldmodifikation und Impuls als gerichtete Strukturverschiebung im metrisch organisierten Raum interpretiert [31]. Diese Begriffe ergeben sich aus der Analyse systemischer Bewegungsrelationen innerhalb eines dynamischen Feldhintergrunds.</w:t>
      </w:r>
    </w:p>
    <w:p w14:paraId="64D22BFF" w14:textId="77777777" w:rsidR="00DD5A28" w:rsidRDefault="00DD5A28" w:rsidP="00DD5A28">
      <w:pPr>
        <w:pStyle w:val="berschrift4"/>
      </w:pPr>
      <w:r>
        <w:rPr>
          <w:rStyle w:val="Fett"/>
          <w:b w:val="0"/>
          <w:bCs w:val="0"/>
        </w:rPr>
        <w:t>4.4.4 Vergleich mit Feld- und Quantentheorien</w:t>
      </w:r>
    </w:p>
    <w:p w14:paraId="6DEEB34B" w14:textId="77777777" w:rsidR="00DD5A28" w:rsidRDefault="00DD5A28" w:rsidP="00DD5A28">
      <w:pPr>
        <w:pStyle w:val="StandardWeb"/>
      </w:pPr>
      <w:r>
        <w:t xml:space="preserve">Diese Sichtweise steht in enger Beziehung zu modernen physikalischen Theorien: In der Feldtheorie werden Teilchen als </w:t>
      </w:r>
      <w:r>
        <w:rPr>
          <w:rStyle w:val="Fett"/>
        </w:rPr>
        <w:t>lokale Anregungen eines zugrunde liegenden Feldes</w:t>
      </w:r>
      <w:r>
        <w:t xml:space="preserve"> interpretiert – also nicht als Substanzen, sondern als strukturelle Muster [32]. In der Quantenfeldtheorie verschärft sich dieser Gedanke, da alle beobachtbaren Größen aus Operatoren über Zustandsfunktionen konstruiert werden. Das FRZK schließt daran an, indem es zeigt, dass selbst Kausalität und Energie </w:t>
      </w:r>
      <w:r>
        <w:rPr>
          <w:rStyle w:val="Fett"/>
        </w:rPr>
        <w:t>nicht substanzbasiert</w:t>
      </w:r>
      <w:r>
        <w:t xml:space="preserve">, sondern </w:t>
      </w:r>
      <w:r>
        <w:rPr>
          <w:rStyle w:val="Fett"/>
        </w:rPr>
        <w:t>funktional rekonstruierbar</w:t>
      </w:r>
      <w:r>
        <w:t xml:space="preserve"> sind [33].</w:t>
      </w:r>
    </w:p>
    <w:p w14:paraId="79614665" w14:textId="77777777" w:rsidR="00DD5A28" w:rsidRDefault="00DD5A28" w:rsidP="00DD5A28">
      <w:pPr>
        <w:pStyle w:val="berschrift4"/>
      </w:pPr>
      <w:r>
        <w:rPr>
          <w:rStyle w:val="Fett"/>
          <w:b w:val="0"/>
          <w:bCs w:val="0"/>
        </w:rPr>
        <w:t>4.4.5 Kausalstruktur als modellinterner Effekt</w:t>
      </w:r>
    </w:p>
    <w:p w14:paraId="23D67E2A" w14:textId="77777777" w:rsidR="00DD5A28" w:rsidRDefault="00DD5A28" w:rsidP="00DD5A28">
      <w:pPr>
        <w:pStyle w:val="StandardWeb"/>
      </w:pPr>
      <w:r>
        <w:t xml:space="preserve">Die Vorhersage des FRZK besteht darin, dass Kausalstruktur </w:t>
      </w:r>
      <w:r>
        <w:rPr>
          <w:rStyle w:val="Fett"/>
        </w:rPr>
        <w:t>nicht global gegeben</w:t>
      </w:r>
      <w:r>
        <w:t xml:space="preserve">, sondern innerhalb des Modells erzeugt wird. Es handelt sich um einen systeminternen Effekt: Erst durch funktionale Zuweisungen im Raum-Zeit-Feld – insbesondere über die Differenzierung von Vorher/Nachher und die Konstanz strukturierter Übergänge – entstehen stabile Kausalpfade. Diese sind nicht universal, sondern </w:t>
      </w:r>
      <w:r>
        <w:rPr>
          <w:rStyle w:val="Fett"/>
        </w:rPr>
        <w:t>situations- und feldabhängig</w:t>
      </w:r>
      <w:r>
        <w:t>, was insbesondere für nichtlineare, adaptive oder interaktive Systeme von Bedeutung ist [34].</w:t>
      </w:r>
    </w:p>
    <w:p w14:paraId="14D81F8A" w14:textId="77777777" w:rsidR="0050473A" w:rsidRDefault="0050473A" w:rsidP="0050473A">
      <w:r>
        <w:sym w:font="Wingdings" w:char="F0DF"/>
      </w:r>
    </w:p>
    <w:p w14:paraId="199E4A5A" w14:textId="77777777" w:rsidR="00DD5A28" w:rsidRPr="00CC0275" w:rsidRDefault="00DD5A28" w:rsidP="00121132">
      <w:pPr>
        <w:rPr>
          <w:lang w:eastAsia="de-DE"/>
        </w:rPr>
      </w:pPr>
    </w:p>
    <w:p w14:paraId="72E86C47" w14:textId="77777777" w:rsidR="00121132" w:rsidRDefault="0050473A" w:rsidP="00121132">
      <w:r>
        <w:pict w14:anchorId="72AA531D">
          <v:rect id="_x0000_i1029" style="width:0;height:1.5pt" o:hralign="center" o:hrstd="t" o:hr="t" fillcolor="#a0a0a0" stroked="f"/>
        </w:pict>
      </w:r>
    </w:p>
    <w:p w14:paraId="598EDF65" w14:textId="77777777" w:rsidR="00121132" w:rsidRDefault="00121132" w:rsidP="00121132">
      <w:pPr>
        <w:pStyle w:val="berschrift1"/>
      </w:pPr>
      <w:r>
        <w:t>4.5 Dynamische und anpassungsfähige Bedeutungsfelder</w:t>
      </w:r>
    </w:p>
    <w:p w14:paraId="591D0C6B" w14:textId="77777777" w:rsidR="00121132" w:rsidRPr="00CC0275" w:rsidRDefault="00121132" w:rsidP="00121132">
      <w:pPr>
        <w:rPr>
          <w:lang w:eastAsia="de-DE"/>
        </w:rPr>
      </w:pPr>
      <w:bookmarkStart w:id="5" w:name="_9d2zvyka6uj6" w:colFirst="0" w:colLast="0"/>
      <w:bookmarkEnd w:id="5"/>
      <w:r w:rsidRPr="00CC0275">
        <w:rPr>
          <w:lang w:eastAsia="de-DE"/>
        </w:rPr>
        <w:t xml:space="preserve">Das FRZK prognostiziert, dass Bedeutungen keine festen, kontextunabhängigen Entitäten sind, sondern dynamisch generierte Strukturen innerhalb funktionaler semantischer Felder. Diese Felder entstehen durch operative Zuweisungen, Differenzierungen und Attraktionsprozesse, die im funktionalen Raum des Modells als dynamische Gleichgewichtsstrukturen beschrieben werden können. Bedeutungen sind in diesem Rahmen </w:t>
      </w:r>
      <w:r w:rsidRPr="00CC0275">
        <w:rPr>
          <w:b/>
          <w:bCs/>
          <w:lang w:eastAsia="de-DE"/>
        </w:rPr>
        <w:t>nicht statisch</w:t>
      </w:r>
      <w:r w:rsidRPr="00CC0275">
        <w:rPr>
          <w:lang w:eastAsia="de-DE"/>
        </w:rPr>
        <w:t xml:space="preserve">, sondern anpassungsfähig und rekursiv </w:t>
      </w:r>
      <w:proofErr w:type="spellStart"/>
      <w:r w:rsidRPr="00CC0275">
        <w:rPr>
          <w:lang w:eastAsia="de-DE"/>
        </w:rPr>
        <w:t>reorganisierbar</w:t>
      </w:r>
      <w:proofErr w:type="spellEnd"/>
      <w:r w:rsidRPr="00CC0275">
        <w:rPr>
          <w:lang w:eastAsia="de-DE"/>
        </w:rPr>
        <w:t>.</w:t>
      </w:r>
    </w:p>
    <w:p w14:paraId="4A723FD5" w14:textId="77777777" w:rsidR="00121132" w:rsidRPr="00CC0275" w:rsidRDefault="00121132" w:rsidP="00121132">
      <w:pPr>
        <w:rPr>
          <w:lang w:eastAsia="de-DE"/>
        </w:rPr>
      </w:pPr>
      <w:r w:rsidRPr="00CC0275">
        <w:rPr>
          <w:lang w:eastAsia="de-DE"/>
        </w:rPr>
        <w:t xml:space="preserve">Kern dieses Vorhersagekonzepts ist die Modellierbarkeit von Bedeutungsfeldern durch mathematisch beschreibbare Strukturen: Funktionen, Vektorfelder und Differentialgleichungen bilden die Grundlage, um semantische Dynamiken wie </w:t>
      </w:r>
      <w:r w:rsidRPr="00CC0275">
        <w:rPr>
          <w:b/>
          <w:bCs/>
          <w:lang w:eastAsia="de-DE"/>
        </w:rPr>
        <w:t xml:space="preserve">Diffusion, semantische Drift oder </w:t>
      </w:r>
      <w:proofErr w:type="spellStart"/>
      <w:r w:rsidRPr="00CC0275">
        <w:rPr>
          <w:b/>
          <w:bCs/>
          <w:lang w:eastAsia="de-DE"/>
        </w:rPr>
        <w:t>Attraktorbildung</w:t>
      </w:r>
      <w:proofErr w:type="spellEnd"/>
      <w:r w:rsidRPr="00CC0275">
        <w:rPr>
          <w:lang w:eastAsia="de-DE"/>
        </w:rPr>
        <w:t xml:space="preserve"> zu beschreiben. Semantische Attraktoren sind dabei definierte Zustände im Bedeutungsraum, auf die sich Interpretationen in diskursiven, sozialen oder kognitiven Kontexten stabilisieren. Die Dynamik entsteht aus Wechselwirkungen zwischen Bedeutungen, Kontexten und Systemzuständen – eine Struktur, die auch in neuronalen Netzwerken oder agentenbasierten Modellen beobachtbar ist.</w:t>
      </w:r>
    </w:p>
    <w:p w14:paraId="1C07BBDA" w14:textId="77777777" w:rsidR="00121132" w:rsidRPr="00CC0275" w:rsidRDefault="00121132" w:rsidP="00121132">
      <w:pPr>
        <w:rPr>
          <w:lang w:eastAsia="de-DE"/>
        </w:rPr>
      </w:pPr>
      <w:r w:rsidRPr="00CC0275">
        <w:rPr>
          <w:lang w:eastAsia="de-DE"/>
        </w:rPr>
        <w:t xml:space="preserve">Die „Beweisbarkeit“ dieser Vorhersage liegt nicht in experimenteller Verifikation im engeren Sinn, sondern in der </w:t>
      </w:r>
      <w:r w:rsidRPr="00CC0275">
        <w:rPr>
          <w:b/>
          <w:bCs/>
          <w:lang w:eastAsia="de-DE"/>
        </w:rPr>
        <w:t>formalen Integrierbarkeit</w:t>
      </w:r>
      <w:r w:rsidRPr="00CC0275">
        <w:rPr>
          <w:lang w:eastAsia="de-DE"/>
        </w:rPr>
        <w:t xml:space="preserve"> der Bedeutungsdynamik in das Gesamtsystem des FRZK [siehe 3.13]. Bedeutungsfelder werden dort als modellierbare Entitäten definiert, deren Veränderbarkeit aus den zugrundeliegenden Operatoren logisch und systemisch ableitbar ist. Damit wird semantische Entwicklung nicht bloß beobachtet, sondern als emergente Konsequenz funktionaler Strukturprinzipien verstanden.</w:t>
      </w:r>
    </w:p>
    <w:p w14:paraId="6FBE5C21" w14:textId="77777777" w:rsidR="00121132" w:rsidRPr="00CC0275" w:rsidRDefault="00121132" w:rsidP="00121132">
      <w:pPr>
        <w:rPr>
          <w:lang w:eastAsia="de-DE"/>
        </w:rPr>
      </w:pPr>
      <w:r w:rsidRPr="00CC0275">
        <w:rPr>
          <w:lang w:eastAsia="de-DE"/>
        </w:rPr>
        <w:t>Diese Perspektive findet Anschluss in verschiedenen Disziplinen: In der Kognitionswissenschaft etwa wird Bedeutung zunehmend als kontextsensitives, dynamisches Phänomen aufgefasst – wie in Theorien der konzeptuellen Metapher, der kognitiven Semantik oder dynamischen Repräsentationsmodelle. In der Linguistik wird mit Frame-Semantik und semantischen Feldern gearbeitet, die sich aus Gebrauchskontexten heraus differenzieren. In der Sozial- und Diskurstheorie schließlich beschreiben semantische Felder kulturelle und ideologische Bedeutungsräume, die durch kommunikative Akte reproduziert oder transformiert werden [80][81].</w:t>
      </w:r>
    </w:p>
    <w:p w14:paraId="74E15832" w14:textId="2505B766" w:rsidR="00121132" w:rsidRDefault="00121132" w:rsidP="00121132">
      <w:pPr>
        <w:rPr>
          <w:lang w:eastAsia="de-DE"/>
        </w:rPr>
      </w:pPr>
      <w:r w:rsidRPr="00CC0275">
        <w:rPr>
          <w:lang w:eastAsia="de-DE"/>
        </w:rPr>
        <w:t>Das FRZK bietet mit der Vorhersage dynamischer Bedeutungsfelder ein integrierbares Modell, das diese disziplinübergreifenden Ansätze nicht nur abbildet, sondern funktional generiert – als Konsequenz systemischer Operatoren. Die semantische Ordnung der Welt ist damit keine gegebene Struktur, sondern ein Ergebnis strukturell vermittelter Bedeutungszuweisungen in einem dynamisch operierenden System.</w:t>
      </w:r>
    </w:p>
    <w:p w14:paraId="675985B1" w14:textId="653D7A37" w:rsidR="00DD5A28" w:rsidRDefault="00DD5A28" w:rsidP="00121132">
      <w:pPr>
        <w:rPr>
          <w:lang w:eastAsia="de-DE"/>
        </w:rPr>
      </w:pPr>
      <w:r>
        <w:rPr>
          <w:lang w:eastAsia="de-DE"/>
        </w:rPr>
        <w:sym w:font="Wingdings" w:char="F0E0"/>
      </w:r>
    </w:p>
    <w:p w14:paraId="3B09E9B6" w14:textId="77777777" w:rsidR="00DD5A28" w:rsidRDefault="00DD5A28" w:rsidP="00DD5A28">
      <w:pPr>
        <w:pStyle w:val="berschrift3"/>
        <w:rPr>
          <w:sz w:val="27"/>
          <w:szCs w:val="27"/>
          <w:lang w:eastAsia="de-DE"/>
        </w:rPr>
      </w:pPr>
      <w:r>
        <w:rPr>
          <w:rStyle w:val="Fett"/>
          <w:b/>
          <w:bCs w:val="0"/>
        </w:rPr>
        <w:t>4.5 Dynamische und anpassungsfähige Bedeutungsfelder</w:t>
      </w:r>
    </w:p>
    <w:p w14:paraId="0657B5E6" w14:textId="77777777" w:rsidR="00DD5A28" w:rsidRDefault="00DD5A28" w:rsidP="00DD5A28">
      <w:pPr>
        <w:pStyle w:val="berschrift4"/>
      </w:pPr>
      <w:r>
        <w:rPr>
          <w:rStyle w:val="Fett"/>
          <w:b w:val="0"/>
          <w:bCs w:val="0"/>
        </w:rPr>
        <w:t>4.5.1 Bedeutung als Systemleistung</w:t>
      </w:r>
    </w:p>
    <w:p w14:paraId="6DE9F6AB" w14:textId="77777777" w:rsidR="00DD5A28" w:rsidRDefault="00DD5A28" w:rsidP="00DD5A28">
      <w:pPr>
        <w:pStyle w:val="StandardWeb"/>
      </w:pPr>
      <w:r>
        <w:t xml:space="preserve">Das FRZK betrachtet Bedeutung nicht als gegebene oder fixierte Eigenschaft sprachlicher Zeichen, sondern als emergente Systemleistung, die durch funktionale Zuweisung innerhalb eines semantischen Raums erzeugt wird. Bedeutungen entstehen aus </w:t>
      </w:r>
      <w:r>
        <w:rPr>
          <w:rStyle w:val="Fett"/>
        </w:rPr>
        <w:t>relationalen Differenzen</w:t>
      </w:r>
      <w:r>
        <w:t>, die innerhalb eines dynamischen Feldes koordiniert und stabilisiert werden. Sie sind das Resultat strukturierter Verknüpfungen zwischen Operatoren, Kontexten und systeminternen Funktionszuständen [35].</w:t>
      </w:r>
    </w:p>
    <w:p w14:paraId="43A8EE37" w14:textId="77777777" w:rsidR="00DD5A28" w:rsidRDefault="00DD5A28" w:rsidP="00DD5A28">
      <w:pPr>
        <w:pStyle w:val="berschrift4"/>
      </w:pPr>
      <w:r>
        <w:rPr>
          <w:rStyle w:val="Fett"/>
          <w:b w:val="0"/>
          <w:bCs w:val="0"/>
        </w:rPr>
        <w:t>4.5.2 Semantische Felder als dynamische Strukturen</w:t>
      </w:r>
    </w:p>
    <w:p w14:paraId="42C783A1" w14:textId="77777777" w:rsidR="00DD5A28" w:rsidRDefault="00DD5A28" w:rsidP="00DD5A28">
      <w:pPr>
        <w:pStyle w:val="StandardWeb"/>
      </w:pPr>
      <w:r>
        <w:t xml:space="preserve">Bedeutungsfelder werden im FRZK als </w:t>
      </w:r>
      <w:r>
        <w:rPr>
          <w:rStyle w:val="Fett"/>
        </w:rPr>
        <w:t xml:space="preserve">semantische </w:t>
      </w:r>
      <w:proofErr w:type="spellStart"/>
      <w:r>
        <w:rPr>
          <w:rStyle w:val="Fett"/>
        </w:rPr>
        <w:t>Attraktorlandschaften</w:t>
      </w:r>
      <w:proofErr w:type="spellEnd"/>
      <w:r>
        <w:t xml:space="preserve"> modelliert. Diese Felder bestehen aus lokalisierten Bedeutungszentren („Attraktoren“) und fließenden Übergängen, deren Struktur durch systeminterne Interaktionen bestimmt wird. Die Dynamik ergibt sich aus der Veränderung dieser semantischen Konfigurationen über Zeit – etwa durch Diskurse, Interpretationsverschiebungen oder Kontextveränderungen. Mathematisch lässt sich dies durch Differentialgleichungen oder Potentialfunktionen beschreiben, wie sie auch in kognitiven Semantikmodellen Anwendung finden [36].</w:t>
      </w:r>
    </w:p>
    <w:p w14:paraId="7B11948C" w14:textId="77777777" w:rsidR="00DD5A28" w:rsidRDefault="00DD5A28" w:rsidP="00DD5A28">
      <w:pPr>
        <w:pStyle w:val="berschrift4"/>
      </w:pPr>
      <w:r>
        <w:rPr>
          <w:rStyle w:val="Fett"/>
          <w:b w:val="0"/>
          <w:bCs w:val="0"/>
        </w:rPr>
        <w:t>4.5.3 Modifizierbarkeit durch Operatorwirkung</w:t>
      </w:r>
    </w:p>
    <w:p w14:paraId="6C7CAFA0" w14:textId="77777777" w:rsidR="00DD5A28" w:rsidRDefault="00DD5A28" w:rsidP="00DD5A28">
      <w:pPr>
        <w:pStyle w:val="StandardWeb"/>
      </w:pPr>
      <w:r>
        <w:t xml:space="preserve">Im funktionalen Rahmen sind Bedeutungsfelder </w:t>
      </w:r>
      <w:r>
        <w:rPr>
          <w:rStyle w:val="Fett"/>
        </w:rPr>
        <w:t>nicht starr</w:t>
      </w:r>
      <w:r>
        <w:t xml:space="preserve">, sondern durch gezielte Operatorwirkung modifizierbar. Diskursive Prozesse (z. B. Umdeutungen, Neubesetzungen, Metaphern) wirken wie semantische Transformationen, die bestehende Felder verschieben, </w:t>
      </w:r>
      <w:proofErr w:type="spellStart"/>
      <w:r>
        <w:t>dezentrieren</w:t>
      </w:r>
      <w:proofErr w:type="spellEnd"/>
      <w:r>
        <w:t xml:space="preserve"> oder umstrukturieren können. Diese Prozesse lassen sich als Anwendung höherstufiger Operatoren auf bestehende semantische Relationen beschreiben – eine Art </w:t>
      </w:r>
      <w:r>
        <w:rPr>
          <w:rStyle w:val="Fett"/>
        </w:rPr>
        <w:t>semantischer Morphogenese</w:t>
      </w:r>
      <w:r>
        <w:t xml:space="preserve"> [37].</w:t>
      </w:r>
    </w:p>
    <w:p w14:paraId="066A7534" w14:textId="77777777" w:rsidR="00DD5A28" w:rsidRDefault="00DD5A28" w:rsidP="00DD5A28">
      <w:pPr>
        <w:pStyle w:val="berschrift4"/>
      </w:pPr>
      <w:r>
        <w:rPr>
          <w:rStyle w:val="Fett"/>
          <w:b w:val="0"/>
          <w:bCs w:val="0"/>
        </w:rPr>
        <w:t>4.5.4 Interdisziplinäre Anschlussfähigkeit</w:t>
      </w:r>
    </w:p>
    <w:p w14:paraId="3D1F0AE8" w14:textId="77777777" w:rsidR="00DD5A28" w:rsidRDefault="00DD5A28" w:rsidP="00DD5A28">
      <w:pPr>
        <w:pStyle w:val="StandardWeb"/>
      </w:pPr>
      <w:r>
        <w:t xml:space="preserve">Das Modell ist anschlussfähig </w:t>
      </w:r>
      <w:proofErr w:type="gramStart"/>
      <w:r>
        <w:t>an mehrere disziplinäre Diskurse</w:t>
      </w:r>
      <w:proofErr w:type="gramEnd"/>
      <w:r>
        <w:t xml:space="preserve">: In der </w:t>
      </w:r>
      <w:r>
        <w:rPr>
          <w:rStyle w:val="Fett"/>
        </w:rPr>
        <w:t>Kognitionswissenschaft</w:t>
      </w:r>
      <w:r>
        <w:t xml:space="preserve"> werden Bedeutungskonstruktionen zunehmend als dynamische Netzwerke verstanden, in der </w:t>
      </w:r>
      <w:r>
        <w:rPr>
          <w:rStyle w:val="Fett"/>
        </w:rPr>
        <w:t>Linguistik</w:t>
      </w:r>
      <w:r>
        <w:t xml:space="preserve"> existieren Konzepte wie Frame-Semantik oder semantische Prototypenmodelle, und in der </w:t>
      </w:r>
      <w:r>
        <w:rPr>
          <w:rStyle w:val="Fett"/>
        </w:rPr>
        <w:t>Diskurs- und Kulturtheorie</w:t>
      </w:r>
      <w:r>
        <w:t xml:space="preserve"> werden Bedeutung als Ergebnis performativer und medialer Praktiken begriffen. Das FRZK integriert diese Perspektiven zu einem funktional generativen Modell: Bedeutung ist hier ein </w:t>
      </w:r>
      <w:r>
        <w:rPr>
          <w:rStyle w:val="Fett"/>
        </w:rPr>
        <w:t xml:space="preserve">offenes, </w:t>
      </w:r>
      <w:proofErr w:type="spellStart"/>
      <w:r>
        <w:rPr>
          <w:rStyle w:val="Fett"/>
        </w:rPr>
        <w:t>rekonfigurierbares</w:t>
      </w:r>
      <w:proofErr w:type="spellEnd"/>
      <w:r>
        <w:rPr>
          <w:rStyle w:val="Fett"/>
        </w:rPr>
        <w:t xml:space="preserve"> Feld</w:t>
      </w:r>
      <w:r>
        <w:t>, dessen Struktur als Funktion seiner operativen Erzeugung verstanden wird [38][39].</w:t>
      </w:r>
    </w:p>
    <w:p w14:paraId="6AF236E7" w14:textId="77777777" w:rsidR="00DD5A28" w:rsidRDefault="00DD5A28" w:rsidP="00DD5A28">
      <w:pPr>
        <w:pStyle w:val="berschrift4"/>
      </w:pPr>
      <w:r>
        <w:rPr>
          <w:rStyle w:val="Fett"/>
          <w:b w:val="0"/>
          <w:bCs w:val="0"/>
        </w:rPr>
        <w:t>4.5.5 Beweisbarkeit im funktionalen Rahmen</w:t>
      </w:r>
    </w:p>
    <w:p w14:paraId="693126D7" w14:textId="77777777" w:rsidR="00DD5A28" w:rsidRDefault="00DD5A28" w:rsidP="00DD5A28">
      <w:pPr>
        <w:pStyle w:val="StandardWeb"/>
      </w:pPr>
      <w:r>
        <w:t xml:space="preserve">Die „Beweisbarkeit“ der dynamischen Struktur von Bedeutungsfeldern liegt im FRZK nicht in empirischer Messbarkeit, sondern in der </w:t>
      </w:r>
      <w:r>
        <w:rPr>
          <w:rStyle w:val="Fett"/>
        </w:rPr>
        <w:t>modellinternen Kohärenz</w:t>
      </w:r>
      <w:r>
        <w:t>: Wenn Bedeutung aus funktionaler Zuweisung hervorgeht, muss ein Modell, das diese Zuweisung vollständig beschreibt, auch die Möglichkeit zur Bedeutungsdynamik enthalten. Die Funktionalisierung von Bedeutung im Modell ist also zugleich eine Strukturvorhersage: Bedeutungen sind nur dann stabil, wenn sie im Feldsystem durch Attraktoren fixiert und durch Systemprozesse aufrechterhalten werden – andernfalls sind sie prinzipiell veränderlich [40].</w:t>
      </w:r>
    </w:p>
    <w:p w14:paraId="423EB278" w14:textId="77777777" w:rsidR="0050473A" w:rsidRDefault="0050473A" w:rsidP="0050473A">
      <w:r>
        <w:sym w:font="Wingdings" w:char="F0DF"/>
      </w:r>
    </w:p>
    <w:p w14:paraId="02868BD7" w14:textId="77777777" w:rsidR="00DD5A28" w:rsidRPr="00CC0275" w:rsidRDefault="00DD5A28" w:rsidP="00121132">
      <w:pPr>
        <w:rPr>
          <w:lang w:eastAsia="de-DE"/>
        </w:rPr>
      </w:pPr>
    </w:p>
    <w:p w14:paraId="040159E6" w14:textId="77777777" w:rsidR="00121132" w:rsidRDefault="0050473A" w:rsidP="00121132">
      <w:r>
        <w:pict w14:anchorId="0B437D6B">
          <v:rect id="_x0000_i1030" style="width:0;height:1.5pt" o:hralign="center" o:hrstd="t" o:hr="t" fillcolor="#a0a0a0" stroked="f"/>
        </w:pict>
      </w:r>
    </w:p>
    <w:p w14:paraId="42E2770A" w14:textId="77777777" w:rsidR="00121132" w:rsidRDefault="00121132" w:rsidP="00121132">
      <w:pPr>
        <w:pStyle w:val="berschrift1"/>
      </w:pPr>
      <w:r>
        <w:t>4.6 Transformierbarkeit symbolischer Ordnungen durch Reflexion</w:t>
      </w:r>
    </w:p>
    <w:p w14:paraId="51BDEC9C" w14:textId="77777777" w:rsidR="00121132" w:rsidRPr="00121132" w:rsidRDefault="00121132" w:rsidP="00121132">
      <w:pPr>
        <w:rPr>
          <w:lang w:eastAsia="de-DE"/>
        </w:rPr>
      </w:pPr>
      <w:bookmarkStart w:id="6" w:name="_el7fwl1i0bi6" w:colFirst="0" w:colLast="0"/>
      <w:bookmarkEnd w:id="6"/>
      <w:r w:rsidRPr="00121132">
        <w:rPr>
          <w:lang w:eastAsia="de-DE"/>
        </w:rPr>
        <w:t xml:space="preserve">Das FRZK prognostiziert, dass symbolische Ordnungen – also kulturell stabilisierte Systeme von Bedeutungen, Regeln und Kategorien – nicht unveränderlich sind, sondern durch reflexive Operationen transformiert werden können. Diese Transformation erfolgt durch spezifische kognitive und soziale Prozesse wie </w:t>
      </w:r>
      <w:r w:rsidRPr="00121132">
        <w:rPr>
          <w:b/>
          <w:bCs/>
          <w:lang w:eastAsia="de-DE"/>
        </w:rPr>
        <w:t>Reflexion, Diskurs und Metakognition</w:t>
      </w:r>
      <w:r w:rsidRPr="00121132">
        <w:rPr>
          <w:lang w:eastAsia="de-DE"/>
        </w:rPr>
        <w:t>, die innerhalb des funktionalen Raums als Operatoren modelliert sind [75][76][77].</w:t>
      </w:r>
    </w:p>
    <w:p w14:paraId="7E2AEEDD" w14:textId="77777777" w:rsidR="00121132" w:rsidRPr="00121132" w:rsidRDefault="00121132" w:rsidP="00121132">
      <w:pPr>
        <w:rPr>
          <w:lang w:eastAsia="de-DE"/>
        </w:rPr>
      </w:pPr>
      <w:r w:rsidRPr="00121132">
        <w:rPr>
          <w:lang w:eastAsia="de-DE"/>
        </w:rPr>
        <w:t xml:space="preserve">Symbolische Ordnung meint hier die strukturierte Verknüpfung von Zeichen, Bedeutungen und normativen Geltungsansprüchen innerhalb eines Systems – etwa in Sprache, Wissenschaft, Recht oder Technik. Das FRZK macht deutlich, dass diese Ordnungen weder naturgegeben noch statisch sind, sondern durch </w:t>
      </w:r>
      <w:proofErr w:type="spellStart"/>
      <w:r w:rsidRPr="00121132">
        <w:rPr>
          <w:b/>
          <w:bCs/>
          <w:lang w:eastAsia="de-DE"/>
        </w:rPr>
        <w:t>rekonfigurierbare</w:t>
      </w:r>
      <w:proofErr w:type="spellEnd"/>
      <w:r w:rsidRPr="00121132">
        <w:rPr>
          <w:b/>
          <w:bCs/>
          <w:lang w:eastAsia="de-DE"/>
        </w:rPr>
        <w:t xml:space="preserve"> semantische Felder</w:t>
      </w:r>
      <w:r w:rsidRPr="00121132">
        <w:rPr>
          <w:lang w:eastAsia="de-DE"/>
        </w:rPr>
        <w:t xml:space="preserve"> gebildet und verändert werden können. Die Fähigkeit eines Systems, über seine eigene Struktur nachzudenken, ist dabei nicht </w:t>
      </w:r>
      <w:proofErr w:type="spellStart"/>
      <w:r w:rsidRPr="00121132">
        <w:rPr>
          <w:lang w:eastAsia="de-DE"/>
        </w:rPr>
        <w:t>epiphänomenal</w:t>
      </w:r>
      <w:proofErr w:type="spellEnd"/>
      <w:r w:rsidRPr="00121132">
        <w:rPr>
          <w:lang w:eastAsia="de-DE"/>
        </w:rPr>
        <w:t>, sondern modelltheoretisch explizit fassbar: Reflexion und Diskurs erscheinen als Operatoren höherer Ordnung, die bestehende Zuweisungen modifizieren, invertieren oder neu konfigurieren.</w:t>
      </w:r>
    </w:p>
    <w:p w14:paraId="501A9E74" w14:textId="77777777" w:rsidR="00121132" w:rsidRPr="00121132" w:rsidRDefault="00121132" w:rsidP="00121132">
      <w:pPr>
        <w:rPr>
          <w:lang w:eastAsia="de-DE"/>
        </w:rPr>
      </w:pPr>
      <w:r w:rsidRPr="00121132">
        <w:rPr>
          <w:lang w:eastAsia="de-DE"/>
        </w:rPr>
        <w:t xml:space="preserve">In Kapitel 3.15 wurde gezeigt, dass diese Prozesse als </w:t>
      </w:r>
      <w:r w:rsidRPr="00121132">
        <w:rPr>
          <w:b/>
          <w:bCs/>
          <w:lang w:eastAsia="de-DE"/>
        </w:rPr>
        <w:t>funktionale Meta-Operatoren</w:t>
      </w:r>
      <w:r w:rsidRPr="00121132">
        <w:rPr>
          <w:lang w:eastAsia="de-DE"/>
        </w:rPr>
        <w:t xml:space="preserve"> darstellbar sind, die sich auf andere Funktionen im System beziehen können – etwa durch Wiederholungs-, Bewertungs- oder </w:t>
      </w:r>
      <w:proofErr w:type="spellStart"/>
      <w:r w:rsidRPr="00121132">
        <w:rPr>
          <w:lang w:eastAsia="de-DE"/>
        </w:rPr>
        <w:t>Reinterpretationsmechanismen</w:t>
      </w:r>
      <w:proofErr w:type="spellEnd"/>
      <w:r w:rsidRPr="00121132">
        <w:rPr>
          <w:lang w:eastAsia="de-DE"/>
        </w:rPr>
        <w:t xml:space="preserve">. Reflexion ist damit nicht nur ein psychologischer oder philosophischer Begriff, sondern ein </w:t>
      </w:r>
      <w:r w:rsidRPr="00121132">
        <w:rPr>
          <w:b/>
          <w:bCs/>
          <w:lang w:eastAsia="de-DE"/>
        </w:rPr>
        <w:t>systemischer Operator</w:t>
      </w:r>
      <w:r w:rsidRPr="00121132">
        <w:rPr>
          <w:lang w:eastAsia="de-DE"/>
        </w:rPr>
        <w:t>, der semantische Stabilität unterbrechen und Neuzuweisungen initiieren kann.</w:t>
      </w:r>
    </w:p>
    <w:p w14:paraId="283D9FE2" w14:textId="77777777" w:rsidR="00121132" w:rsidRPr="00121132" w:rsidRDefault="00121132" w:rsidP="00121132">
      <w:pPr>
        <w:rPr>
          <w:lang w:eastAsia="de-DE"/>
        </w:rPr>
      </w:pPr>
      <w:r w:rsidRPr="00121132">
        <w:rPr>
          <w:lang w:eastAsia="de-DE"/>
        </w:rPr>
        <w:t>Die „Beweisbarkeit“ dieser Vorhersage liegt in der internen Konsistenz des Modells: Sobald eine funktionale Meta-Struktur gegeben ist, wird die Möglichkeit rekursiver Selbstanwendung logisch notwendig. Zudem lassen sich zahlreiche Phänomene empirisch als Resultate reflexiver Umstrukturierung beschreiben – etwa Paradigmenwechsel in der Wissenschaft, semantische Verschiebungen in politischen Diskursen oder mentale Reframing-Prozesse in der Kognitionspsychologie. Diese Prozesse sind nicht zufällig, sondern folgen der Logik reflexiver Operatorwirkung auf symbolische Ordnungen.</w:t>
      </w:r>
    </w:p>
    <w:p w14:paraId="5F2B6F7A" w14:textId="6173DCFC" w:rsidR="00121132" w:rsidRDefault="00121132" w:rsidP="00121132">
      <w:pPr>
        <w:rPr>
          <w:lang w:eastAsia="de-DE"/>
        </w:rPr>
      </w:pPr>
      <w:r w:rsidRPr="00121132">
        <w:rPr>
          <w:lang w:eastAsia="de-DE"/>
        </w:rPr>
        <w:t xml:space="preserve">Durch die Integration dieser Prozesse in das FRZK wird deutlich, dass Bedeutung kein abgeschlossenes System bildet, sondern durch reflexive Rekonfiguration strukturell </w:t>
      </w:r>
      <w:proofErr w:type="gramStart"/>
      <w:r w:rsidRPr="00121132">
        <w:rPr>
          <w:lang w:eastAsia="de-DE"/>
        </w:rPr>
        <w:t>offen bleibt</w:t>
      </w:r>
      <w:proofErr w:type="gramEnd"/>
      <w:r w:rsidRPr="00121132">
        <w:rPr>
          <w:lang w:eastAsia="de-DE"/>
        </w:rPr>
        <w:t xml:space="preserve">. Die symbolische Ordnung eines Systems ist damit nicht nur funktional erzeugt, sondern auch </w:t>
      </w:r>
      <w:r w:rsidRPr="00121132">
        <w:rPr>
          <w:b/>
          <w:bCs/>
          <w:lang w:eastAsia="de-DE"/>
        </w:rPr>
        <w:t>transformativ zugänglich</w:t>
      </w:r>
      <w:r w:rsidRPr="00121132">
        <w:rPr>
          <w:lang w:eastAsia="de-DE"/>
        </w:rPr>
        <w:t xml:space="preserve"> – ein zentrales Merkmal dynamischer, lernfähiger und adaptiver Systeme.</w:t>
      </w:r>
    </w:p>
    <w:p w14:paraId="34F18B09" w14:textId="78CD7C48" w:rsidR="00D30F48" w:rsidRDefault="00D30F48" w:rsidP="00121132">
      <w:pPr>
        <w:rPr>
          <w:lang w:eastAsia="de-DE"/>
        </w:rPr>
      </w:pPr>
      <w:r>
        <w:rPr>
          <w:lang w:eastAsia="de-DE"/>
        </w:rPr>
        <w:sym w:font="Wingdings" w:char="F0E0"/>
      </w:r>
    </w:p>
    <w:p w14:paraId="79C3DA76" w14:textId="77777777" w:rsidR="00D30F48" w:rsidRDefault="00D30F48" w:rsidP="00D30F48">
      <w:pPr>
        <w:pStyle w:val="berschrift3"/>
        <w:rPr>
          <w:sz w:val="27"/>
          <w:szCs w:val="27"/>
          <w:lang w:eastAsia="de-DE"/>
        </w:rPr>
      </w:pPr>
      <w:r>
        <w:rPr>
          <w:rStyle w:val="Fett"/>
          <w:b/>
          <w:bCs w:val="0"/>
        </w:rPr>
        <w:t>4.6 Transformierbarkeit symbolischer Ordnungen durch Reflexion</w:t>
      </w:r>
    </w:p>
    <w:p w14:paraId="69A0E03E" w14:textId="77777777" w:rsidR="00D30F48" w:rsidRDefault="00D30F48" w:rsidP="00D30F48">
      <w:pPr>
        <w:pStyle w:val="berschrift4"/>
      </w:pPr>
      <w:r>
        <w:rPr>
          <w:rStyle w:val="Fett"/>
          <w:b w:val="0"/>
          <w:bCs w:val="0"/>
        </w:rPr>
        <w:t>4.6.1 Symbolische Ordnung als strukturierende Semantik</w:t>
      </w:r>
    </w:p>
    <w:p w14:paraId="5BC7A2A2" w14:textId="77777777" w:rsidR="00D30F48" w:rsidRDefault="00D30F48" w:rsidP="00D30F48">
      <w:pPr>
        <w:pStyle w:val="StandardWeb"/>
      </w:pPr>
      <w:r>
        <w:t xml:space="preserve">Symbolische Ordnungen bezeichnen im Kontext des FRZK regulierte, kollektiv stabilisierte Bedeutungsräume. Sie umfassen Kategorien, Konzepte, Diskurse und semantische Differenzsysteme, die durch gesellschaftliche, kognitive oder technologische Praktiken institutionalisiert sind. Solche Ordnungen wirken als </w:t>
      </w:r>
      <w:r>
        <w:rPr>
          <w:rStyle w:val="Fett"/>
        </w:rPr>
        <w:t>strukturierende Semantik</w:t>
      </w:r>
      <w:r>
        <w:t>, die Wahrnehmung, Handlung und Interpretation prägt – von Sprache bis Wissenschaft, von Normen bis Identitäten [41].</w:t>
      </w:r>
    </w:p>
    <w:p w14:paraId="14B70136" w14:textId="77777777" w:rsidR="00D30F48" w:rsidRDefault="00D30F48" w:rsidP="00D30F48">
      <w:pPr>
        <w:pStyle w:val="berschrift4"/>
      </w:pPr>
      <w:r>
        <w:rPr>
          <w:rStyle w:val="Fett"/>
          <w:b w:val="0"/>
          <w:bCs w:val="0"/>
        </w:rPr>
        <w:t>4.6.2 Reflexion als systemische Meta-Operation</w:t>
      </w:r>
    </w:p>
    <w:p w14:paraId="4BB63EB9" w14:textId="77777777" w:rsidR="00D30F48" w:rsidRDefault="00D30F48" w:rsidP="00D30F48">
      <w:pPr>
        <w:pStyle w:val="StandardWeb"/>
      </w:pPr>
      <w:r>
        <w:t xml:space="preserve">Das FRZK modelliert Reflexion nicht als kontemplativen Akt eines Subjekts, sondern als </w:t>
      </w:r>
      <w:r>
        <w:rPr>
          <w:rStyle w:val="Fett"/>
        </w:rPr>
        <w:t>funktionale Meta-Operation</w:t>
      </w:r>
      <w:r>
        <w:t xml:space="preserve"> innerhalb des Systems selbst. Reflexion ist die Fähigkeit eines Systems, auf eigene Operationen Bezug zu nehmen, sie zu beobachten, zu variieren und zu rekonfigurieren. Formal betrachtet wirkt Reflexion als Operator zweiter oder höherer Ordnung, der auf semantische Felder, Differenzen oder Geltungsstrukturen angewendet werden kann [42]. Dadurch wird nicht nur bestehende Bedeutung analysiert, sondern potenziell transformiert.</w:t>
      </w:r>
    </w:p>
    <w:p w14:paraId="29910B56" w14:textId="77777777" w:rsidR="00D30F48" w:rsidRDefault="00D30F48" w:rsidP="00D30F48">
      <w:pPr>
        <w:pStyle w:val="berschrift4"/>
      </w:pPr>
      <w:r>
        <w:rPr>
          <w:rStyle w:val="Fett"/>
          <w:b w:val="0"/>
          <w:bCs w:val="0"/>
        </w:rPr>
        <w:t>4.6.3 Diskurs und Metakognition als Transformationsmechanismen</w:t>
      </w:r>
    </w:p>
    <w:p w14:paraId="3C6CAAB3" w14:textId="77777777" w:rsidR="00D30F48" w:rsidRDefault="00D30F48" w:rsidP="00D30F48">
      <w:pPr>
        <w:pStyle w:val="StandardWeb"/>
      </w:pPr>
      <w:r>
        <w:t xml:space="preserve">Diskurs und Metakognition erscheinen im FRZK als </w:t>
      </w:r>
      <w:r>
        <w:rPr>
          <w:rStyle w:val="Fett"/>
        </w:rPr>
        <w:t>spezialisierte Operatoren</w:t>
      </w:r>
      <w:r>
        <w:t xml:space="preserve">, durch die symbolische Ordnungen verändert werden. Diskurse strukturieren kollektive Bedeutungsproduktion, indem sie Anschlussmöglichkeiten eröffnen oder ausschließen. Metakognitive Prozesse bewerten, überwachen oder modifizieren kognitive Operationen innerhalb eines Systems. Beide Mechanismen agieren als </w:t>
      </w:r>
      <w:r>
        <w:rPr>
          <w:rStyle w:val="Fett"/>
        </w:rPr>
        <w:t>Regelsysteme zweiter Ordnung</w:t>
      </w:r>
      <w:r>
        <w:t>, die die Geltung bestehender symbolischer Konfigurationen infrage stellen oder neu rahmen [43].</w:t>
      </w:r>
    </w:p>
    <w:p w14:paraId="2FDD614E" w14:textId="77777777" w:rsidR="00D30F48" w:rsidRDefault="00D30F48" w:rsidP="00D30F48">
      <w:pPr>
        <w:pStyle w:val="berschrift4"/>
      </w:pPr>
      <w:r>
        <w:rPr>
          <w:rStyle w:val="Fett"/>
          <w:b w:val="0"/>
          <w:bCs w:val="0"/>
        </w:rPr>
        <w:t>4.6.4 Transformationslogik im funktionalen Modell</w:t>
      </w:r>
    </w:p>
    <w:p w14:paraId="5AEAC3BA" w14:textId="77777777" w:rsidR="00D30F48" w:rsidRDefault="00D30F48" w:rsidP="00D30F48">
      <w:pPr>
        <w:pStyle w:val="StandardWeb"/>
      </w:pPr>
      <w:r>
        <w:t xml:space="preserve">Die Transformierbarkeit symbolischer Ordnungen ergibt sich im FRZK aus ihrer Modellierung als </w:t>
      </w:r>
      <w:r>
        <w:rPr>
          <w:rStyle w:val="Fett"/>
        </w:rPr>
        <w:t>offene, dynamische Felder</w:t>
      </w:r>
      <w:r>
        <w:t xml:space="preserve">, die durch </w:t>
      </w:r>
      <w:proofErr w:type="spellStart"/>
      <w:r>
        <w:t>operatorische</w:t>
      </w:r>
      <w:proofErr w:type="spellEnd"/>
      <w:r>
        <w:t xml:space="preserve"> Zuweisung erzeugt und reguliert werden. Reflexive Operatoren wirken auf die Parameter dieser Felder ein und ermöglichen strukturelle Umkodierungen – z. B. die Reinterpretation eines Begriffs, die Verschiebung normativer Geltung oder die Inversion von Diskurspolaritäten. Diese Prozesse sind nicht beliebig, sondern folgen einer </w:t>
      </w:r>
      <w:r>
        <w:rPr>
          <w:rStyle w:val="Fett"/>
        </w:rPr>
        <w:t xml:space="preserve">logischen Struktur von Differenz, Bewertung und </w:t>
      </w:r>
      <w:proofErr w:type="spellStart"/>
      <w:r>
        <w:rPr>
          <w:rStyle w:val="Fett"/>
        </w:rPr>
        <w:t>Rekontextualisierung</w:t>
      </w:r>
      <w:proofErr w:type="spellEnd"/>
      <w:r>
        <w:t>, die im Modell nachvollziehbar formalisiert ist [44].</w:t>
      </w:r>
    </w:p>
    <w:p w14:paraId="7B63A0F7" w14:textId="77777777" w:rsidR="00D30F48" w:rsidRDefault="00D30F48" w:rsidP="00D30F48">
      <w:pPr>
        <w:pStyle w:val="berschrift4"/>
      </w:pPr>
      <w:r>
        <w:rPr>
          <w:rStyle w:val="Fett"/>
          <w:b w:val="0"/>
          <w:bCs w:val="0"/>
        </w:rPr>
        <w:t>4.6.5 Beispielhafte Anwendungsbereiche</w:t>
      </w:r>
    </w:p>
    <w:p w14:paraId="3823213C" w14:textId="77777777" w:rsidR="00D30F48" w:rsidRDefault="00D30F48" w:rsidP="00D30F48">
      <w:pPr>
        <w:pStyle w:val="StandardWeb"/>
      </w:pPr>
      <w:r>
        <w:t xml:space="preserve">Diese Modellstruktur erlaubt es, reale Prozesse symbolischer Transformation systematisch zu rekonstruieren: etwa den </w:t>
      </w:r>
      <w:r>
        <w:rPr>
          <w:rStyle w:val="Fett"/>
        </w:rPr>
        <w:t>Paradigmenwechsel in der Wissenschaft</w:t>
      </w:r>
      <w:r>
        <w:t xml:space="preserve"> (Kuhn), die </w:t>
      </w:r>
      <w:r>
        <w:rPr>
          <w:rStyle w:val="Fett"/>
        </w:rPr>
        <w:t>semantische Rekodierung politischer Begriffe</w:t>
      </w:r>
      <w:r>
        <w:t xml:space="preserve"> (z. B. Freiheit, Sicherheit, Verantwortung), oder den </w:t>
      </w:r>
      <w:r>
        <w:rPr>
          <w:rStyle w:val="Fett"/>
        </w:rPr>
        <w:t>Reframing-Prozess</w:t>
      </w:r>
      <w:r>
        <w:t xml:space="preserve"> in individueller Kognition (z. B. in Therapie oder Bildung). Das FRZK liefert damit ein formales Rahmenwerk zur Analyse und Prognose symbolischer Re-Konfiguration – nicht normativ, sondern strukturell begründet [45].</w:t>
      </w:r>
    </w:p>
    <w:p w14:paraId="7A518E6A" w14:textId="77777777" w:rsidR="0050473A" w:rsidRDefault="0050473A" w:rsidP="0050473A">
      <w:r>
        <w:sym w:font="Wingdings" w:char="F0DF"/>
      </w:r>
    </w:p>
    <w:p w14:paraId="0F275847" w14:textId="77777777" w:rsidR="00121132" w:rsidRDefault="0050473A" w:rsidP="00121132">
      <w:r>
        <w:pict w14:anchorId="372F2B58">
          <v:rect id="_x0000_i1031" style="width:0;height:1.5pt" o:hralign="center" o:hrstd="t" o:hr="t" fillcolor="#a0a0a0" stroked="f"/>
        </w:pict>
      </w:r>
    </w:p>
    <w:p w14:paraId="7372636C" w14:textId="77777777" w:rsidR="00121132" w:rsidRDefault="00121132" w:rsidP="00121132">
      <w:pPr>
        <w:pStyle w:val="berschrift1"/>
      </w:pPr>
      <w:r>
        <w:t>4.7 Ko-evolutionäre Natur von semantischer und kultureller Entwicklung</w:t>
      </w:r>
    </w:p>
    <w:p w14:paraId="065D18F4" w14:textId="77777777" w:rsidR="00121132" w:rsidRDefault="00121132" w:rsidP="00121132">
      <w:pPr>
        <w:pStyle w:val="StandardWeb"/>
      </w:pPr>
      <w:bookmarkStart w:id="7" w:name="_d9osou3caiqo" w:colFirst="0" w:colLast="0"/>
      <w:bookmarkStart w:id="8" w:name="_1v9il2vm8li0" w:colFirst="0" w:colLast="0"/>
      <w:bookmarkEnd w:id="7"/>
      <w:bookmarkEnd w:id="8"/>
      <w:r>
        <w:t xml:space="preserve">Das FRZK prognostiziert, dass semantische und kulturelle Evolution nicht linear-kausal, sondern als emergenter, </w:t>
      </w:r>
      <w:proofErr w:type="spellStart"/>
      <w:r>
        <w:t>ko</w:t>
      </w:r>
      <w:proofErr w:type="spellEnd"/>
      <w:r>
        <w:t>-evolutionärer Prozess verläuft, der durch systemische Rückkopplung, Pfadabhängigkeit und strukturelle Kopplung charakterisiert ist [80][81]. Bedeutungskonstruktion und kulturelle Muster entstehen dabei nicht isoliert, sondern in dynamischer Wechselwirkung – sowohl zwischen Akteuren und Kontexten als auch zwischen Bedeutungsräumen und Systemzuständen.</w:t>
      </w:r>
    </w:p>
    <w:p w14:paraId="3C92FFB7" w14:textId="77777777" w:rsidR="00121132" w:rsidRDefault="00121132" w:rsidP="00121132">
      <w:pPr>
        <w:pStyle w:val="StandardWeb"/>
      </w:pPr>
      <w:r>
        <w:t>Diese Einsicht stützt sich auf die formale Modellierung in Kapitel 3.16, wo semantische Entwicklung als Resultat rekursiver Bedeutungszuweisungen und strukturabhängiger Diskursverläufe dargestellt wird. In dieser Perspektive sind semantische Felder keine stabilen Bedeutungsträger, sondern metastabile Konfigurationen, die durch Interaktion, Interpretation und Kontextualisierung ständig reorganisiert werden. Kultur wird nicht als stabiler Kanon verstanden, sondern als emergentes Feld kollektiver Bedeutungspraktiken, das auf struktureller Ebene durch funktionale Operatoren beschrieben werden kann.</w:t>
      </w:r>
    </w:p>
    <w:p w14:paraId="6E68D65C" w14:textId="77777777" w:rsidR="00121132" w:rsidRDefault="00121132" w:rsidP="00121132">
      <w:pPr>
        <w:pStyle w:val="StandardWeb"/>
      </w:pPr>
      <w:r>
        <w:t>Die „Beweisbarkeit“ dieser Vorhersage liegt in der Anwendbarkeit komplexer Simulationsansätze, die das Zusammenspiel zwischen semantischer und kultureller Dynamik abbilden können. Dazu zählen insbesondere:</w:t>
      </w:r>
    </w:p>
    <w:p w14:paraId="46F4812E" w14:textId="77777777" w:rsidR="00121132" w:rsidRDefault="00121132" w:rsidP="00121132">
      <w:pPr>
        <w:pStyle w:val="StandardWeb"/>
        <w:numPr>
          <w:ilvl w:val="0"/>
          <w:numId w:val="2"/>
        </w:numPr>
      </w:pPr>
      <w:r>
        <w:rPr>
          <w:rStyle w:val="Fett"/>
          <w:rFonts w:eastAsia="Calibri"/>
        </w:rPr>
        <w:t>agentenbasierte Modelle</w:t>
      </w:r>
      <w:r>
        <w:t>, die zeigen, wie Mikroentscheidungen zu Makrophänomenen führen;</w:t>
      </w:r>
    </w:p>
    <w:p w14:paraId="2D0CA1FF" w14:textId="77777777" w:rsidR="00121132" w:rsidRDefault="00121132" w:rsidP="00121132">
      <w:pPr>
        <w:pStyle w:val="StandardWeb"/>
        <w:numPr>
          <w:ilvl w:val="0"/>
          <w:numId w:val="2"/>
        </w:numPr>
      </w:pPr>
      <w:r>
        <w:rPr>
          <w:rStyle w:val="Fett"/>
          <w:rFonts w:eastAsia="Calibri"/>
        </w:rPr>
        <w:t>netzwerktheoretische Ansätze</w:t>
      </w:r>
      <w:r>
        <w:t>, in denen Bedeutungscluster, Diskursräume oder narrative Strukturen emergieren;</w:t>
      </w:r>
    </w:p>
    <w:p w14:paraId="58AF76C5" w14:textId="77777777" w:rsidR="00121132" w:rsidRDefault="00121132" w:rsidP="00121132">
      <w:pPr>
        <w:pStyle w:val="StandardWeb"/>
        <w:numPr>
          <w:ilvl w:val="0"/>
          <w:numId w:val="2"/>
        </w:numPr>
      </w:pPr>
      <w:r>
        <w:rPr>
          <w:rStyle w:val="Fett"/>
          <w:rFonts w:eastAsia="Calibri"/>
        </w:rPr>
        <w:t>dynamische Systemmodelle</w:t>
      </w:r>
      <w:r>
        <w:t xml:space="preserve">, die Selbstorganisation, </w:t>
      </w:r>
      <w:proofErr w:type="spellStart"/>
      <w:r>
        <w:t>Attraktorbildung</w:t>
      </w:r>
      <w:proofErr w:type="spellEnd"/>
      <w:r>
        <w:t xml:space="preserve"> und metastabile Phasen kultureller Entwicklung simulieren.</w:t>
      </w:r>
    </w:p>
    <w:p w14:paraId="5E6C5A2D" w14:textId="77777777" w:rsidR="00121132" w:rsidRDefault="00121132" w:rsidP="00121132">
      <w:pPr>
        <w:pStyle w:val="StandardWeb"/>
      </w:pPr>
      <w:r>
        <w:t xml:space="preserve">Diese Modelle belegen, dass Ordnung nicht durch zentrale Planung, sondern durch lokale Interaktion und globale Rückkopplung entsteht – ein zentrales Prinzip </w:t>
      </w:r>
      <w:proofErr w:type="spellStart"/>
      <w:r>
        <w:t>ko</w:t>
      </w:r>
      <w:proofErr w:type="spellEnd"/>
      <w:r>
        <w:t>-evolutionärer Prozesse. Das FRZK integriert diese Dynamiken in seine Architektur, indem es semantische und kulturelle Entwicklung als funktional gekoppelte Prozesse auffasst: Während Bedeutungsfelder durch Operatoren erzeugt und verändert werden, wirken kulturelle Praktiken zurück auf diese semantischen Strukturen – etwa durch Selektion, Reproduktion oder narrative Transformation.</w:t>
      </w:r>
    </w:p>
    <w:p w14:paraId="7DCC5ECA" w14:textId="31E2D1ED" w:rsidR="00121132" w:rsidRDefault="00121132" w:rsidP="00121132">
      <w:pPr>
        <w:pStyle w:val="StandardWeb"/>
      </w:pPr>
      <w:r>
        <w:t xml:space="preserve">Diese Vorhersage erlaubt es, Phänomene wie Moden, Diskurse, ideologische Umbrüche oder kollektive Lernprozesse systematisch zu modellieren – nicht als zufällige Trends, sondern als </w:t>
      </w:r>
      <w:r>
        <w:rPr>
          <w:rStyle w:val="Fett"/>
          <w:rFonts w:eastAsia="Calibri"/>
        </w:rPr>
        <w:t>emergente Folge interaktiver Zuweisungssysteme</w:t>
      </w:r>
      <w:r>
        <w:t>. Damit stellt das FRZK ein theoretisches Instrument bereit, um die Dynamik kultureller Systeme nicht nur beschreibend, sondern generativ zu fassen: als funktionale Evolution, die Bedeutung und Struktur zugleich betrifft.</w:t>
      </w:r>
    </w:p>
    <w:p w14:paraId="659C48B0" w14:textId="5CDB7085" w:rsidR="00D30F48" w:rsidRDefault="00D30F48" w:rsidP="00121132">
      <w:pPr>
        <w:pStyle w:val="StandardWeb"/>
      </w:pPr>
      <w:r>
        <w:sym w:font="Wingdings" w:char="F0E0"/>
      </w:r>
    </w:p>
    <w:p w14:paraId="5EBD8064" w14:textId="77777777" w:rsidR="00D30F48" w:rsidRDefault="00D30F48" w:rsidP="00D30F48">
      <w:pPr>
        <w:pStyle w:val="berschrift3"/>
        <w:rPr>
          <w:sz w:val="27"/>
          <w:szCs w:val="27"/>
          <w:lang w:eastAsia="de-DE"/>
        </w:rPr>
      </w:pPr>
      <w:r>
        <w:rPr>
          <w:rStyle w:val="Fett"/>
          <w:b/>
          <w:bCs w:val="0"/>
        </w:rPr>
        <w:t>4.7 Ko-evolutionäre Natur von semantischer und kultureller Entwicklung</w:t>
      </w:r>
    </w:p>
    <w:p w14:paraId="26F35B57" w14:textId="77777777" w:rsidR="00D30F48" w:rsidRDefault="00D30F48" w:rsidP="00D30F48">
      <w:pPr>
        <w:pStyle w:val="berschrift4"/>
      </w:pPr>
      <w:r>
        <w:rPr>
          <w:rStyle w:val="Fett"/>
          <w:b w:val="0"/>
          <w:bCs w:val="0"/>
        </w:rPr>
        <w:t>4.7.1 Kulturelle Systeme als semantische Felder</w:t>
      </w:r>
    </w:p>
    <w:p w14:paraId="6103D85E" w14:textId="77777777" w:rsidR="00D30F48" w:rsidRDefault="00D30F48" w:rsidP="00D30F48">
      <w:pPr>
        <w:pStyle w:val="StandardWeb"/>
      </w:pPr>
      <w:r>
        <w:t xml:space="preserve">Im Rahmen des FRZK werden kulturelle Systeme als </w:t>
      </w:r>
      <w:r>
        <w:rPr>
          <w:rStyle w:val="Fett"/>
        </w:rPr>
        <w:t>dynamische semantische Felder</w:t>
      </w:r>
      <w:r>
        <w:t xml:space="preserve"> verstanden, die durch wiederkehrende symbolische Zuweisungen, narrative Muster und performative Praktiken erzeugt und stabilisiert werden. Kultur ist dabei nicht eine äußere Kontextgröße, sondern ein im System selbst entstehender Bedeutungsraum, der durch Akteur-Funktionen, Diskurse und semantische Attraktoren geformt wird. Sie wird als </w:t>
      </w:r>
      <w:r>
        <w:rPr>
          <w:rStyle w:val="Fett"/>
        </w:rPr>
        <w:t>strukturierte emergente Ordnung</w:t>
      </w:r>
      <w:r>
        <w:t xml:space="preserve"> aufgefasst, die sich in permanentem Wandel befindet [46].</w:t>
      </w:r>
    </w:p>
    <w:p w14:paraId="6B907E17" w14:textId="77777777" w:rsidR="00D30F48" w:rsidRDefault="00D30F48" w:rsidP="00D30F48">
      <w:pPr>
        <w:pStyle w:val="berschrift4"/>
      </w:pPr>
      <w:r>
        <w:rPr>
          <w:rStyle w:val="Fett"/>
          <w:b w:val="0"/>
          <w:bCs w:val="0"/>
        </w:rPr>
        <w:t>4.7.2 Ko-Evolution als wechselseitige Strukturmodifikation</w:t>
      </w:r>
    </w:p>
    <w:p w14:paraId="2142206F" w14:textId="77777777" w:rsidR="00D30F48" w:rsidRDefault="00D30F48" w:rsidP="00D30F48">
      <w:pPr>
        <w:pStyle w:val="StandardWeb"/>
      </w:pPr>
      <w:r>
        <w:t xml:space="preserve">Das FRZK prognostiziert, dass semantische Felder und kulturelle Strukturen in einem </w:t>
      </w:r>
      <w:proofErr w:type="spellStart"/>
      <w:r>
        <w:rPr>
          <w:rStyle w:val="Fett"/>
        </w:rPr>
        <w:t>ko</w:t>
      </w:r>
      <w:proofErr w:type="spellEnd"/>
      <w:r>
        <w:rPr>
          <w:rStyle w:val="Fett"/>
        </w:rPr>
        <w:t>-evolutionären Verhältnis</w:t>
      </w:r>
      <w:r>
        <w:t xml:space="preserve"> </w:t>
      </w:r>
      <w:proofErr w:type="gramStart"/>
      <w:r>
        <w:t>zueinander stehen</w:t>
      </w:r>
      <w:proofErr w:type="gramEnd"/>
      <w:r>
        <w:t xml:space="preserve">. Das bedeutet: Semantische Zuweisungen beeinflussen kulturelle Muster, und umgekehrt wirken kulturelle Dynamiken auf Bedeutungsfelder zurück. Diese Wechselwirkungen vollziehen sich durch rekursive Operatorstrukturen, etwa durch sprachlich vermittelte Praxis, symbolische Re-Kodierung, oder technologische Artefakte. Ko-Evolution meint dabei </w:t>
      </w:r>
      <w:r>
        <w:rPr>
          <w:rStyle w:val="Fett"/>
        </w:rPr>
        <w:t>gegenseitige strukturelle Modifikation</w:t>
      </w:r>
      <w:r>
        <w:t xml:space="preserve"> ohne zentrale Steuerinstanz [47].</w:t>
      </w:r>
    </w:p>
    <w:p w14:paraId="00E30158" w14:textId="77777777" w:rsidR="00D30F48" w:rsidRDefault="00D30F48" w:rsidP="00D30F48">
      <w:pPr>
        <w:pStyle w:val="berschrift4"/>
      </w:pPr>
      <w:r>
        <w:rPr>
          <w:rStyle w:val="Fett"/>
          <w:b w:val="0"/>
          <w:bCs w:val="0"/>
        </w:rPr>
        <w:t>4.7.3 Modellierung durch funktionale Kopplung</w:t>
      </w:r>
    </w:p>
    <w:p w14:paraId="1FB7373B" w14:textId="77777777" w:rsidR="00D30F48" w:rsidRDefault="00D30F48" w:rsidP="00D30F48">
      <w:pPr>
        <w:pStyle w:val="StandardWeb"/>
      </w:pPr>
      <w:r>
        <w:t xml:space="preserve">Im Modell werden diese Prozesse durch </w:t>
      </w:r>
      <w:r>
        <w:rPr>
          <w:rStyle w:val="Fett"/>
        </w:rPr>
        <w:t>funktionale Kopplung</w:t>
      </w:r>
      <w:r>
        <w:t xml:space="preserve"> zwischen semantischen und kulturellen Operatoren beschrieben. Zwei Operatorräume (z. B. semantische Feldlogik und kulturelle Repräsentationspraxis) sind gekoppelt, wenn Veränderungen </w:t>
      </w:r>
      <w:proofErr w:type="gramStart"/>
      <w:r>
        <w:t>im einen System</w:t>
      </w:r>
      <w:proofErr w:type="gramEnd"/>
      <w:r>
        <w:t xml:space="preserve"> systematisch zu Veränderungen im anderen führen – etwa wenn ein kultureller Umbruch neue semantische Kategorien erzeugt oder neue Begriffe soziale Praktiken transformieren. Diese Kopplung ist nicht linear, sondern </w:t>
      </w:r>
      <w:r>
        <w:rPr>
          <w:rStyle w:val="Fett"/>
        </w:rPr>
        <w:t>nichttrivial, dynamisch und rückgekoppelt</w:t>
      </w:r>
      <w:r>
        <w:t xml:space="preserve"> [48].</w:t>
      </w:r>
    </w:p>
    <w:p w14:paraId="52CE96FE" w14:textId="77777777" w:rsidR="00D30F48" w:rsidRDefault="00D30F48" w:rsidP="00D30F48">
      <w:pPr>
        <w:pStyle w:val="berschrift4"/>
      </w:pPr>
      <w:r>
        <w:rPr>
          <w:rStyle w:val="Fett"/>
          <w:b w:val="0"/>
          <w:bCs w:val="0"/>
        </w:rPr>
        <w:t>4.7.4 Anschluss an interdisziplinäre Ko-Evolutionsmodelle</w:t>
      </w:r>
    </w:p>
    <w:p w14:paraId="5A837B55" w14:textId="77777777" w:rsidR="00D30F48" w:rsidRDefault="00D30F48" w:rsidP="00D30F48">
      <w:pPr>
        <w:pStyle w:val="StandardWeb"/>
      </w:pPr>
      <w:r>
        <w:t xml:space="preserve">Die Modellstruktur des FRZK verbindet sich mit Konzepten aus der Evolutionsökonomik, der Kognitionswissenschaft, der Technikfolgenabschätzung und der Kulturanthropologie. Dort wird Ko-Evolution verwendet, um </w:t>
      </w:r>
      <w:r>
        <w:rPr>
          <w:rStyle w:val="Fett"/>
        </w:rPr>
        <w:t>wechselseitige Entwicklungsprozesse zwischen Technik, Gesellschaft, Wissen und Bedeutung</w:t>
      </w:r>
      <w:r>
        <w:t xml:space="preserve"> zu beschreiben. Das FRZK formalisiert diese Wechselbeziehungen, indem es die Operatoren benennt, aus denen diese Verflechtungen emergieren. Es bietet damit ein universelles Raster zur Analyse kultureller Wandlungsdynamiken [49][50].</w:t>
      </w:r>
    </w:p>
    <w:p w14:paraId="011F4100" w14:textId="77777777" w:rsidR="00D30F48" w:rsidRDefault="00D30F48" w:rsidP="00D30F48">
      <w:pPr>
        <w:pStyle w:val="berschrift4"/>
      </w:pPr>
      <w:r>
        <w:rPr>
          <w:rStyle w:val="Fett"/>
          <w:b w:val="0"/>
          <w:bCs w:val="0"/>
        </w:rPr>
        <w:t>4.7.5 Bedeutung für Prognostik und Handlungsplanung</w:t>
      </w:r>
    </w:p>
    <w:p w14:paraId="270D5DAA" w14:textId="77777777" w:rsidR="00D30F48" w:rsidRDefault="00D30F48" w:rsidP="00D30F48">
      <w:pPr>
        <w:pStyle w:val="StandardWeb"/>
      </w:pPr>
      <w:r>
        <w:t xml:space="preserve">Die Vorhersage besteht darin, dass sich kulturelle und semantische Entwicklungen </w:t>
      </w:r>
      <w:r>
        <w:rPr>
          <w:rStyle w:val="Fett"/>
        </w:rPr>
        <w:t>nicht unabhängig voneinander planen oder prognostizieren</w:t>
      </w:r>
      <w:r>
        <w:t xml:space="preserve"> lassen. Jede Veränderung in einem Bereich erzeugt Rückwirkungen auf das andere Feld – mit nichtlinearen, oft verzögerten oder qualitativ emergenten Effekten. Für jede Form reflexiver Handlungsplanung (etwa in Bildung, Medien, Politik oder Technikentwicklung) bedeutet dies: </w:t>
      </w:r>
      <w:r>
        <w:rPr>
          <w:rStyle w:val="Fett"/>
        </w:rPr>
        <w:t>semantische Interventionen haben kulturelle Folgen</w:t>
      </w:r>
      <w:r>
        <w:t xml:space="preserve"> – und umgekehrt. Das FRZK erlaubt, diese Interdependenz zu modellieren und strukturell in Prognosemodelle einzubinden [51].</w:t>
      </w:r>
    </w:p>
    <w:p w14:paraId="25D17D22" w14:textId="77777777" w:rsidR="0050473A" w:rsidRDefault="0050473A" w:rsidP="0050473A">
      <w:r>
        <w:sym w:font="Wingdings" w:char="F0DF"/>
      </w:r>
    </w:p>
    <w:p w14:paraId="245D618C" w14:textId="77777777" w:rsidR="00121132" w:rsidRDefault="0050473A" w:rsidP="00121132">
      <w:r>
        <w:pict w14:anchorId="279E8EA9">
          <v:rect id="_x0000_i1032" style="width:0;height:1.5pt" o:hralign="center" o:hrstd="t" o:hr="t" fillcolor="#a0a0a0" stroked="f"/>
        </w:pict>
      </w:r>
    </w:p>
    <w:p w14:paraId="2D73FC92" w14:textId="77777777" w:rsidR="00121132" w:rsidRDefault="00121132" w:rsidP="00121132">
      <w:pPr>
        <w:pStyle w:val="berschrift2"/>
        <w:rPr>
          <w:rStyle w:val="Fett"/>
          <w:rFonts w:eastAsia="Calibri"/>
          <w:b/>
          <w:bCs w:val="0"/>
        </w:rPr>
      </w:pPr>
      <w:r>
        <w:rPr>
          <w:rStyle w:val="Fett"/>
          <w:rFonts w:eastAsia="Calibri"/>
          <w:b/>
        </w:rPr>
        <w:t>4.8</w:t>
      </w:r>
      <w:r w:rsidRPr="00B97E81">
        <w:rPr>
          <w:rStyle w:val="Fett"/>
          <w:rFonts w:eastAsia="Calibri"/>
          <w:b/>
        </w:rPr>
        <w:t xml:space="preserve"> Ethische Implikationen der Modellwahl</w:t>
      </w:r>
    </w:p>
    <w:p w14:paraId="55AD362B" w14:textId="77777777" w:rsidR="00121132" w:rsidRDefault="00121132" w:rsidP="00121132">
      <w:r>
        <w:t>Das FRZK betont, dass Modellwahl und funktionale Zuweisungen nicht wertneutral sind, sondern grundlegende ethische Konsequenzen implizieren. Die Art und Weise, wie Realität im Modell funktional erzeugt und strukturiert wird, beeinflusst nicht nur erkenntnistheoretische Perspektiven, sondern auch gesellschaftliche, normative und politische Prozesse. Daher ist die Reflexion über die ethische Dimension von Modellarchitekturen nicht nachgeordnet, sondern integraler Bestandteil des funktionalen Rahmens.</w:t>
      </w:r>
    </w:p>
    <w:p w14:paraId="7103F43F" w14:textId="77777777" w:rsidR="00121132" w:rsidRDefault="00121132" w:rsidP="00121132">
      <w:r>
        <w:t xml:space="preserve">Im Anschluss an das AI4People-Framework nach </w:t>
      </w:r>
      <w:proofErr w:type="spellStart"/>
      <w:r>
        <w:t>Floridi</w:t>
      </w:r>
      <w:proofErr w:type="spellEnd"/>
      <w:r>
        <w:t xml:space="preserve"> et al. lassen sich fünf ethische Leitprinzipien formulieren, die auch für das FRZK relevant sind: Wohltun (</w:t>
      </w:r>
      <w:proofErr w:type="spellStart"/>
      <w:r>
        <w:t>beneficence</w:t>
      </w:r>
      <w:proofErr w:type="spellEnd"/>
      <w:r>
        <w:t>), Nicht-Schaden (non-</w:t>
      </w:r>
      <w:proofErr w:type="spellStart"/>
      <w:r>
        <w:t>maleficence</w:t>
      </w:r>
      <w:proofErr w:type="spellEnd"/>
      <w:r>
        <w:t>), Autonomie, Gerechtigkeit und Erklärbarkeit (</w:t>
      </w:r>
      <w:proofErr w:type="spellStart"/>
      <w:r>
        <w:t>explicability</w:t>
      </w:r>
      <w:proofErr w:type="spellEnd"/>
      <w:r>
        <w:t xml:space="preserve">) [A]. Diese Prinzipien bieten </w:t>
      </w:r>
      <w:proofErr w:type="gramStart"/>
      <w:r>
        <w:t>einen normativen Raster</w:t>
      </w:r>
      <w:proofErr w:type="gramEnd"/>
      <w:r>
        <w:t xml:space="preserve"> für die verantwortungsvolle Gestaltung funktionaler Zuweisungen – insbesondere dann, wenn diese Modellarchitekturen in sozialen, technischen oder erkenntniserzeugenden Kontexten wirksam werden.</w:t>
      </w:r>
    </w:p>
    <w:p w14:paraId="3FBE12EB" w14:textId="77777777" w:rsidR="00121132" w:rsidRDefault="00121132" w:rsidP="00121132">
      <w:r>
        <w:t xml:space="preserve">Zugleich weist Mittelstadt darauf hin, dass ethische Prinzipien allein keine Garantie für moralisch akzeptables Verhalten bieten, solange keine institutionellen und operativen Umsetzungsmechanismen existieren [B]. Für das FRZK ergibt sich daraus die Notwendigkeit, Ethik nicht nur deklarativ, sondern strukturell zu integrieren – etwa durch </w:t>
      </w:r>
      <w:proofErr w:type="spellStart"/>
      <w:r>
        <w:t>auditierbare</w:t>
      </w:r>
      <w:proofErr w:type="spellEnd"/>
      <w:r>
        <w:t xml:space="preserve"> Mechanismen zur Überprüfung der Modellentscheidungen und deren Konsequenzen [C].</w:t>
      </w:r>
    </w:p>
    <w:p w14:paraId="79E888ED" w14:textId="77777777" w:rsidR="00121132" w:rsidRDefault="00121132" w:rsidP="00121132">
      <w:r>
        <w:t xml:space="preserve">Darüber hinaus unterstreicht </w:t>
      </w:r>
      <w:proofErr w:type="spellStart"/>
      <w:r>
        <w:t>Coeckelbergh</w:t>
      </w:r>
      <w:proofErr w:type="spellEnd"/>
      <w:r>
        <w:t>, dass Modellverantwortung nicht allein bei technischen Gestaltern liegt, sondern demokratisch legitimiert und narrativ transparent gemacht werden muss [D]. Die reflexive Struktur des FRZK ermöglicht es, solche narrativen Verantwortungszuschreibungen funktional abzubilden: Akteur-Funktionen können mit normativen Parametern ausgestattet und Meta-Funktionen zur Bewertung unterschiedlicher Handlungsperspektiven genutzt werden [E].</w:t>
      </w:r>
    </w:p>
    <w:p w14:paraId="68D9D7D8" w14:textId="3CA065ED" w:rsidR="00121132" w:rsidRDefault="00121132" w:rsidP="00121132">
      <w:r>
        <w:t xml:space="preserve">Insgesamt zeigt sich: Das FRZK ist nicht nur erkenntnistheoretisch, sondern auch ethisch reflexiv. Die Wahl und Strukturierung eines Modells </w:t>
      </w:r>
      <w:proofErr w:type="gramStart"/>
      <w:r>
        <w:t>hat</w:t>
      </w:r>
      <w:proofErr w:type="gramEnd"/>
      <w:r>
        <w:t xml:space="preserve"> Konsequenzen – für Erkenntnis, Handlung und Gesellschaft. Diese Einsicht macht ethische Modellreflexion zu einem unverzichtbaren Bestandteil der funktionalen Systemarchitektur.</w:t>
      </w:r>
    </w:p>
    <w:p w14:paraId="7072FB87" w14:textId="4BDA9357" w:rsidR="00D30F48" w:rsidRDefault="00D30F48" w:rsidP="00121132">
      <w:r>
        <w:sym w:font="Wingdings" w:char="F0E0"/>
      </w:r>
    </w:p>
    <w:p w14:paraId="4CB27195" w14:textId="77777777" w:rsidR="00D30F48" w:rsidRDefault="00D30F48" w:rsidP="00D30F48">
      <w:pPr>
        <w:pStyle w:val="berschrift3"/>
        <w:rPr>
          <w:sz w:val="27"/>
          <w:szCs w:val="27"/>
          <w:lang w:eastAsia="de-DE"/>
        </w:rPr>
      </w:pPr>
      <w:r>
        <w:rPr>
          <w:rStyle w:val="Fett"/>
          <w:b/>
          <w:bCs w:val="0"/>
        </w:rPr>
        <w:t>4.8 Ethische Implikationen der Modellwahl</w:t>
      </w:r>
    </w:p>
    <w:p w14:paraId="74BC3C3D" w14:textId="77777777" w:rsidR="00D30F48" w:rsidRDefault="00D30F48" w:rsidP="00D30F48">
      <w:pPr>
        <w:pStyle w:val="berschrift4"/>
      </w:pPr>
      <w:r>
        <w:rPr>
          <w:rStyle w:val="Fett"/>
          <w:b w:val="0"/>
          <w:bCs w:val="0"/>
        </w:rPr>
        <w:t>4.8.1 Modellwahl als normativer Akt</w:t>
      </w:r>
    </w:p>
    <w:p w14:paraId="745FEB90" w14:textId="77777777" w:rsidR="00D30F48" w:rsidRDefault="00D30F48" w:rsidP="00D30F48">
      <w:pPr>
        <w:pStyle w:val="StandardWeb"/>
      </w:pPr>
      <w:r>
        <w:t xml:space="preserve">Im Kontext des FRZK wird Modellwahl nicht als neutrale technische Entscheidung verstanden, sondern als </w:t>
      </w:r>
      <w:r>
        <w:rPr>
          <w:rStyle w:val="Fett"/>
        </w:rPr>
        <w:t>normativ aufgeladener Akt</w:t>
      </w:r>
      <w:r>
        <w:t>, der bestimmte Perspektiven ermöglicht und andere ausschließt. Jedes funktionale Bezugssystem prägt, was als „real“, „wahr“ oder „relevant“ erscheint. Die Entscheidung für ein bestimmtes Modell ist somit auch eine Entscheidung über die epistemischen und sozialen Effekte seiner Funktionsweise [52]. Modelle konstruieren Wirklichkeit – und diese Konstruktion ist ethisch nicht belanglos.</w:t>
      </w:r>
    </w:p>
    <w:p w14:paraId="1EDCF9D0" w14:textId="77777777" w:rsidR="00D30F48" w:rsidRDefault="00D30F48" w:rsidP="00D30F48">
      <w:pPr>
        <w:pStyle w:val="berschrift4"/>
      </w:pPr>
      <w:r>
        <w:rPr>
          <w:rStyle w:val="Fett"/>
          <w:b w:val="0"/>
          <w:bCs w:val="0"/>
        </w:rPr>
        <w:t>4.8.2 Ethische Prinzipien im Modellkontext</w:t>
      </w:r>
    </w:p>
    <w:p w14:paraId="1E6855D7" w14:textId="77777777" w:rsidR="00D30F48" w:rsidRDefault="00D30F48" w:rsidP="00D30F48">
      <w:pPr>
        <w:pStyle w:val="StandardWeb"/>
      </w:pPr>
      <w:r>
        <w:t xml:space="preserve">Das FRZK integriert ethische Reflexion über Modellarchitekturen durch Bezug auf fünf zentrale Prinzipien, wie sie im AI4People-Framework formuliert wurden: </w:t>
      </w:r>
      <w:r>
        <w:rPr>
          <w:rStyle w:val="Fett"/>
        </w:rPr>
        <w:t>Wohltun (</w:t>
      </w:r>
      <w:proofErr w:type="spellStart"/>
      <w:r>
        <w:rPr>
          <w:rStyle w:val="Fett"/>
        </w:rPr>
        <w:t>beneficence</w:t>
      </w:r>
      <w:proofErr w:type="spellEnd"/>
      <w:r>
        <w:rPr>
          <w:rStyle w:val="Fett"/>
        </w:rPr>
        <w:t>), Nicht-Schaden (non-</w:t>
      </w:r>
      <w:proofErr w:type="spellStart"/>
      <w:r>
        <w:rPr>
          <w:rStyle w:val="Fett"/>
        </w:rPr>
        <w:t>maleficence</w:t>
      </w:r>
      <w:proofErr w:type="spellEnd"/>
      <w:r>
        <w:rPr>
          <w:rStyle w:val="Fett"/>
        </w:rPr>
        <w:t>), Autonomie, Gerechtigkeit und Erklärbarkeit</w:t>
      </w:r>
      <w:r>
        <w:t>. Diese Prinzipien wirken im funktionalen Kontext als regulative Operatoren, die modellinterne Strukturentscheidungen bewertbar machen – z. B. in der Gewichtung von Transparenz vs. Komplexitätssteuerung [53].</w:t>
      </w:r>
    </w:p>
    <w:p w14:paraId="23B1D234" w14:textId="77777777" w:rsidR="00D30F48" w:rsidRDefault="00D30F48" w:rsidP="00D30F48">
      <w:pPr>
        <w:pStyle w:val="berschrift4"/>
      </w:pPr>
      <w:r>
        <w:rPr>
          <w:rStyle w:val="Fett"/>
          <w:b w:val="0"/>
          <w:bCs w:val="0"/>
        </w:rPr>
        <w:t>4.8.3 Kritik an Prinzipienorientierung: Implementierungsethik</w:t>
      </w:r>
    </w:p>
    <w:p w14:paraId="77D9D819" w14:textId="77777777" w:rsidR="00D30F48" w:rsidRDefault="00D30F48" w:rsidP="00D30F48">
      <w:pPr>
        <w:pStyle w:val="StandardWeb"/>
      </w:pPr>
      <w:r>
        <w:t xml:space="preserve">Zugleich wird anerkannt, dass Prinzipien allein keine Garantie für verantwortliches Modellverhalten bieten. Mittelstadt argumentiert, dass ohne institutionelle Verankerung und operationale Umsetzung ethische Prinzipien </w:t>
      </w:r>
      <w:r>
        <w:rPr>
          <w:rStyle w:val="Fett"/>
        </w:rPr>
        <w:t>wirkungslos</w:t>
      </w:r>
      <w:r>
        <w:t xml:space="preserve"> bleiben. Im FRZK wird dies berücksichtigt durch die Integration </w:t>
      </w:r>
      <w:r>
        <w:rPr>
          <w:rStyle w:val="Fett"/>
        </w:rPr>
        <w:t>strukturierter Audit-Mechanismen</w:t>
      </w:r>
      <w:r>
        <w:t xml:space="preserve">, mit denen funktionale Systeme auf ethische Kohärenz hin überprüfbar werden – eine ethische Reflexion </w:t>
      </w:r>
      <w:r>
        <w:rPr>
          <w:rStyle w:val="Fett"/>
        </w:rPr>
        <w:t>im und durch das System selbst</w:t>
      </w:r>
      <w:r>
        <w:t xml:space="preserve"> [54].</w:t>
      </w:r>
    </w:p>
    <w:p w14:paraId="7B4434A9" w14:textId="77777777" w:rsidR="00D30F48" w:rsidRDefault="00D30F48" w:rsidP="00D30F48">
      <w:pPr>
        <w:pStyle w:val="berschrift4"/>
      </w:pPr>
      <w:r>
        <w:rPr>
          <w:rStyle w:val="Fett"/>
          <w:b w:val="0"/>
          <w:bCs w:val="0"/>
        </w:rPr>
        <w:t>4.8.4 Narrative Verantwortung und demokratische Legitimation</w:t>
      </w:r>
    </w:p>
    <w:p w14:paraId="02A521B9" w14:textId="77777777" w:rsidR="00D30F48" w:rsidRDefault="00D30F48" w:rsidP="00D30F48">
      <w:pPr>
        <w:pStyle w:val="StandardWeb"/>
      </w:pPr>
      <w:proofErr w:type="spellStart"/>
      <w:r>
        <w:t>Coeckelbergh</w:t>
      </w:r>
      <w:proofErr w:type="spellEnd"/>
      <w:r>
        <w:t xml:space="preserve"> ergänzt, dass technische Systeme nicht nur funktional korrekt, sondern auch </w:t>
      </w:r>
      <w:r>
        <w:rPr>
          <w:rStyle w:val="Fett"/>
        </w:rPr>
        <w:t>narrativ legitimierbar</w:t>
      </w:r>
      <w:r>
        <w:t xml:space="preserve"> sein müssen: Wer trägt Verantwortung für welche Folgen? Welche Geschichten machen ein System gesellschaftlich akzeptabel oder angreifbar? Das FRZK erlaubt, solche Fragen strukturell zu modellieren, indem es narrative Zuschreibungen und Verantwortungszuweisungen als Operatoren im Beobachtungssystem einbindet [55]. Daraus ergibt sich ein ethisch sensibler Raum für demokratische Technikgestaltung.</w:t>
      </w:r>
    </w:p>
    <w:p w14:paraId="140B6018" w14:textId="77777777" w:rsidR="00D30F48" w:rsidRDefault="00D30F48" w:rsidP="00D30F48">
      <w:pPr>
        <w:pStyle w:val="berschrift4"/>
      </w:pPr>
      <w:r>
        <w:rPr>
          <w:rStyle w:val="Fett"/>
          <w:b w:val="0"/>
          <w:bCs w:val="0"/>
        </w:rPr>
        <w:t>4.8.5 Ethische Vorhersagefähigkeit</w:t>
      </w:r>
    </w:p>
    <w:p w14:paraId="137240CE" w14:textId="77777777" w:rsidR="00D30F48" w:rsidRDefault="00D30F48" w:rsidP="00D30F48">
      <w:pPr>
        <w:pStyle w:val="StandardWeb"/>
      </w:pPr>
      <w:r>
        <w:t xml:space="preserve">Schließlich liefert das FRZK selbst eine ethische Prognose: Systeme, die ihre Modelllogik nicht reflektieren, erzeugen </w:t>
      </w:r>
      <w:r>
        <w:rPr>
          <w:rStyle w:val="Fett"/>
        </w:rPr>
        <w:t>blinde Wirklichkeitsbereiche</w:t>
      </w:r>
      <w:r>
        <w:t xml:space="preserve"> – mit potenziell destruktiven Folgen. Die Fähigkeit, mögliche Folgewirkungen funktionaler Architektur im Voraus strukturell zu simulieren und normativ zu bewerten, ist daher eine </w:t>
      </w:r>
      <w:r>
        <w:rPr>
          <w:rStyle w:val="Fett"/>
        </w:rPr>
        <w:t>unverzichtbare Eigenschaft modellreflexiver Systeme</w:t>
      </w:r>
      <w:r>
        <w:t xml:space="preserve">. Das FRZK macht diese Fähigkeit </w:t>
      </w:r>
      <w:proofErr w:type="spellStart"/>
      <w:r>
        <w:t>formalisierbar</w:t>
      </w:r>
      <w:proofErr w:type="spellEnd"/>
      <w:r>
        <w:t xml:space="preserve"> – und schafft damit die Grundlage einer prognosefähigen Technikethik [56].</w:t>
      </w:r>
    </w:p>
    <w:p w14:paraId="70BA484E" w14:textId="77777777" w:rsidR="0050473A" w:rsidRDefault="0050473A" w:rsidP="0050473A">
      <w:r>
        <w:sym w:font="Wingdings" w:char="F0DF"/>
      </w:r>
    </w:p>
    <w:p w14:paraId="1B535696" w14:textId="77777777" w:rsidR="00D30F48" w:rsidRDefault="00D30F48" w:rsidP="00121132"/>
    <w:p w14:paraId="083A5B1B" w14:textId="77777777" w:rsidR="00121132" w:rsidRDefault="0050473A" w:rsidP="00121132">
      <w:r>
        <w:pict w14:anchorId="08D3AC02">
          <v:rect id="_x0000_i1033" style="width:0;height:1.5pt" o:hralign="center" o:hrstd="t" o:hr="t" fillcolor="#a0a0a0" stroked="f"/>
        </w:pict>
      </w:r>
    </w:p>
    <w:p w14:paraId="41C5C1EC" w14:textId="77777777" w:rsidR="00121132" w:rsidRDefault="00121132" w:rsidP="00121132">
      <w:pPr>
        <w:pStyle w:val="berschrift2"/>
      </w:pPr>
      <w:r>
        <w:t>4.9 Zusammenfassung</w:t>
      </w:r>
    </w:p>
    <w:p w14:paraId="5AAD4D87" w14:textId="77777777" w:rsidR="00121132" w:rsidRDefault="00121132" w:rsidP="00121132">
      <w:r>
        <w:t>Zusammenfassend lässt sich sagen, dass das FRZK keine konkreten empirischen Vorhersagen macht, sondern einen Rahmen bereitstellt, um die Entstehung, Organisation und Transformation von Realität und Erkenntnis in komplexen Systemen zu verstehen und zu modellieren. Es prognostiziert die strukturellen Eigenschaften und dynamischen Prozesse, die der Realitätskonstruktion zugrunde liegen.</w:t>
      </w:r>
    </w:p>
    <w:p w14:paraId="4584293B" w14:textId="77777777" w:rsidR="00121132" w:rsidRDefault="00121132" w:rsidP="00121132">
      <w:r>
        <w:t>Ebenfalls lässt sich sagen, dass die "Beweisbarkeit" der Vorhersagen des FRZK in seiner internen Konsistenz, seiner erklärenden und generierenden Kraft sowie seiner interdisziplinären Anschlussfähigkeit liegt. Es handelt sich um ein architektonisches Modell, das die Konstruktionsprinzipien von Realität und Erkenntnis aufzeigt, anstatt konkrete empirische Ergebnisse zu prognostizieren, die durch klassische Experimente verifiziert werden müssten [52:0].</w:t>
      </w:r>
    </w:p>
    <w:p w14:paraId="7A2E9991" w14:textId="1E380B31" w:rsidR="00121132" w:rsidRDefault="00121132" w:rsidP="00121132">
      <w:r>
        <w:t>Die Vorhersagen des FRZK stützen sich auf eine klar definierte methodische Basis: Das funktionale Bezugssystem ist nicht aus empirischen Hypothesen extrapoliert, sondern wird – wie in Kapitel 3 dargelegt – aus mathematisch und erkenntnistheoretisch begründeten Operatorstrukturen abgeleitet. Diese Strukturorientierung erlaubt es, zukünftige Systemverläufe als Konsequenz interner Modelllogik zu verstehen, nicht bloß als Fortschreibung vergangener Daten. Insofern besitzen die hier dargestellten Szenarien einen anderen Status als konventionelle Prognosen: Sie beruhen auf emergenten Ordnungen, die sich aus der Dynamik des Bezugssystems selbst ergeben.</w:t>
      </w:r>
    </w:p>
    <w:p w14:paraId="67121FDB" w14:textId="013764EC" w:rsidR="0050473A" w:rsidRPr="0050473A" w:rsidRDefault="0050473A" w:rsidP="0050473A">
      <w:pPr>
        <w:pStyle w:val="berschrift3"/>
        <w:rPr>
          <w:bCs/>
        </w:rPr>
      </w:pPr>
      <w:r w:rsidRPr="0050473A">
        <w:rPr>
          <w:rStyle w:val="Fett"/>
          <w:b/>
          <w:bCs w:val="0"/>
        </w:rPr>
        <w:t xml:space="preserve">Quellenverzeichnis </w:t>
      </w:r>
      <w:r w:rsidRPr="0050473A">
        <w:t>für Kapitel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50473A" w:rsidRPr="0050473A" w14:paraId="524D283F" w14:textId="77777777" w:rsidTr="0050473A">
        <w:trPr>
          <w:tblHeader/>
          <w:tblCellSpacing w:w="15" w:type="dxa"/>
        </w:trPr>
        <w:tc>
          <w:tcPr>
            <w:tcW w:w="0" w:type="auto"/>
            <w:vAlign w:val="center"/>
            <w:hideMark/>
          </w:tcPr>
          <w:p w14:paraId="2D9AEBC7"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Nr.</w:t>
            </w:r>
          </w:p>
        </w:tc>
        <w:tc>
          <w:tcPr>
            <w:tcW w:w="0" w:type="auto"/>
            <w:vAlign w:val="center"/>
            <w:hideMark/>
          </w:tcPr>
          <w:p w14:paraId="2B540B95"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Quelle</w:t>
            </w:r>
          </w:p>
        </w:tc>
      </w:tr>
      <w:tr w:rsidR="0050473A" w:rsidRPr="0050473A" w14:paraId="1D711FD2" w14:textId="77777777" w:rsidTr="0050473A">
        <w:trPr>
          <w:tblCellSpacing w:w="15" w:type="dxa"/>
        </w:trPr>
        <w:tc>
          <w:tcPr>
            <w:tcW w:w="0" w:type="auto"/>
            <w:vAlign w:val="center"/>
            <w:hideMark/>
          </w:tcPr>
          <w:p w14:paraId="750DDFE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w:t>
            </w:r>
          </w:p>
        </w:tc>
        <w:tc>
          <w:tcPr>
            <w:tcW w:w="0" w:type="auto"/>
            <w:vAlign w:val="center"/>
            <w:hideMark/>
          </w:tcPr>
          <w:p w14:paraId="3053E47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Carrier, Martin (2004): </w:t>
            </w:r>
            <w:r w:rsidRPr="0050473A">
              <w:rPr>
                <w:rFonts w:ascii="Times New Roman" w:eastAsia="Times New Roman" w:hAnsi="Times New Roman"/>
                <w:i/>
                <w:iCs/>
                <w:szCs w:val="24"/>
                <w:lang w:eastAsia="de-DE"/>
              </w:rPr>
              <w:t>Vorhersage und Erklärung</w:t>
            </w:r>
            <w:r w:rsidRPr="0050473A">
              <w:rPr>
                <w:rFonts w:ascii="Times New Roman" w:eastAsia="Times New Roman" w:hAnsi="Times New Roman"/>
                <w:szCs w:val="24"/>
                <w:lang w:eastAsia="de-DE"/>
              </w:rPr>
              <w:t xml:space="preserve">. In: Hübner, D. / Carrier, M. / Reutlinger, A. (Hrsg.): </w:t>
            </w:r>
            <w:r w:rsidRPr="0050473A">
              <w:rPr>
                <w:rFonts w:ascii="Times New Roman" w:eastAsia="Times New Roman" w:hAnsi="Times New Roman"/>
                <w:i/>
                <w:iCs/>
                <w:szCs w:val="24"/>
                <w:lang w:eastAsia="de-DE"/>
              </w:rPr>
              <w:t>Philosophie der Physik</w:t>
            </w:r>
            <w:r w:rsidRPr="0050473A">
              <w:rPr>
                <w:rFonts w:ascii="Times New Roman" w:eastAsia="Times New Roman" w:hAnsi="Times New Roman"/>
                <w:szCs w:val="24"/>
                <w:lang w:eastAsia="de-DE"/>
              </w:rPr>
              <w:t>. Suhrkamp.</w:t>
            </w:r>
          </w:p>
        </w:tc>
      </w:tr>
      <w:tr w:rsidR="0050473A" w:rsidRPr="0050473A" w14:paraId="233B4324" w14:textId="77777777" w:rsidTr="0050473A">
        <w:trPr>
          <w:tblCellSpacing w:w="15" w:type="dxa"/>
        </w:trPr>
        <w:tc>
          <w:tcPr>
            <w:tcW w:w="0" w:type="auto"/>
            <w:vAlign w:val="center"/>
            <w:hideMark/>
          </w:tcPr>
          <w:p w14:paraId="17DE8CA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w:t>
            </w:r>
          </w:p>
        </w:tc>
        <w:tc>
          <w:tcPr>
            <w:tcW w:w="0" w:type="auto"/>
            <w:vAlign w:val="center"/>
            <w:hideMark/>
          </w:tcPr>
          <w:p w14:paraId="4FC7134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343AB821" w14:textId="77777777" w:rsidTr="0050473A">
        <w:trPr>
          <w:tblCellSpacing w:w="15" w:type="dxa"/>
        </w:trPr>
        <w:tc>
          <w:tcPr>
            <w:tcW w:w="0" w:type="auto"/>
            <w:vAlign w:val="center"/>
            <w:hideMark/>
          </w:tcPr>
          <w:p w14:paraId="338B86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w:t>
            </w:r>
          </w:p>
        </w:tc>
        <w:tc>
          <w:tcPr>
            <w:tcW w:w="0" w:type="auto"/>
            <w:vAlign w:val="center"/>
            <w:hideMark/>
          </w:tcPr>
          <w:p w14:paraId="0AAD44F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5551F706" w14:textId="77777777" w:rsidTr="0050473A">
        <w:trPr>
          <w:tblCellSpacing w:w="15" w:type="dxa"/>
        </w:trPr>
        <w:tc>
          <w:tcPr>
            <w:tcW w:w="0" w:type="auto"/>
            <w:vAlign w:val="center"/>
            <w:hideMark/>
          </w:tcPr>
          <w:p w14:paraId="4BB6970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w:t>
            </w:r>
          </w:p>
        </w:tc>
        <w:tc>
          <w:tcPr>
            <w:tcW w:w="0" w:type="auto"/>
            <w:vAlign w:val="center"/>
            <w:hideMark/>
          </w:tcPr>
          <w:p w14:paraId="36CC43C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J. (1979):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Biological </w:t>
            </w:r>
            <w:proofErr w:type="spellStart"/>
            <w:r w:rsidRPr="0050473A">
              <w:rPr>
                <w:rFonts w:ascii="Times New Roman" w:eastAsia="Times New Roman" w:hAnsi="Times New Roman"/>
                <w:i/>
                <w:iCs/>
                <w:szCs w:val="24"/>
                <w:lang w:eastAsia="de-DE"/>
              </w:rPr>
              <w:t>Autonomy</w:t>
            </w:r>
            <w:proofErr w:type="spellEnd"/>
            <w:r w:rsidRPr="0050473A">
              <w:rPr>
                <w:rFonts w:ascii="Times New Roman" w:eastAsia="Times New Roman" w:hAnsi="Times New Roman"/>
                <w:szCs w:val="24"/>
                <w:lang w:eastAsia="de-DE"/>
              </w:rPr>
              <w:t>. North Holland.</w:t>
            </w:r>
          </w:p>
        </w:tc>
      </w:tr>
      <w:tr w:rsidR="0050473A" w:rsidRPr="0050473A" w14:paraId="678A9F44" w14:textId="77777777" w:rsidTr="0050473A">
        <w:trPr>
          <w:tblCellSpacing w:w="15" w:type="dxa"/>
        </w:trPr>
        <w:tc>
          <w:tcPr>
            <w:tcW w:w="0" w:type="auto"/>
            <w:vAlign w:val="center"/>
            <w:hideMark/>
          </w:tcPr>
          <w:p w14:paraId="447E7C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w:t>
            </w:r>
          </w:p>
        </w:tc>
        <w:tc>
          <w:tcPr>
            <w:tcW w:w="0" w:type="auto"/>
            <w:vAlign w:val="center"/>
            <w:hideMark/>
          </w:tcPr>
          <w:p w14:paraId="436A7EA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00C92D54" w14:textId="77777777" w:rsidTr="0050473A">
        <w:trPr>
          <w:tblCellSpacing w:w="15" w:type="dxa"/>
        </w:trPr>
        <w:tc>
          <w:tcPr>
            <w:tcW w:w="0" w:type="auto"/>
            <w:vAlign w:val="center"/>
            <w:hideMark/>
          </w:tcPr>
          <w:p w14:paraId="4C0CED8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[6]</w:t>
            </w:r>
          </w:p>
        </w:tc>
        <w:tc>
          <w:tcPr>
            <w:tcW w:w="0" w:type="auto"/>
            <w:vAlign w:val="center"/>
            <w:hideMark/>
          </w:tcPr>
          <w:p w14:paraId="270187F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Ladyman</w:t>
            </w:r>
            <w:proofErr w:type="spellEnd"/>
            <w:r w:rsidRPr="0050473A">
              <w:rPr>
                <w:rFonts w:ascii="Times New Roman" w:eastAsia="Times New Roman" w:hAnsi="Times New Roman"/>
                <w:szCs w:val="24"/>
                <w:lang w:eastAsia="de-DE"/>
              </w:rPr>
              <w:t xml:space="preserve">, James / Ross, Don (2007): </w:t>
            </w:r>
            <w:r w:rsidRPr="0050473A">
              <w:rPr>
                <w:rFonts w:ascii="Times New Roman" w:eastAsia="Times New Roman" w:hAnsi="Times New Roman"/>
                <w:i/>
                <w:iCs/>
                <w:szCs w:val="24"/>
                <w:lang w:eastAsia="de-DE"/>
              </w:rPr>
              <w:t xml:space="preserve">Every Thing </w:t>
            </w:r>
            <w:proofErr w:type="spellStart"/>
            <w:r w:rsidRPr="0050473A">
              <w:rPr>
                <w:rFonts w:ascii="Times New Roman" w:eastAsia="Times New Roman" w:hAnsi="Times New Roman"/>
                <w:i/>
                <w:iCs/>
                <w:szCs w:val="24"/>
                <w:lang w:eastAsia="de-DE"/>
              </w:rPr>
              <w:t>Must</w:t>
            </w:r>
            <w:proofErr w:type="spellEnd"/>
            <w:r w:rsidRPr="0050473A">
              <w:rPr>
                <w:rFonts w:ascii="Times New Roman" w:eastAsia="Times New Roman" w:hAnsi="Times New Roman"/>
                <w:i/>
                <w:iCs/>
                <w:szCs w:val="24"/>
                <w:lang w:eastAsia="de-DE"/>
              </w:rPr>
              <w:t xml:space="preserve"> Go: </w:t>
            </w:r>
            <w:proofErr w:type="spellStart"/>
            <w:r w:rsidRPr="0050473A">
              <w:rPr>
                <w:rFonts w:ascii="Times New Roman" w:eastAsia="Times New Roman" w:hAnsi="Times New Roman"/>
                <w:i/>
                <w:iCs/>
                <w:szCs w:val="24"/>
                <w:lang w:eastAsia="de-DE"/>
              </w:rPr>
              <w:t>Metaphysics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Naturalized</w:t>
            </w:r>
            <w:proofErr w:type="spellEnd"/>
            <w:r w:rsidRPr="0050473A">
              <w:rPr>
                <w:rFonts w:ascii="Times New Roman" w:eastAsia="Times New Roman" w:hAnsi="Times New Roman"/>
                <w:szCs w:val="24"/>
                <w:lang w:eastAsia="de-DE"/>
              </w:rPr>
              <w:t>. Oxford University Press.</w:t>
            </w:r>
          </w:p>
        </w:tc>
      </w:tr>
      <w:tr w:rsidR="0050473A" w:rsidRPr="0050473A" w14:paraId="6E33F733" w14:textId="77777777" w:rsidTr="0050473A">
        <w:trPr>
          <w:tblCellSpacing w:w="15" w:type="dxa"/>
        </w:trPr>
        <w:tc>
          <w:tcPr>
            <w:tcW w:w="0" w:type="auto"/>
            <w:vAlign w:val="center"/>
            <w:hideMark/>
          </w:tcPr>
          <w:p w14:paraId="40DC9D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[7]</w:t>
            </w:r>
          </w:p>
        </w:tc>
        <w:tc>
          <w:tcPr>
            <w:tcW w:w="0" w:type="auto"/>
            <w:vAlign w:val="center"/>
            <w:hideMark/>
          </w:tcPr>
          <w:p w14:paraId="6AA244BD"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Brier</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Søren</w:t>
            </w:r>
            <w:proofErr w:type="spellEnd"/>
            <w:r w:rsidRPr="0050473A">
              <w:rPr>
                <w:rFonts w:ascii="Times New Roman" w:eastAsia="Times New Roman" w:hAnsi="Times New Roman"/>
                <w:szCs w:val="24"/>
                <w:lang w:eastAsia="de-DE"/>
              </w:rPr>
              <w:t xml:space="preserve"> (2008): </w:t>
            </w:r>
            <w:proofErr w:type="spellStart"/>
            <w:r w:rsidRPr="0050473A">
              <w:rPr>
                <w:rFonts w:ascii="Times New Roman" w:eastAsia="Times New Roman" w:hAnsi="Times New Roman"/>
                <w:i/>
                <w:iCs/>
                <w:szCs w:val="24"/>
                <w:lang w:eastAsia="de-DE"/>
              </w:rPr>
              <w:t>Cybersemiotics</w:t>
            </w:r>
            <w:proofErr w:type="spellEnd"/>
            <w:r w:rsidRPr="0050473A">
              <w:rPr>
                <w:rFonts w:ascii="Times New Roman" w:eastAsia="Times New Roman" w:hAnsi="Times New Roman"/>
                <w:szCs w:val="24"/>
                <w:lang w:eastAsia="de-DE"/>
              </w:rPr>
              <w:t>. Toronto University Press.</w:t>
            </w:r>
          </w:p>
        </w:tc>
      </w:tr>
      <w:tr w:rsidR="0050473A" w:rsidRPr="0050473A" w14:paraId="756A6B68" w14:textId="77777777" w:rsidTr="0050473A">
        <w:trPr>
          <w:tblCellSpacing w:w="15" w:type="dxa"/>
        </w:trPr>
        <w:tc>
          <w:tcPr>
            <w:tcW w:w="0" w:type="auto"/>
            <w:vAlign w:val="center"/>
            <w:hideMark/>
          </w:tcPr>
          <w:p w14:paraId="5A9F58F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[8]</w:t>
            </w:r>
          </w:p>
        </w:tc>
        <w:tc>
          <w:tcPr>
            <w:tcW w:w="0" w:type="auto"/>
            <w:vAlign w:val="center"/>
            <w:hideMark/>
          </w:tcPr>
          <w:p w14:paraId="2E25A6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(1990): </w:t>
            </w:r>
            <w:r w:rsidRPr="0050473A">
              <w:rPr>
                <w:rFonts w:ascii="Times New Roman" w:eastAsia="Times New Roman" w:hAnsi="Times New Roman"/>
                <w:i/>
                <w:iCs/>
                <w:szCs w:val="24"/>
                <w:lang w:eastAsia="de-DE"/>
              </w:rPr>
              <w:t>Die Wissenschaft der Gesellschaft</w:t>
            </w:r>
            <w:r w:rsidRPr="0050473A">
              <w:rPr>
                <w:rFonts w:ascii="Times New Roman" w:eastAsia="Times New Roman" w:hAnsi="Times New Roman"/>
                <w:szCs w:val="24"/>
                <w:lang w:eastAsia="de-DE"/>
              </w:rPr>
              <w:t>. Suhrkamp.</w:t>
            </w:r>
          </w:p>
        </w:tc>
      </w:tr>
      <w:tr w:rsidR="0050473A" w:rsidRPr="0050473A" w14:paraId="6BFF1AC9" w14:textId="77777777" w:rsidTr="0050473A">
        <w:trPr>
          <w:tblCellSpacing w:w="15" w:type="dxa"/>
        </w:trPr>
        <w:tc>
          <w:tcPr>
            <w:tcW w:w="0" w:type="auto"/>
            <w:vAlign w:val="center"/>
            <w:hideMark/>
          </w:tcPr>
          <w:p w14:paraId="0EA769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[9]</w:t>
            </w:r>
          </w:p>
        </w:tc>
        <w:tc>
          <w:tcPr>
            <w:tcW w:w="0" w:type="auto"/>
            <w:vAlign w:val="center"/>
            <w:hideMark/>
          </w:tcPr>
          <w:p w14:paraId="47964C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13195B64" w14:textId="77777777" w:rsidTr="0050473A">
        <w:trPr>
          <w:tblCellSpacing w:w="15" w:type="dxa"/>
        </w:trPr>
        <w:tc>
          <w:tcPr>
            <w:tcW w:w="0" w:type="auto"/>
            <w:vAlign w:val="center"/>
            <w:hideMark/>
          </w:tcPr>
          <w:p w14:paraId="34B370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[10]</w:t>
            </w:r>
          </w:p>
        </w:tc>
        <w:tc>
          <w:tcPr>
            <w:tcW w:w="0" w:type="auto"/>
            <w:vAlign w:val="center"/>
            <w:hideMark/>
          </w:tcPr>
          <w:p w14:paraId="62EC02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 Maturana, Humberto (1987):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Tree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Knowledge</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Shambhala</w:t>
            </w:r>
            <w:proofErr w:type="spellEnd"/>
            <w:r w:rsidRPr="0050473A">
              <w:rPr>
                <w:rFonts w:ascii="Times New Roman" w:eastAsia="Times New Roman" w:hAnsi="Times New Roman"/>
                <w:szCs w:val="24"/>
                <w:lang w:eastAsia="de-DE"/>
              </w:rPr>
              <w:t>.</w:t>
            </w:r>
          </w:p>
        </w:tc>
      </w:tr>
      <w:tr w:rsidR="0050473A" w:rsidRPr="0050473A" w14:paraId="5BA7A11F" w14:textId="77777777" w:rsidTr="0050473A">
        <w:trPr>
          <w:tblCellSpacing w:w="15" w:type="dxa"/>
        </w:trPr>
        <w:tc>
          <w:tcPr>
            <w:tcW w:w="0" w:type="auto"/>
            <w:vAlign w:val="center"/>
            <w:hideMark/>
          </w:tcPr>
          <w:p w14:paraId="4ED3CA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[11]</w:t>
            </w:r>
          </w:p>
        </w:tc>
        <w:tc>
          <w:tcPr>
            <w:tcW w:w="0" w:type="auto"/>
            <w:vAlign w:val="center"/>
            <w:hideMark/>
          </w:tcPr>
          <w:p w14:paraId="2E17A1D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1570B2C0" w14:textId="77777777" w:rsidTr="0050473A">
        <w:trPr>
          <w:tblCellSpacing w:w="15" w:type="dxa"/>
        </w:trPr>
        <w:tc>
          <w:tcPr>
            <w:tcW w:w="0" w:type="auto"/>
            <w:vAlign w:val="center"/>
            <w:hideMark/>
          </w:tcPr>
          <w:p w14:paraId="48DD06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[12]</w:t>
            </w:r>
          </w:p>
        </w:tc>
        <w:tc>
          <w:tcPr>
            <w:tcW w:w="0" w:type="auto"/>
            <w:vAlign w:val="center"/>
            <w:hideMark/>
          </w:tcPr>
          <w:p w14:paraId="623E91E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Witten, Edward (1996): </w:t>
            </w:r>
            <w:proofErr w:type="spellStart"/>
            <w:r w:rsidRPr="0050473A">
              <w:rPr>
                <w:rFonts w:ascii="Times New Roman" w:eastAsia="Times New Roman" w:hAnsi="Times New Roman"/>
                <w:i/>
                <w:iCs/>
                <w:szCs w:val="24"/>
                <w:lang w:eastAsia="de-DE"/>
              </w:rPr>
              <w:t>Reflections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szCs w:val="24"/>
                <w:lang w:eastAsia="de-DE"/>
              </w:rPr>
              <w:t>. Physics Today 49(4).</w:t>
            </w:r>
          </w:p>
        </w:tc>
      </w:tr>
      <w:tr w:rsidR="0050473A" w:rsidRPr="0050473A" w14:paraId="2BE133A2" w14:textId="77777777" w:rsidTr="0050473A">
        <w:trPr>
          <w:tblCellSpacing w:w="15" w:type="dxa"/>
        </w:trPr>
        <w:tc>
          <w:tcPr>
            <w:tcW w:w="0" w:type="auto"/>
            <w:vAlign w:val="center"/>
            <w:hideMark/>
          </w:tcPr>
          <w:p w14:paraId="1F86231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[13]</w:t>
            </w:r>
          </w:p>
        </w:tc>
        <w:tc>
          <w:tcPr>
            <w:tcW w:w="0" w:type="auto"/>
            <w:vAlign w:val="center"/>
            <w:hideMark/>
          </w:tcPr>
          <w:p w14:paraId="77FC79F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Bianchi, Eugenio / Myers, Robert C. (2014):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Architecture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Classical</w:t>
            </w:r>
            <w:proofErr w:type="spellEnd"/>
            <w:r w:rsidRPr="0050473A">
              <w:rPr>
                <w:rFonts w:ascii="Times New Roman" w:eastAsia="Times New Roman" w:hAnsi="Times New Roman"/>
                <w:szCs w:val="24"/>
                <w:lang w:eastAsia="de-DE"/>
              </w:rPr>
              <w:t xml:space="preserve"> and Quantum Gravity, 31(21).</w:t>
            </w:r>
          </w:p>
        </w:tc>
      </w:tr>
      <w:tr w:rsidR="0050473A" w:rsidRPr="0050473A" w14:paraId="174F0DEE" w14:textId="77777777" w:rsidTr="0050473A">
        <w:trPr>
          <w:tblCellSpacing w:w="15" w:type="dxa"/>
        </w:trPr>
        <w:tc>
          <w:tcPr>
            <w:tcW w:w="0" w:type="auto"/>
            <w:vAlign w:val="center"/>
            <w:hideMark/>
          </w:tcPr>
          <w:p w14:paraId="79869B6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[14]</w:t>
            </w:r>
          </w:p>
        </w:tc>
        <w:tc>
          <w:tcPr>
            <w:tcW w:w="0" w:type="auto"/>
            <w:vAlign w:val="center"/>
            <w:hideMark/>
          </w:tcPr>
          <w:p w14:paraId="3C0498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Bitbol</w:t>
            </w:r>
            <w:proofErr w:type="spellEnd"/>
            <w:r w:rsidRPr="0050473A">
              <w:rPr>
                <w:rFonts w:ascii="Times New Roman" w:eastAsia="Times New Roman" w:hAnsi="Times New Roman"/>
                <w:szCs w:val="24"/>
                <w:lang w:eastAsia="de-DE"/>
              </w:rPr>
              <w:t xml:space="preserve">, Michel (1998): </w:t>
            </w:r>
            <w:proofErr w:type="spellStart"/>
            <w:r w:rsidRPr="0050473A">
              <w:rPr>
                <w:rFonts w:ascii="Times New Roman" w:eastAsia="Times New Roman" w:hAnsi="Times New Roman"/>
                <w:i/>
                <w:iCs/>
                <w:szCs w:val="24"/>
                <w:lang w:eastAsia="de-DE"/>
              </w:rPr>
              <w:t>Some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steps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toward</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transcendental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deduction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quantum</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Erkenntnis 48(2–3).</w:t>
            </w:r>
          </w:p>
        </w:tc>
      </w:tr>
      <w:tr w:rsidR="0050473A" w:rsidRPr="0050473A" w14:paraId="528EF39E" w14:textId="77777777" w:rsidTr="0050473A">
        <w:trPr>
          <w:tblCellSpacing w:w="15" w:type="dxa"/>
        </w:trPr>
        <w:tc>
          <w:tcPr>
            <w:tcW w:w="0" w:type="auto"/>
            <w:vAlign w:val="center"/>
            <w:hideMark/>
          </w:tcPr>
          <w:p w14:paraId="4ED6288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[15]</w:t>
            </w:r>
          </w:p>
        </w:tc>
        <w:tc>
          <w:tcPr>
            <w:tcW w:w="0" w:type="auto"/>
            <w:vAlign w:val="center"/>
            <w:hideMark/>
          </w:tcPr>
          <w:p w14:paraId="08DE487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Stengers, Isabelle (2005): </w:t>
            </w:r>
            <w:r w:rsidRPr="0050473A">
              <w:rPr>
                <w:rFonts w:ascii="Times New Roman" w:eastAsia="Times New Roman" w:hAnsi="Times New Roman"/>
                <w:i/>
                <w:iCs/>
                <w:szCs w:val="24"/>
                <w:lang w:eastAsia="de-DE"/>
              </w:rPr>
              <w:t xml:space="preserve">The Invention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Modern Science</w:t>
            </w:r>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Minnesota Press.</w:t>
            </w:r>
          </w:p>
        </w:tc>
      </w:tr>
      <w:tr w:rsidR="0050473A" w:rsidRPr="0050473A" w14:paraId="0F66DC36" w14:textId="77777777" w:rsidTr="0050473A">
        <w:trPr>
          <w:tblCellSpacing w:w="15" w:type="dxa"/>
        </w:trPr>
        <w:tc>
          <w:tcPr>
            <w:tcW w:w="0" w:type="auto"/>
            <w:vAlign w:val="center"/>
            <w:hideMark/>
          </w:tcPr>
          <w:p w14:paraId="5124CDF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[16]</w:t>
            </w:r>
          </w:p>
        </w:tc>
        <w:tc>
          <w:tcPr>
            <w:tcW w:w="0" w:type="auto"/>
            <w:vAlign w:val="center"/>
            <w:hideMark/>
          </w:tcPr>
          <w:p w14:paraId="0BFD4C5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Thiele, Olaf (2025): </w:t>
            </w:r>
            <w:r w:rsidRPr="0050473A">
              <w:rPr>
                <w:rFonts w:ascii="Times New Roman" w:eastAsia="Times New Roman" w:hAnsi="Times New Roman"/>
                <w:i/>
                <w:iCs/>
                <w:szCs w:val="24"/>
                <w:lang w:eastAsia="de-DE"/>
              </w:rPr>
              <w:t>Iterative Konstruktion eines funktionalen Bezugssystems</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Diss</w:t>
            </w:r>
            <w:proofErr w:type="spellEnd"/>
            <w:r w:rsidRPr="0050473A">
              <w:rPr>
                <w:rFonts w:ascii="Times New Roman" w:eastAsia="Times New Roman" w:hAnsi="Times New Roman"/>
                <w:szCs w:val="24"/>
                <w:lang w:eastAsia="de-DE"/>
              </w:rPr>
              <w:t>., Kapitel 3.</w:t>
            </w:r>
          </w:p>
        </w:tc>
      </w:tr>
      <w:tr w:rsidR="0050473A" w:rsidRPr="0050473A" w14:paraId="0CC0A3EE" w14:textId="77777777" w:rsidTr="0050473A">
        <w:trPr>
          <w:tblCellSpacing w:w="15" w:type="dxa"/>
        </w:trPr>
        <w:tc>
          <w:tcPr>
            <w:tcW w:w="0" w:type="auto"/>
            <w:vAlign w:val="center"/>
            <w:hideMark/>
          </w:tcPr>
          <w:p w14:paraId="781AA9F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[17]</w:t>
            </w:r>
          </w:p>
        </w:tc>
        <w:tc>
          <w:tcPr>
            <w:tcW w:w="0" w:type="auto"/>
            <w:vAlign w:val="center"/>
            <w:hideMark/>
          </w:tcPr>
          <w:p w14:paraId="31F7DC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Goldblatt, Robert (2006): </w:t>
            </w:r>
            <w:r w:rsidRPr="0050473A">
              <w:rPr>
                <w:rFonts w:ascii="Times New Roman" w:eastAsia="Times New Roman" w:hAnsi="Times New Roman"/>
                <w:i/>
                <w:iCs/>
                <w:szCs w:val="24"/>
                <w:lang w:eastAsia="de-DE"/>
              </w:rPr>
              <w:t xml:space="preserve">Topoi: The </w:t>
            </w:r>
            <w:proofErr w:type="spellStart"/>
            <w:r w:rsidRPr="0050473A">
              <w:rPr>
                <w:rFonts w:ascii="Times New Roman" w:eastAsia="Times New Roman" w:hAnsi="Times New Roman"/>
                <w:i/>
                <w:iCs/>
                <w:szCs w:val="24"/>
                <w:lang w:eastAsia="de-DE"/>
              </w:rPr>
              <w:t>Categorial</w:t>
            </w:r>
            <w:proofErr w:type="spellEnd"/>
            <w:r w:rsidRPr="0050473A">
              <w:rPr>
                <w:rFonts w:ascii="Times New Roman" w:eastAsia="Times New Roman" w:hAnsi="Times New Roman"/>
                <w:i/>
                <w:iCs/>
                <w:szCs w:val="24"/>
                <w:lang w:eastAsia="de-DE"/>
              </w:rPr>
              <w:t xml:space="preserve"> Analysis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Logic</w:t>
            </w:r>
            <w:proofErr w:type="spellEnd"/>
            <w:r w:rsidRPr="0050473A">
              <w:rPr>
                <w:rFonts w:ascii="Times New Roman" w:eastAsia="Times New Roman" w:hAnsi="Times New Roman"/>
                <w:szCs w:val="24"/>
                <w:lang w:eastAsia="de-DE"/>
              </w:rPr>
              <w:t>. Dover.</w:t>
            </w:r>
          </w:p>
        </w:tc>
      </w:tr>
      <w:tr w:rsidR="0050473A" w:rsidRPr="0050473A" w14:paraId="3C41A9CD" w14:textId="77777777" w:rsidTr="0050473A">
        <w:trPr>
          <w:tblCellSpacing w:w="15" w:type="dxa"/>
        </w:trPr>
        <w:tc>
          <w:tcPr>
            <w:tcW w:w="0" w:type="auto"/>
            <w:vAlign w:val="center"/>
            <w:hideMark/>
          </w:tcPr>
          <w:p w14:paraId="555D9B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[18]</w:t>
            </w:r>
          </w:p>
        </w:tc>
        <w:tc>
          <w:tcPr>
            <w:tcW w:w="0" w:type="auto"/>
            <w:vAlign w:val="center"/>
            <w:hideMark/>
          </w:tcPr>
          <w:p w14:paraId="0321A19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Ortega, James M. / </w:t>
            </w:r>
            <w:proofErr w:type="spellStart"/>
            <w:r w:rsidRPr="0050473A">
              <w:rPr>
                <w:rFonts w:ascii="Times New Roman" w:eastAsia="Times New Roman" w:hAnsi="Times New Roman"/>
                <w:szCs w:val="24"/>
                <w:lang w:eastAsia="de-DE"/>
              </w:rPr>
              <w:t>Rheinboldt</w:t>
            </w:r>
            <w:proofErr w:type="spellEnd"/>
            <w:r w:rsidRPr="0050473A">
              <w:rPr>
                <w:rFonts w:ascii="Times New Roman" w:eastAsia="Times New Roman" w:hAnsi="Times New Roman"/>
                <w:szCs w:val="24"/>
                <w:lang w:eastAsia="de-DE"/>
              </w:rPr>
              <w:t xml:space="preserve">, Werner C. (2000): </w:t>
            </w:r>
            <w:r w:rsidRPr="0050473A">
              <w:rPr>
                <w:rFonts w:ascii="Times New Roman" w:eastAsia="Times New Roman" w:hAnsi="Times New Roman"/>
                <w:i/>
                <w:iCs/>
                <w:szCs w:val="24"/>
                <w:lang w:eastAsia="de-DE"/>
              </w:rPr>
              <w:t xml:space="preserve">Iterative Solution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Nonlinear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Equations</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Several</w:t>
            </w:r>
            <w:proofErr w:type="spellEnd"/>
            <w:r w:rsidRPr="0050473A">
              <w:rPr>
                <w:rFonts w:ascii="Times New Roman" w:eastAsia="Times New Roman" w:hAnsi="Times New Roman"/>
                <w:i/>
                <w:iCs/>
                <w:szCs w:val="24"/>
                <w:lang w:eastAsia="de-DE"/>
              </w:rPr>
              <w:t xml:space="preserve"> Variables</w:t>
            </w:r>
            <w:r w:rsidRPr="0050473A">
              <w:rPr>
                <w:rFonts w:ascii="Times New Roman" w:eastAsia="Times New Roman" w:hAnsi="Times New Roman"/>
                <w:szCs w:val="24"/>
                <w:lang w:eastAsia="de-DE"/>
              </w:rPr>
              <w:t>. SIAM.</w:t>
            </w:r>
          </w:p>
        </w:tc>
      </w:tr>
      <w:tr w:rsidR="0050473A" w:rsidRPr="0050473A" w14:paraId="67B24C59" w14:textId="77777777" w:rsidTr="0050473A">
        <w:trPr>
          <w:tblCellSpacing w:w="15" w:type="dxa"/>
        </w:trPr>
        <w:tc>
          <w:tcPr>
            <w:tcW w:w="0" w:type="auto"/>
            <w:vAlign w:val="center"/>
            <w:hideMark/>
          </w:tcPr>
          <w:p w14:paraId="3E1BE5E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[19]</w:t>
            </w:r>
          </w:p>
        </w:tc>
        <w:tc>
          <w:tcPr>
            <w:tcW w:w="0" w:type="auto"/>
            <w:vAlign w:val="center"/>
            <w:hideMark/>
          </w:tcPr>
          <w:p w14:paraId="4F50BEB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Troelstra</w:t>
            </w:r>
            <w:proofErr w:type="spellEnd"/>
            <w:r w:rsidRPr="0050473A">
              <w:rPr>
                <w:rFonts w:ascii="Times New Roman" w:eastAsia="Times New Roman" w:hAnsi="Times New Roman"/>
                <w:szCs w:val="24"/>
                <w:lang w:eastAsia="de-DE"/>
              </w:rPr>
              <w:t xml:space="preserve">, A. S. / van Dalen, D. (1988): </w:t>
            </w:r>
            <w:proofErr w:type="spellStart"/>
            <w:r w:rsidRPr="0050473A">
              <w:rPr>
                <w:rFonts w:ascii="Times New Roman" w:eastAsia="Times New Roman" w:hAnsi="Times New Roman"/>
                <w:i/>
                <w:iCs/>
                <w:szCs w:val="24"/>
                <w:lang w:eastAsia="de-DE"/>
              </w:rPr>
              <w:t>Constructivism</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szCs w:val="24"/>
                <w:lang w:eastAsia="de-DE"/>
              </w:rPr>
              <w:t>. North-Holland.</w:t>
            </w:r>
          </w:p>
        </w:tc>
      </w:tr>
      <w:tr w:rsidR="0050473A" w:rsidRPr="0050473A" w14:paraId="25744E0E" w14:textId="77777777" w:rsidTr="0050473A">
        <w:trPr>
          <w:tblCellSpacing w:w="15" w:type="dxa"/>
        </w:trPr>
        <w:tc>
          <w:tcPr>
            <w:tcW w:w="0" w:type="auto"/>
            <w:vAlign w:val="center"/>
            <w:hideMark/>
          </w:tcPr>
          <w:p w14:paraId="3E27DD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[20]</w:t>
            </w:r>
          </w:p>
        </w:tc>
        <w:tc>
          <w:tcPr>
            <w:tcW w:w="0" w:type="auto"/>
            <w:vAlign w:val="center"/>
            <w:hideMark/>
          </w:tcPr>
          <w:p w14:paraId="1A6B67A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Understanding </w:t>
            </w:r>
            <w:proofErr w:type="spellStart"/>
            <w:r w:rsidRPr="0050473A">
              <w:rPr>
                <w:rFonts w:ascii="Times New Roman" w:eastAsia="Times New Roman" w:hAnsi="Times New Roman"/>
                <w:i/>
                <w:iCs/>
                <w:szCs w:val="24"/>
                <w:lang w:eastAsia="de-DE"/>
              </w:rPr>
              <w:t>Understanding</w:t>
            </w:r>
            <w:proofErr w:type="spellEnd"/>
            <w:r w:rsidRPr="0050473A">
              <w:rPr>
                <w:rFonts w:ascii="Times New Roman" w:eastAsia="Times New Roman" w:hAnsi="Times New Roman"/>
                <w:szCs w:val="24"/>
                <w:lang w:eastAsia="de-DE"/>
              </w:rPr>
              <w:t>.</w:t>
            </w:r>
          </w:p>
        </w:tc>
      </w:tr>
      <w:tr w:rsidR="0050473A" w:rsidRPr="0050473A" w14:paraId="30B8EC1C" w14:textId="77777777" w:rsidTr="0050473A">
        <w:trPr>
          <w:tblCellSpacing w:w="15" w:type="dxa"/>
        </w:trPr>
        <w:tc>
          <w:tcPr>
            <w:tcW w:w="0" w:type="auto"/>
            <w:vAlign w:val="center"/>
            <w:hideMark/>
          </w:tcPr>
          <w:p w14:paraId="79E3478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[21]</w:t>
            </w:r>
          </w:p>
        </w:tc>
        <w:tc>
          <w:tcPr>
            <w:tcW w:w="0" w:type="auto"/>
            <w:vAlign w:val="center"/>
            <w:hideMark/>
          </w:tcPr>
          <w:p w14:paraId="1F3AE03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01FDD66" w14:textId="77777777" w:rsidTr="0050473A">
        <w:trPr>
          <w:tblCellSpacing w:w="15" w:type="dxa"/>
        </w:trPr>
        <w:tc>
          <w:tcPr>
            <w:tcW w:w="0" w:type="auto"/>
            <w:vAlign w:val="center"/>
            <w:hideMark/>
          </w:tcPr>
          <w:p w14:paraId="4146BC3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[22]</w:t>
            </w:r>
          </w:p>
        </w:tc>
        <w:tc>
          <w:tcPr>
            <w:tcW w:w="0" w:type="auto"/>
            <w:vAlign w:val="center"/>
            <w:hideMark/>
          </w:tcPr>
          <w:p w14:paraId="51B0A11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Perry, John (1983): </w:t>
            </w:r>
            <w:proofErr w:type="spellStart"/>
            <w:r w:rsidRPr="0050473A">
              <w:rPr>
                <w:rFonts w:ascii="Times New Roman" w:eastAsia="Times New Roman" w:hAnsi="Times New Roman"/>
                <w:i/>
                <w:iCs/>
                <w:szCs w:val="24"/>
                <w:lang w:eastAsia="de-DE"/>
              </w:rPr>
              <w:t>Situations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Attitudes</w:t>
            </w:r>
            <w:proofErr w:type="spellEnd"/>
            <w:r w:rsidRPr="0050473A">
              <w:rPr>
                <w:rFonts w:ascii="Times New Roman" w:eastAsia="Times New Roman" w:hAnsi="Times New Roman"/>
                <w:szCs w:val="24"/>
                <w:lang w:eastAsia="de-DE"/>
              </w:rPr>
              <w:t>. MIT Press.</w:t>
            </w:r>
          </w:p>
        </w:tc>
      </w:tr>
      <w:tr w:rsidR="0050473A" w:rsidRPr="0050473A" w14:paraId="151859DC" w14:textId="77777777" w:rsidTr="0050473A">
        <w:trPr>
          <w:tblCellSpacing w:w="15" w:type="dxa"/>
        </w:trPr>
        <w:tc>
          <w:tcPr>
            <w:tcW w:w="0" w:type="auto"/>
            <w:vAlign w:val="center"/>
            <w:hideMark/>
          </w:tcPr>
          <w:p w14:paraId="617D4BD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[23]</w:t>
            </w:r>
          </w:p>
        </w:tc>
        <w:tc>
          <w:tcPr>
            <w:tcW w:w="0" w:type="auto"/>
            <w:vAlign w:val="center"/>
            <w:hideMark/>
          </w:tcPr>
          <w:p w14:paraId="1ED2B93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Nicolis, Gregoire / Prigogine, Ilya (1977): </w:t>
            </w:r>
            <w:r w:rsidRPr="0050473A">
              <w:rPr>
                <w:rFonts w:ascii="Times New Roman" w:eastAsia="Times New Roman" w:hAnsi="Times New Roman"/>
                <w:i/>
                <w:iCs/>
                <w:szCs w:val="24"/>
                <w:lang w:eastAsia="de-DE"/>
              </w:rPr>
              <w:t>Self-</w:t>
            </w:r>
            <w:proofErr w:type="spellStart"/>
            <w:r w:rsidRPr="0050473A">
              <w:rPr>
                <w:rFonts w:ascii="Times New Roman" w:eastAsia="Times New Roman" w:hAnsi="Times New Roman"/>
                <w:i/>
                <w:iCs/>
                <w:szCs w:val="24"/>
                <w:lang w:eastAsia="de-DE"/>
              </w:rPr>
              <w:t>Organization</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Nonequilibrium</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Wiley.</w:t>
            </w:r>
          </w:p>
        </w:tc>
      </w:tr>
      <w:tr w:rsidR="0050473A" w:rsidRPr="0050473A" w14:paraId="229F4EFC" w14:textId="77777777" w:rsidTr="0050473A">
        <w:trPr>
          <w:tblCellSpacing w:w="15" w:type="dxa"/>
        </w:trPr>
        <w:tc>
          <w:tcPr>
            <w:tcW w:w="0" w:type="auto"/>
            <w:vAlign w:val="center"/>
            <w:hideMark/>
          </w:tcPr>
          <w:p w14:paraId="623C0F7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[24]</w:t>
            </w:r>
          </w:p>
        </w:tc>
        <w:tc>
          <w:tcPr>
            <w:tcW w:w="0" w:type="auto"/>
            <w:vAlign w:val="center"/>
            <w:hideMark/>
          </w:tcPr>
          <w:p w14:paraId="3529E0B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Baecker, Dirk (1999): </w:t>
            </w:r>
            <w:r w:rsidRPr="0050473A">
              <w:rPr>
                <w:rFonts w:ascii="Times New Roman" w:eastAsia="Times New Roman" w:hAnsi="Times New Roman"/>
                <w:i/>
                <w:iCs/>
                <w:szCs w:val="24"/>
                <w:lang w:eastAsia="de-DE"/>
              </w:rPr>
              <w:t>Beobachter unter sich. Eine Kulturtheorie</w:t>
            </w:r>
            <w:r w:rsidRPr="0050473A">
              <w:rPr>
                <w:rFonts w:ascii="Times New Roman" w:eastAsia="Times New Roman" w:hAnsi="Times New Roman"/>
                <w:szCs w:val="24"/>
                <w:lang w:eastAsia="de-DE"/>
              </w:rPr>
              <w:t>. Suhrkamp.</w:t>
            </w:r>
          </w:p>
        </w:tc>
      </w:tr>
      <w:tr w:rsidR="0050473A" w:rsidRPr="0050473A" w14:paraId="62D1C3A1" w14:textId="77777777" w:rsidTr="0050473A">
        <w:trPr>
          <w:tblCellSpacing w:w="15" w:type="dxa"/>
        </w:trPr>
        <w:tc>
          <w:tcPr>
            <w:tcW w:w="0" w:type="auto"/>
            <w:vAlign w:val="center"/>
            <w:hideMark/>
          </w:tcPr>
          <w:p w14:paraId="54A5E65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[25]</w:t>
            </w:r>
          </w:p>
        </w:tc>
        <w:tc>
          <w:tcPr>
            <w:tcW w:w="0" w:type="auto"/>
            <w:vAlign w:val="center"/>
            <w:hideMark/>
          </w:tcPr>
          <w:p w14:paraId="7B82C52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Hofstadter, Douglas R. (1979): </w:t>
            </w:r>
            <w:r w:rsidRPr="0050473A">
              <w:rPr>
                <w:rFonts w:ascii="Times New Roman" w:eastAsia="Times New Roman" w:hAnsi="Times New Roman"/>
                <w:i/>
                <w:iCs/>
                <w:szCs w:val="24"/>
                <w:lang w:eastAsia="de-DE"/>
              </w:rPr>
              <w:t xml:space="preserve">Gödel, Escher, Bach: An </w:t>
            </w:r>
            <w:proofErr w:type="spellStart"/>
            <w:r w:rsidRPr="0050473A">
              <w:rPr>
                <w:rFonts w:ascii="Times New Roman" w:eastAsia="Times New Roman" w:hAnsi="Times New Roman"/>
                <w:i/>
                <w:iCs/>
                <w:szCs w:val="24"/>
                <w:lang w:eastAsia="de-DE"/>
              </w:rPr>
              <w:t>Eternal</w:t>
            </w:r>
            <w:proofErr w:type="spellEnd"/>
            <w:r w:rsidRPr="0050473A">
              <w:rPr>
                <w:rFonts w:ascii="Times New Roman" w:eastAsia="Times New Roman" w:hAnsi="Times New Roman"/>
                <w:i/>
                <w:iCs/>
                <w:szCs w:val="24"/>
                <w:lang w:eastAsia="de-DE"/>
              </w:rPr>
              <w:t xml:space="preserve"> Golden </w:t>
            </w:r>
            <w:proofErr w:type="spellStart"/>
            <w:r w:rsidRPr="0050473A">
              <w:rPr>
                <w:rFonts w:ascii="Times New Roman" w:eastAsia="Times New Roman" w:hAnsi="Times New Roman"/>
                <w:i/>
                <w:iCs/>
                <w:szCs w:val="24"/>
                <w:lang w:eastAsia="de-DE"/>
              </w:rPr>
              <w:t>Braid</w:t>
            </w:r>
            <w:proofErr w:type="spellEnd"/>
            <w:r w:rsidRPr="0050473A">
              <w:rPr>
                <w:rFonts w:ascii="Times New Roman" w:eastAsia="Times New Roman" w:hAnsi="Times New Roman"/>
                <w:szCs w:val="24"/>
                <w:lang w:eastAsia="de-DE"/>
              </w:rPr>
              <w:t>. Basic Books.</w:t>
            </w:r>
          </w:p>
        </w:tc>
      </w:tr>
      <w:tr w:rsidR="0050473A" w:rsidRPr="0050473A" w14:paraId="62C9EBD3" w14:textId="77777777" w:rsidTr="0050473A">
        <w:trPr>
          <w:tblCellSpacing w:w="15" w:type="dxa"/>
        </w:trPr>
        <w:tc>
          <w:tcPr>
            <w:tcW w:w="0" w:type="auto"/>
            <w:vAlign w:val="center"/>
            <w:hideMark/>
          </w:tcPr>
          <w:p w14:paraId="244AD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[26]</w:t>
            </w:r>
          </w:p>
        </w:tc>
        <w:tc>
          <w:tcPr>
            <w:tcW w:w="0" w:type="auto"/>
            <w:vAlign w:val="center"/>
            <w:hideMark/>
          </w:tcPr>
          <w:p w14:paraId="654D55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Moss, Lawrence (1996): </w:t>
            </w:r>
            <w:proofErr w:type="spellStart"/>
            <w:r w:rsidRPr="0050473A">
              <w:rPr>
                <w:rFonts w:ascii="Times New Roman" w:eastAsia="Times New Roman" w:hAnsi="Times New Roman"/>
                <w:i/>
                <w:iCs/>
                <w:szCs w:val="24"/>
                <w:lang w:eastAsia="de-DE"/>
              </w:rPr>
              <w:t>Vicious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Circles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Non-</w:t>
            </w:r>
            <w:proofErr w:type="spellStart"/>
            <w:r w:rsidRPr="0050473A">
              <w:rPr>
                <w:rFonts w:ascii="Times New Roman" w:eastAsia="Times New Roman" w:hAnsi="Times New Roman"/>
                <w:i/>
                <w:iCs/>
                <w:szCs w:val="24"/>
                <w:lang w:eastAsia="de-DE"/>
              </w:rPr>
              <w:t>Wellfounded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Phenomena</w:t>
            </w:r>
            <w:proofErr w:type="spellEnd"/>
            <w:r w:rsidRPr="0050473A">
              <w:rPr>
                <w:rFonts w:ascii="Times New Roman" w:eastAsia="Times New Roman" w:hAnsi="Times New Roman"/>
                <w:szCs w:val="24"/>
                <w:lang w:eastAsia="de-DE"/>
              </w:rPr>
              <w:t>. CSLI.</w:t>
            </w:r>
          </w:p>
        </w:tc>
      </w:tr>
      <w:tr w:rsidR="0050473A" w:rsidRPr="0050473A" w14:paraId="03716FD9" w14:textId="77777777" w:rsidTr="0050473A">
        <w:trPr>
          <w:tblCellSpacing w:w="15" w:type="dxa"/>
        </w:trPr>
        <w:tc>
          <w:tcPr>
            <w:tcW w:w="0" w:type="auto"/>
            <w:vAlign w:val="center"/>
            <w:hideMark/>
          </w:tcPr>
          <w:p w14:paraId="7768F23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[27]</w:t>
            </w:r>
          </w:p>
        </w:tc>
        <w:tc>
          <w:tcPr>
            <w:tcW w:w="0" w:type="auto"/>
            <w:vAlign w:val="center"/>
            <w:hideMark/>
          </w:tcPr>
          <w:p w14:paraId="102200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(1984): </w:t>
            </w:r>
            <w:r w:rsidRPr="0050473A">
              <w:rPr>
                <w:rFonts w:ascii="Times New Roman" w:eastAsia="Times New Roman" w:hAnsi="Times New Roman"/>
                <w:i/>
                <w:iCs/>
                <w:szCs w:val="24"/>
                <w:lang w:eastAsia="de-DE"/>
              </w:rPr>
              <w:t>Soziale Systeme</w:t>
            </w:r>
            <w:r w:rsidRPr="0050473A">
              <w:rPr>
                <w:rFonts w:ascii="Times New Roman" w:eastAsia="Times New Roman" w:hAnsi="Times New Roman"/>
                <w:szCs w:val="24"/>
                <w:lang w:eastAsia="de-DE"/>
              </w:rPr>
              <w:t>. Suhrkamp.</w:t>
            </w:r>
          </w:p>
        </w:tc>
      </w:tr>
      <w:tr w:rsidR="0050473A" w:rsidRPr="0050473A" w14:paraId="57379A74" w14:textId="77777777" w:rsidTr="0050473A">
        <w:trPr>
          <w:tblCellSpacing w:w="15" w:type="dxa"/>
        </w:trPr>
        <w:tc>
          <w:tcPr>
            <w:tcW w:w="0" w:type="auto"/>
            <w:vAlign w:val="center"/>
            <w:hideMark/>
          </w:tcPr>
          <w:p w14:paraId="31DC99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[28]</w:t>
            </w:r>
          </w:p>
        </w:tc>
        <w:tc>
          <w:tcPr>
            <w:tcW w:w="0" w:type="auto"/>
            <w:vAlign w:val="center"/>
            <w:hideMark/>
          </w:tcPr>
          <w:p w14:paraId="76F2AF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Wheeler, John Archibald (1983): </w:t>
            </w:r>
            <w:r w:rsidRPr="0050473A">
              <w:rPr>
                <w:rFonts w:ascii="Times New Roman" w:eastAsia="Times New Roman" w:hAnsi="Times New Roman"/>
                <w:i/>
                <w:iCs/>
                <w:szCs w:val="24"/>
                <w:lang w:eastAsia="de-DE"/>
              </w:rPr>
              <w:t xml:space="preserve">Law </w:t>
            </w:r>
            <w:proofErr w:type="spellStart"/>
            <w:r w:rsidRPr="0050473A">
              <w:rPr>
                <w:rFonts w:ascii="Times New Roman" w:eastAsia="Times New Roman" w:hAnsi="Times New Roman"/>
                <w:i/>
                <w:iCs/>
                <w:szCs w:val="24"/>
                <w:lang w:eastAsia="de-DE"/>
              </w:rPr>
              <w:t>Without</w:t>
            </w:r>
            <w:proofErr w:type="spellEnd"/>
            <w:r w:rsidRPr="0050473A">
              <w:rPr>
                <w:rFonts w:ascii="Times New Roman" w:eastAsia="Times New Roman" w:hAnsi="Times New Roman"/>
                <w:i/>
                <w:iCs/>
                <w:szCs w:val="24"/>
                <w:lang w:eastAsia="de-DE"/>
              </w:rPr>
              <w:t xml:space="preserve"> Law</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Quantum Theory and Measurement</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ed</w:t>
            </w:r>
            <w:proofErr w:type="spellEnd"/>
            <w:r w:rsidRPr="0050473A">
              <w:rPr>
                <w:rFonts w:ascii="Times New Roman" w:eastAsia="Times New Roman" w:hAnsi="Times New Roman"/>
                <w:szCs w:val="24"/>
                <w:lang w:eastAsia="de-DE"/>
              </w:rPr>
              <w:t>. J.A. Wheeler &amp; W.H. Zurek. Princeton University Press.</w:t>
            </w:r>
          </w:p>
        </w:tc>
      </w:tr>
      <w:tr w:rsidR="0050473A" w:rsidRPr="0050473A" w14:paraId="1E3BD0A6" w14:textId="77777777" w:rsidTr="0050473A">
        <w:trPr>
          <w:tblCellSpacing w:w="15" w:type="dxa"/>
        </w:trPr>
        <w:tc>
          <w:tcPr>
            <w:tcW w:w="0" w:type="auto"/>
            <w:vAlign w:val="center"/>
            <w:hideMark/>
          </w:tcPr>
          <w:p w14:paraId="0B2D421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[29]</w:t>
            </w:r>
          </w:p>
        </w:tc>
        <w:tc>
          <w:tcPr>
            <w:tcW w:w="0" w:type="auto"/>
            <w:vAlign w:val="center"/>
            <w:hideMark/>
          </w:tcPr>
          <w:p w14:paraId="624C253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Norton, John D. (2007):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as</w:t>
            </w:r>
            <w:proofErr w:type="spellEnd"/>
            <w:r w:rsidRPr="0050473A">
              <w:rPr>
                <w:rFonts w:ascii="Times New Roman" w:eastAsia="Times New Roman" w:hAnsi="Times New Roman"/>
                <w:i/>
                <w:iCs/>
                <w:szCs w:val="24"/>
                <w:lang w:eastAsia="de-DE"/>
              </w:rPr>
              <w:t xml:space="preserve"> Folk Science</w:t>
            </w:r>
            <w:r w:rsidRPr="0050473A">
              <w:rPr>
                <w:rFonts w:ascii="Times New Roman" w:eastAsia="Times New Roman" w:hAnsi="Times New Roman"/>
                <w:szCs w:val="24"/>
                <w:lang w:eastAsia="de-DE"/>
              </w:rPr>
              <w:t xml:space="preserve">. In: Price, H. &amp; Corry, R. (Hrsg.):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Physics,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Constitution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Reality</w:t>
            </w:r>
            <w:r w:rsidRPr="0050473A">
              <w:rPr>
                <w:rFonts w:ascii="Times New Roman" w:eastAsia="Times New Roman" w:hAnsi="Times New Roman"/>
                <w:szCs w:val="24"/>
                <w:lang w:eastAsia="de-DE"/>
              </w:rPr>
              <w:t>. Oxford University Press.</w:t>
            </w:r>
          </w:p>
        </w:tc>
      </w:tr>
      <w:tr w:rsidR="0050473A" w:rsidRPr="0050473A" w14:paraId="2A9BE561" w14:textId="77777777" w:rsidTr="0050473A">
        <w:trPr>
          <w:tblCellSpacing w:w="15" w:type="dxa"/>
        </w:trPr>
        <w:tc>
          <w:tcPr>
            <w:tcW w:w="0" w:type="auto"/>
            <w:vAlign w:val="center"/>
            <w:hideMark/>
          </w:tcPr>
          <w:p w14:paraId="77C02FD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[30]</w:t>
            </w:r>
          </w:p>
        </w:tc>
        <w:tc>
          <w:tcPr>
            <w:tcW w:w="0" w:type="auto"/>
            <w:vAlign w:val="center"/>
            <w:hideMark/>
          </w:tcPr>
          <w:p w14:paraId="22F84C82"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Lanczos</w:t>
            </w:r>
            <w:proofErr w:type="spellEnd"/>
            <w:r w:rsidRPr="0050473A">
              <w:rPr>
                <w:rFonts w:ascii="Times New Roman" w:eastAsia="Times New Roman" w:hAnsi="Times New Roman"/>
                <w:szCs w:val="24"/>
                <w:lang w:eastAsia="de-DE"/>
              </w:rPr>
              <w:t xml:space="preserve">, Cornelius (1986):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Variational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Dover.</w:t>
            </w:r>
          </w:p>
        </w:tc>
      </w:tr>
      <w:tr w:rsidR="0050473A" w:rsidRPr="0050473A" w14:paraId="7A10594C" w14:textId="77777777" w:rsidTr="0050473A">
        <w:trPr>
          <w:tblCellSpacing w:w="15" w:type="dxa"/>
        </w:trPr>
        <w:tc>
          <w:tcPr>
            <w:tcW w:w="0" w:type="auto"/>
            <w:vAlign w:val="center"/>
            <w:hideMark/>
          </w:tcPr>
          <w:p w14:paraId="39BB7F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[31]</w:t>
            </w:r>
          </w:p>
        </w:tc>
        <w:tc>
          <w:tcPr>
            <w:tcW w:w="0" w:type="auto"/>
            <w:vAlign w:val="center"/>
            <w:hideMark/>
          </w:tcPr>
          <w:p w14:paraId="6904D9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Noether, Emmy (1918): </w:t>
            </w:r>
            <w:r w:rsidRPr="0050473A">
              <w:rPr>
                <w:rFonts w:ascii="Times New Roman" w:eastAsia="Times New Roman" w:hAnsi="Times New Roman"/>
                <w:i/>
                <w:iCs/>
                <w:szCs w:val="24"/>
                <w:lang w:eastAsia="de-DE"/>
              </w:rPr>
              <w:t>Invariante Variationsprobleme</w:t>
            </w:r>
            <w:r w:rsidRPr="0050473A">
              <w:rPr>
                <w:rFonts w:ascii="Times New Roman" w:eastAsia="Times New Roman" w:hAnsi="Times New Roman"/>
                <w:szCs w:val="24"/>
                <w:lang w:eastAsia="de-DE"/>
              </w:rPr>
              <w:t>. Nachrichten der Königlichen Gesellschaft der Wissenschaften zu Göttingen.</w:t>
            </w:r>
          </w:p>
        </w:tc>
      </w:tr>
      <w:tr w:rsidR="0050473A" w:rsidRPr="0050473A" w14:paraId="521E2AAE" w14:textId="77777777" w:rsidTr="0050473A">
        <w:trPr>
          <w:tblCellSpacing w:w="15" w:type="dxa"/>
        </w:trPr>
        <w:tc>
          <w:tcPr>
            <w:tcW w:w="0" w:type="auto"/>
            <w:vAlign w:val="center"/>
            <w:hideMark/>
          </w:tcPr>
          <w:p w14:paraId="603EB70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[32]</w:t>
            </w:r>
          </w:p>
        </w:tc>
        <w:tc>
          <w:tcPr>
            <w:tcW w:w="0" w:type="auto"/>
            <w:vAlign w:val="center"/>
            <w:hideMark/>
          </w:tcPr>
          <w:p w14:paraId="60FFD86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Weinberg, Steven (1995): </w:t>
            </w:r>
            <w:r w:rsidRPr="0050473A">
              <w:rPr>
                <w:rFonts w:ascii="Times New Roman" w:eastAsia="Times New Roman" w:hAnsi="Times New Roman"/>
                <w:i/>
                <w:iCs/>
                <w:szCs w:val="24"/>
                <w:lang w:eastAsia="de-DE"/>
              </w:rPr>
              <w:t xml:space="preserve">The Quantum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Fields</w:t>
            </w:r>
            <w:r w:rsidRPr="0050473A">
              <w:rPr>
                <w:rFonts w:ascii="Times New Roman" w:eastAsia="Times New Roman" w:hAnsi="Times New Roman"/>
                <w:szCs w:val="24"/>
                <w:lang w:eastAsia="de-DE"/>
              </w:rPr>
              <w:t>. Cambridge University Press.</w:t>
            </w:r>
          </w:p>
        </w:tc>
      </w:tr>
      <w:tr w:rsidR="0050473A" w:rsidRPr="0050473A" w14:paraId="31905F2F" w14:textId="77777777" w:rsidTr="0050473A">
        <w:trPr>
          <w:tblCellSpacing w:w="15" w:type="dxa"/>
        </w:trPr>
        <w:tc>
          <w:tcPr>
            <w:tcW w:w="0" w:type="auto"/>
            <w:vAlign w:val="center"/>
            <w:hideMark/>
          </w:tcPr>
          <w:p w14:paraId="6A583CA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[33]</w:t>
            </w:r>
          </w:p>
        </w:tc>
        <w:tc>
          <w:tcPr>
            <w:tcW w:w="0" w:type="auto"/>
            <w:vAlign w:val="center"/>
            <w:hideMark/>
          </w:tcPr>
          <w:p w14:paraId="561CFFDB"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(2021): </w:t>
            </w:r>
            <w:r w:rsidRPr="0050473A">
              <w:rPr>
                <w:rFonts w:ascii="Times New Roman" w:eastAsia="Times New Roman" w:hAnsi="Times New Roman"/>
                <w:i/>
                <w:iCs/>
                <w:szCs w:val="24"/>
                <w:lang w:eastAsia="de-DE"/>
              </w:rPr>
              <w:t xml:space="preserve">Helgoland: Making Sense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Quantum Revolution</w:t>
            </w:r>
            <w:r w:rsidRPr="0050473A">
              <w:rPr>
                <w:rFonts w:ascii="Times New Roman" w:eastAsia="Times New Roman" w:hAnsi="Times New Roman"/>
                <w:szCs w:val="24"/>
                <w:lang w:eastAsia="de-DE"/>
              </w:rPr>
              <w:t>. Penguin Books.</w:t>
            </w:r>
          </w:p>
        </w:tc>
      </w:tr>
      <w:tr w:rsidR="0050473A" w:rsidRPr="0050473A" w14:paraId="5416A103" w14:textId="77777777" w:rsidTr="0050473A">
        <w:trPr>
          <w:tblCellSpacing w:w="15" w:type="dxa"/>
        </w:trPr>
        <w:tc>
          <w:tcPr>
            <w:tcW w:w="0" w:type="auto"/>
            <w:vAlign w:val="center"/>
            <w:hideMark/>
          </w:tcPr>
          <w:p w14:paraId="0AA053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[34]</w:t>
            </w:r>
          </w:p>
        </w:tc>
        <w:tc>
          <w:tcPr>
            <w:tcW w:w="0" w:type="auto"/>
            <w:vAlign w:val="center"/>
            <w:hideMark/>
          </w:tcPr>
          <w:p w14:paraId="43BA107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Kauffman</w:t>
            </w:r>
            <w:proofErr w:type="spellEnd"/>
            <w:r w:rsidRPr="0050473A">
              <w:rPr>
                <w:rFonts w:ascii="Times New Roman" w:eastAsia="Times New Roman" w:hAnsi="Times New Roman"/>
                <w:szCs w:val="24"/>
                <w:lang w:eastAsia="de-DE"/>
              </w:rPr>
              <w:t xml:space="preserve">, Stuart A. (1993): </w:t>
            </w:r>
            <w:r w:rsidRPr="0050473A">
              <w:rPr>
                <w:rFonts w:ascii="Times New Roman" w:eastAsia="Times New Roman" w:hAnsi="Times New Roman"/>
                <w:i/>
                <w:iCs/>
                <w:szCs w:val="24"/>
                <w:lang w:eastAsia="de-DE"/>
              </w:rPr>
              <w:t xml:space="preserve">The Origins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77C3B2CE" w14:textId="77777777" w:rsidTr="0050473A">
        <w:trPr>
          <w:tblCellSpacing w:w="15" w:type="dxa"/>
        </w:trPr>
        <w:tc>
          <w:tcPr>
            <w:tcW w:w="0" w:type="auto"/>
            <w:vAlign w:val="center"/>
            <w:hideMark/>
          </w:tcPr>
          <w:p w14:paraId="032BCCA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[35]</w:t>
            </w:r>
          </w:p>
        </w:tc>
        <w:tc>
          <w:tcPr>
            <w:tcW w:w="0" w:type="auto"/>
            <w:vAlign w:val="center"/>
            <w:hideMark/>
          </w:tcPr>
          <w:p w14:paraId="4255FC7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Eco, Umberto (1976): </w:t>
            </w:r>
            <w:r w:rsidRPr="0050473A">
              <w:rPr>
                <w:rFonts w:ascii="Times New Roman" w:eastAsia="Times New Roman" w:hAnsi="Times New Roman"/>
                <w:i/>
                <w:iCs/>
                <w:szCs w:val="24"/>
                <w:lang w:eastAsia="de-DE"/>
              </w:rPr>
              <w:t xml:space="preserve">A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Semiotics</w:t>
            </w:r>
            <w:proofErr w:type="spellEnd"/>
            <w:r w:rsidRPr="0050473A">
              <w:rPr>
                <w:rFonts w:ascii="Times New Roman" w:eastAsia="Times New Roman" w:hAnsi="Times New Roman"/>
                <w:szCs w:val="24"/>
                <w:lang w:eastAsia="de-DE"/>
              </w:rPr>
              <w:t>. Indiana University Press.</w:t>
            </w:r>
          </w:p>
        </w:tc>
      </w:tr>
      <w:tr w:rsidR="0050473A" w:rsidRPr="0050473A" w14:paraId="0FC9F348" w14:textId="77777777" w:rsidTr="0050473A">
        <w:trPr>
          <w:tblCellSpacing w:w="15" w:type="dxa"/>
        </w:trPr>
        <w:tc>
          <w:tcPr>
            <w:tcW w:w="0" w:type="auto"/>
            <w:vAlign w:val="center"/>
            <w:hideMark/>
          </w:tcPr>
          <w:p w14:paraId="29AF7B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[36]</w:t>
            </w:r>
          </w:p>
        </w:tc>
        <w:tc>
          <w:tcPr>
            <w:tcW w:w="0" w:type="auto"/>
            <w:vAlign w:val="center"/>
            <w:hideMark/>
          </w:tcPr>
          <w:p w14:paraId="4C23ADA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Gärdenfors</w:t>
            </w:r>
            <w:proofErr w:type="spellEnd"/>
            <w:r w:rsidRPr="0050473A">
              <w:rPr>
                <w:rFonts w:ascii="Times New Roman" w:eastAsia="Times New Roman" w:hAnsi="Times New Roman"/>
                <w:szCs w:val="24"/>
                <w:lang w:eastAsia="de-DE"/>
              </w:rPr>
              <w:t xml:space="preserve">, Peter (2000):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Spaces: The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Thought</w:t>
            </w:r>
            <w:proofErr w:type="spellEnd"/>
            <w:r w:rsidRPr="0050473A">
              <w:rPr>
                <w:rFonts w:ascii="Times New Roman" w:eastAsia="Times New Roman" w:hAnsi="Times New Roman"/>
                <w:szCs w:val="24"/>
                <w:lang w:eastAsia="de-DE"/>
              </w:rPr>
              <w:t>. MIT Press.</w:t>
            </w:r>
          </w:p>
        </w:tc>
      </w:tr>
      <w:tr w:rsidR="0050473A" w:rsidRPr="0050473A" w14:paraId="2B06F779" w14:textId="77777777" w:rsidTr="0050473A">
        <w:trPr>
          <w:tblCellSpacing w:w="15" w:type="dxa"/>
        </w:trPr>
        <w:tc>
          <w:tcPr>
            <w:tcW w:w="0" w:type="auto"/>
            <w:vAlign w:val="center"/>
            <w:hideMark/>
          </w:tcPr>
          <w:p w14:paraId="5186BE3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[37]</w:t>
            </w:r>
          </w:p>
        </w:tc>
        <w:tc>
          <w:tcPr>
            <w:tcW w:w="0" w:type="auto"/>
            <w:vAlign w:val="center"/>
            <w:hideMark/>
          </w:tcPr>
          <w:p w14:paraId="393B17A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Holland, John H. (1998): </w:t>
            </w:r>
            <w:proofErr w:type="spellStart"/>
            <w:r w:rsidRPr="0050473A">
              <w:rPr>
                <w:rFonts w:ascii="Times New Roman" w:eastAsia="Times New Roman" w:hAnsi="Times New Roman"/>
                <w:i/>
                <w:iCs/>
                <w:szCs w:val="24"/>
                <w:lang w:eastAsia="de-DE"/>
              </w:rPr>
              <w:t>Emergence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From</w:t>
            </w:r>
            <w:proofErr w:type="spellEnd"/>
            <w:r w:rsidRPr="0050473A">
              <w:rPr>
                <w:rFonts w:ascii="Times New Roman" w:eastAsia="Times New Roman" w:hAnsi="Times New Roman"/>
                <w:i/>
                <w:iCs/>
                <w:szCs w:val="24"/>
                <w:lang w:eastAsia="de-DE"/>
              </w:rPr>
              <w:t xml:space="preserve"> Chaos </w:t>
            </w:r>
            <w:proofErr w:type="spellStart"/>
            <w:r w:rsidRPr="0050473A">
              <w:rPr>
                <w:rFonts w:ascii="Times New Roman" w:eastAsia="Times New Roman" w:hAnsi="Times New Roman"/>
                <w:i/>
                <w:iCs/>
                <w:szCs w:val="24"/>
                <w:lang w:eastAsia="de-DE"/>
              </w:rPr>
              <w:t>to</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45487D07" w14:textId="77777777" w:rsidTr="0050473A">
        <w:trPr>
          <w:tblCellSpacing w:w="15" w:type="dxa"/>
        </w:trPr>
        <w:tc>
          <w:tcPr>
            <w:tcW w:w="0" w:type="auto"/>
            <w:vAlign w:val="center"/>
            <w:hideMark/>
          </w:tcPr>
          <w:p w14:paraId="4550B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[38]</w:t>
            </w:r>
          </w:p>
        </w:tc>
        <w:tc>
          <w:tcPr>
            <w:tcW w:w="0" w:type="auto"/>
            <w:vAlign w:val="center"/>
            <w:hideMark/>
          </w:tcPr>
          <w:p w14:paraId="43AFAB3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Fauconnier, Gilles / Turner, Mark (2002): </w:t>
            </w:r>
            <w:r w:rsidRPr="0050473A">
              <w:rPr>
                <w:rFonts w:ascii="Times New Roman" w:eastAsia="Times New Roman" w:hAnsi="Times New Roman"/>
                <w:i/>
                <w:iCs/>
                <w:szCs w:val="24"/>
                <w:lang w:eastAsia="de-DE"/>
              </w:rPr>
              <w:t xml:space="preserve">The Way </w:t>
            </w:r>
            <w:proofErr w:type="spellStart"/>
            <w:r w:rsidRPr="0050473A">
              <w:rPr>
                <w:rFonts w:ascii="Times New Roman" w:eastAsia="Times New Roman" w:hAnsi="Times New Roman"/>
                <w:i/>
                <w:iCs/>
                <w:szCs w:val="24"/>
                <w:lang w:eastAsia="de-DE"/>
              </w:rPr>
              <w:t>We</w:t>
            </w:r>
            <w:proofErr w:type="spellEnd"/>
            <w:r w:rsidRPr="0050473A">
              <w:rPr>
                <w:rFonts w:ascii="Times New Roman" w:eastAsia="Times New Roman" w:hAnsi="Times New Roman"/>
                <w:i/>
                <w:iCs/>
                <w:szCs w:val="24"/>
                <w:lang w:eastAsia="de-DE"/>
              </w:rPr>
              <w:t xml:space="preserve"> Think: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Blending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Mind’s</w:t>
            </w:r>
            <w:proofErr w:type="spellEnd"/>
            <w:r w:rsidRPr="0050473A">
              <w:rPr>
                <w:rFonts w:ascii="Times New Roman" w:eastAsia="Times New Roman" w:hAnsi="Times New Roman"/>
                <w:i/>
                <w:iCs/>
                <w:szCs w:val="24"/>
                <w:lang w:eastAsia="de-DE"/>
              </w:rPr>
              <w:t xml:space="preserve"> Hidden </w:t>
            </w:r>
            <w:proofErr w:type="spellStart"/>
            <w:r w:rsidRPr="0050473A">
              <w:rPr>
                <w:rFonts w:ascii="Times New Roman" w:eastAsia="Times New Roman" w:hAnsi="Times New Roman"/>
                <w:i/>
                <w:iCs/>
                <w:szCs w:val="24"/>
                <w:lang w:eastAsia="de-DE"/>
              </w:rPr>
              <w:t>Complexities</w:t>
            </w:r>
            <w:proofErr w:type="spellEnd"/>
            <w:r w:rsidRPr="0050473A">
              <w:rPr>
                <w:rFonts w:ascii="Times New Roman" w:eastAsia="Times New Roman" w:hAnsi="Times New Roman"/>
                <w:szCs w:val="24"/>
                <w:lang w:eastAsia="de-DE"/>
              </w:rPr>
              <w:t>. Basic Books.</w:t>
            </w:r>
          </w:p>
        </w:tc>
      </w:tr>
      <w:tr w:rsidR="0050473A" w:rsidRPr="0050473A" w14:paraId="34D1EBB2" w14:textId="77777777" w:rsidTr="0050473A">
        <w:trPr>
          <w:tblCellSpacing w:w="15" w:type="dxa"/>
        </w:trPr>
        <w:tc>
          <w:tcPr>
            <w:tcW w:w="0" w:type="auto"/>
            <w:vAlign w:val="center"/>
            <w:hideMark/>
          </w:tcPr>
          <w:p w14:paraId="08F14EC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[39]</w:t>
            </w:r>
          </w:p>
        </w:tc>
        <w:tc>
          <w:tcPr>
            <w:tcW w:w="0" w:type="auto"/>
            <w:vAlign w:val="center"/>
            <w:hideMark/>
          </w:tcPr>
          <w:p w14:paraId="2C68354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Reckwitz, Andreas (2008): </w:t>
            </w:r>
            <w:r w:rsidRPr="0050473A">
              <w:rPr>
                <w:rFonts w:ascii="Times New Roman" w:eastAsia="Times New Roman" w:hAnsi="Times New Roman"/>
                <w:i/>
                <w:iCs/>
                <w:szCs w:val="24"/>
                <w:lang w:eastAsia="de-DE"/>
              </w:rPr>
              <w:t>Kulturelle Praktiken: Zur Theorie des sozialen Handelns</w:t>
            </w:r>
            <w:r w:rsidRPr="0050473A">
              <w:rPr>
                <w:rFonts w:ascii="Times New Roman" w:eastAsia="Times New Roman" w:hAnsi="Times New Roman"/>
                <w:szCs w:val="24"/>
                <w:lang w:eastAsia="de-DE"/>
              </w:rPr>
              <w:t>. Suhrkamp.</w:t>
            </w:r>
          </w:p>
        </w:tc>
      </w:tr>
      <w:tr w:rsidR="0050473A" w:rsidRPr="0050473A" w14:paraId="6E78538D" w14:textId="77777777" w:rsidTr="0050473A">
        <w:trPr>
          <w:tblCellSpacing w:w="15" w:type="dxa"/>
        </w:trPr>
        <w:tc>
          <w:tcPr>
            <w:tcW w:w="0" w:type="auto"/>
            <w:vAlign w:val="center"/>
            <w:hideMark/>
          </w:tcPr>
          <w:p w14:paraId="744BD6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[40]</w:t>
            </w:r>
          </w:p>
        </w:tc>
        <w:tc>
          <w:tcPr>
            <w:tcW w:w="0" w:type="auto"/>
            <w:vAlign w:val="center"/>
            <w:hideMark/>
          </w:tcPr>
          <w:p w14:paraId="1C7FD0C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Krippendorff, Klaus (2009): </w:t>
            </w:r>
            <w:proofErr w:type="spellStart"/>
            <w:r w:rsidRPr="0050473A">
              <w:rPr>
                <w:rFonts w:ascii="Times New Roman" w:eastAsia="Times New Roman" w:hAnsi="Times New Roman"/>
                <w:i/>
                <w:iCs/>
                <w:szCs w:val="24"/>
                <w:lang w:eastAsia="de-DE"/>
              </w:rPr>
              <w:t>Meaning</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Information, Communication &amp; Society</w:t>
            </w:r>
            <w:r w:rsidRPr="0050473A">
              <w:rPr>
                <w:rFonts w:ascii="Times New Roman" w:eastAsia="Times New Roman" w:hAnsi="Times New Roman"/>
                <w:szCs w:val="24"/>
                <w:lang w:eastAsia="de-DE"/>
              </w:rPr>
              <w:t>, 12(3), 317–333.</w:t>
            </w:r>
          </w:p>
        </w:tc>
      </w:tr>
      <w:tr w:rsidR="0050473A" w:rsidRPr="0050473A" w14:paraId="6045429E" w14:textId="77777777" w:rsidTr="0050473A">
        <w:trPr>
          <w:tblCellSpacing w:w="15" w:type="dxa"/>
        </w:trPr>
        <w:tc>
          <w:tcPr>
            <w:tcW w:w="0" w:type="auto"/>
            <w:vAlign w:val="center"/>
            <w:hideMark/>
          </w:tcPr>
          <w:p w14:paraId="192A47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[41]</w:t>
            </w:r>
          </w:p>
        </w:tc>
        <w:tc>
          <w:tcPr>
            <w:tcW w:w="0" w:type="auto"/>
            <w:vAlign w:val="center"/>
            <w:hideMark/>
          </w:tcPr>
          <w:p w14:paraId="0603F11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Lévi-</w:t>
            </w:r>
            <w:proofErr w:type="spellStart"/>
            <w:r w:rsidRPr="0050473A">
              <w:rPr>
                <w:rFonts w:ascii="Times New Roman" w:eastAsia="Times New Roman" w:hAnsi="Times New Roman"/>
                <w:szCs w:val="24"/>
                <w:lang w:eastAsia="de-DE"/>
              </w:rPr>
              <w:t>Strauss</w:t>
            </w:r>
            <w:proofErr w:type="spellEnd"/>
            <w:r w:rsidRPr="0050473A">
              <w:rPr>
                <w:rFonts w:ascii="Times New Roman" w:eastAsia="Times New Roman" w:hAnsi="Times New Roman"/>
                <w:szCs w:val="24"/>
                <w:lang w:eastAsia="de-DE"/>
              </w:rPr>
              <w:t xml:space="preserve">, Claude (1963): </w:t>
            </w:r>
            <w:proofErr w:type="spellStart"/>
            <w:r w:rsidRPr="0050473A">
              <w:rPr>
                <w:rFonts w:ascii="Times New Roman" w:eastAsia="Times New Roman" w:hAnsi="Times New Roman"/>
                <w:i/>
                <w:iCs/>
                <w:szCs w:val="24"/>
                <w:lang w:eastAsia="de-DE"/>
              </w:rPr>
              <w:t>Structural</w:t>
            </w:r>
            <w:proofErr w:type="spellEnd"/>
            <w:r w:rsidRPr="0050473A">
              <w:rPr>
                <w:rFonts w:ascii="Times New Roman" w:eastAsia="Times New Roman" w:hAnsi="Times New Roman"/>
                <w:i/>
                <w:iCs/>
                <w:szCs w:val="24"/>
                <w:lang w:eastAsia="de-DE"/>
              </w:rPr>
              <w:t xml:space="preserve"> Anthropology</w:t>
            </w:r>
            <w:r w:rsidRPr="0050473A">
              <w:rPr>
                <w:rFonts w:ascii="Times New Roman" w:eastAsia="Times New Roman" w:hAnsi="Times New Roman"/>
                <w:szCs w:val="24"/>
                <w:lang w:eastAsia="de-DE"/>
              </w:rPr>
              <w:t>. Basic Books.</w:t>
            </w:r>
          </w:p>
        </w:tc>
      </w:tr>
      <w:tr w:rsidR="0050473A" w:rsidRPr="0050473A" w14:paraId="7DD756DE" w14:textId="77777777" w:rsidTr="0050473A">
        <w:trPr>
          <w:tblCellSpacing w:w="15" w:type="dxa"/>
        </w:trPr>
        <w:tc>
          <w:tcPr>
            <w:tcW w:w="0" w:type="auto"/>
            <w:vAlign w:val="center"/>
            <w:hideMark/>
          </w:tcPr>
          <w:p w14:paraId="5C198ED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[42]</w:t>
            </w:r>
          </w:p>
        </w:tc>
        <w:tc>
          <w:tcPr>
            <w:tcW w:w="0" w:type="auto"/>
            <w:vAlign w:val="center"/>
            <w:hideMark/>
          </w:tcPr>
          <w:p w14:paraId="5B8AFB4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2910B731" w14:textId="77777777" w:rsidTr="0050473A">
        <w:trPr>
          <w:tblCellSpacing w:w="15" w:type="dxa"/>
        </w:trPr>
        <w:tc>
          <w:tcPr>
            <w:tcW w:w="0" w:type="auto"/>
            <w:vAlign w:val="center"/>
            <w:hideMark/>
          </w:tcPr>
          <w:p w14:paraId="492C6EB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[43]</w:t>
            </w:r>
          </w:p>
        </w:tc>
        <w:tc>
          <w:tcPr>
            <w:tcW w:w="0" w:type="auto"/>
            <w:vAlign w:val="center"/>
            <w:hideMark/>
          </w:tcPr>
          <w:p w14:paraId="489F79C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Bratman</w:t>
            </w:r>
            <w:proofErr w:type="spellEnd"/>
            <w:r w:rsidRPr="0050473A">
              <w:rPr>
                <w:rFonts w:ascii="Times New Roman" w:eastAsia="Times New Roman" w:hAnsi="Times New Roman"/>
                <w:szCs w:val="24"/>
                <w:lang w:eastAsia="de-DE"/>
              </w:rPr>
              <w:t xml:space="preserve">, Michael (1992): </w:t>
            </w:r>
            <w:proofErr w:type="spellStart"/>
            <w:r w:rsidRPr="0050473A">
              <w:rPr>
                <w:rFonts w:ascii="Times New Roman" w:eastAsia="Times New Roman" w:hAnsi="Times New Roman"/>
                <w:i/>
                <w:iCs/>
                <w:szCs w:val="24"/>
                <w:lang w:eastAsia="de-DE"/>
              </w:rPr>
              <w:t>Planning</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Stability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Intention</w:t>
            </w:r>
            <w:r w:rsidRPr="0050473A">
              <w:rPr>
                <w:rFonts w:ascii="Times New Roman" w:eastAsia="Times New Roman" w:hAnsi="Times New Roman"/>
                <w:szCs w:val="24"/>
                <w:lang w:eastAsia="de-DE"/>
              </w:rPr>
              <w:t xml:space="preserve">. In: </w:t>
            </w:r>
            <w:proofErr w:type="spellStart"/>
            <w:r w:rsidRPr="0050473A">
              <w:rPr>
                <w:rFonts w:ascii="Times New Roman" w:eastAsia="Times New Roman" w:hAnsi="Times New Roman"/>
                <w:i/>
                <w:iCs/>
                <w:szCs w:val="24"/>
                <w:lang w:eastAsia="de-DE"/>
              </w:rPr>
              <w:t>Mind</w:t>
            </w:r>
            <w:proofErr w:type="spellEnd"/>
            <w:r w:rsidRPr="0050473A">
              <w:rPr>
                <w:rFonts w:ascii="Times New Roman" w:eastAsia="Times New Roman" w:hAnsi="Times New Roman"/>
                <w:i/>
                <w:iCs/>
                <w:szCs w:val="24"/>
                <w:lang w:eastAsia="de-DE"/>
              </w:rPr>
              <w:t xml:space="preserve"> &amp; Language</w:t>
            </w:r>
            <w:r w:rsidRPr="0050473A">
              <w:rPr>
                <w:rFonts w:ascii="Times New Roman" w:eastAsia="Times New Roman" w:hAnsi="Times New Roman"/>
                <w:szCs w:val="24"/>
                <w:lang w:eastAsia="de-DE"/>
              </w:rPr>
              <w:t>, 7(1), 1–17.</w:t>
            </w:r>
          </w:p>
        </w:tc>
      </w:tr>
      <w:tr w:rsidR="0050473A" w:rsidRPr="0050473A" w14:paraId="0FA291BC" w14:textId="77777777" w:rsidTr="0050473A">
        <w:trPr>
          <w:tblCellSpacing w:w="15" w:type="dxa"/>
        </w:trPr>
        <w:tc>
          <w:tcPr>
            <w:tcW w:w="0" w:type="auto"/>
            <w:vAlign w:val="center"/>
            <w:hideMark/>
          </w:tcPr>
          <w:p w14:paraId="0150A7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[44]</w:t>
            </w:r>
          </w:p>
        </w:tc>
        <w:tc>
          <w:tcPr>
            <w:tcW w:w="0" w:type="auto"/>
            <w:vAlign w:val="center"/>
            <w:hideMark/>
          </w:tcPr>
          <w:p w14:paraId="0E272A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Sfard</w:t>
            </w:r>
            <w:proofErr w:type="spellEnd"/>
            <w:r w:rsidRPr="0050473A">
              <w:rPr>
                <w:rFonts w:ascii="Times New Roman" w:eastAsia="Times New Roman" w:hAnsi="Times New Roman"/>
                <w:szCs w:val="24"/>
                <w:lang w:eastAsia="de-DE"/>
              </w:rPr>
              <w:t xml:space="preserve">, Anna (1998):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Two</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Metaphors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Learning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Dangers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Choosing</w:t>
            </w:r>
            <w:proofErr w:type="spellEnd"/>
            <w:r w:rsidRPr="0050473A">
              <w:rPr>
                <w:rFonts w:ascii="Times New Roman" w:eastAsia="Times New Roman" w:hAnsi="Times New Roman"/>
                <w:i/>
                <w:iCs/>
                <w:szCs w:val="24"/>
                <w:lang w:eastAsia="de-DE"/>
              </w:rPr>
              <w:t xml:space="preserve"> Just </w:t>
            </w:r>
            <w:proofErr w:type="spellStart"/>
            <w:r w:rsidRPr="0050473A">
              <w:rPr>
                <w:rFonts w:ascii="Times New Roman" w:eastAsia="Times New Roman" w:hAnsi="Times New Roman"/>
                <w:i/>
                <w:iCs/>
                <w:szCs w:val="24"/>
                <w:lang w:eastAsia="de-DE"/>
              </w:rPr>
              <w:t>One</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Educational Researcher</w:t>
            </w:r>
            <w:r w:rsidRPr="0050473A">
              <w:rPr>
                <w:rFonts w:ascii="Times New Roman" w:eastAsia="Times New Roman" w:hAnsi="Times New Roman"/>
                <w:szCs w:val="24"/>
                <w:lang w:eastAsia="de-DE"/>
              </w:rPr>
              <w:t>, 27(2), 4–13.</w:t>
            </w:r>
          </w:p>
        </w:tc>
      </w:tr>
      <w:tr w:rsidR="0050473A" w:rsidRPr="0050473A" w14:paraId="00F56004" w14:textId="77777777" w:rsidTr="0050473A">
        <w:trPr>
          <w:tblCellSpacing w:w="15" w:type="dxa"/>
        </w:trPr>
        <w:tc>
          <w:tcPr>
            <w:tcW w:w="0" w:type="auto"/>
            <w:vAlign w:val="center"/>
            <w:hideMark/>
          </w:tcPr>
          <w:p w14:paraId="6ABD974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[45]</w:t>
            </w:r>
          </w:p>
        </w:tc>
        <w:tc>
          <w:tcPr>
            <w:tcW w:w="0" w:type="auto"/>
            <w:vAlign w:val="center"/>
            <w:hideMark/>
          </w:tcPr>
          <w:p w14:paraId="066237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Kuhn, Thomas S. (1962):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Structure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Scientific </w:t>
            </w:r>
            <w:proofErr w:type="spellStart"/>
            <w:r w:rsidRPr="0050473A">
              <w:rPr>
                <w:rFonts w:ascii="Times New Roman" w:eastAsia="Times New Roman" w:hAnsi="Times New Roman"/>
                <w:i/>
                <w:iCs/>
                <w:szCs w:val="24"/>
                <w:lang w:eastAsia="de-DE"/>
              </w:rPr>
              <w:t>Revolutions</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54929C3B" w14:textId="77777777" w:rsidTr="0050473A">
        <w:trPr>
          <w:tblCellSpacing w:w="15" w:type="dxa"/>
        </w:trPr>
        <w:tc>
          <w:tcPr>
            <w:tcW w:w="0" w:type="auto"/>
            <w:vAlign w:val="center"/>
            <w:hideMark/>
          </w:tcPr>
          <w:p w14:paraId="60711F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[46]</w:t>
            </w:r>
          </w:p>
        </w:tc>
        <w:tc>
          <w:tcPr>
            <w:tcW w:w="0" w:type="auto"/>
            <w:vAlign w:val="center"/>
            <w:hideMark/>
          </w:tcPr>
          <w:p w14:paraId="6EE14EA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Geertz, Clifford (1973): </w:t>
            </w:r>
            <w:r w:rsidRPr="0050473A">
              <w:rPr>
                <w:rFonts w:ascii="Times New Roman" w:eastAsia="Times New Roman" w:hAnsi="Times New Roman"/>
                <w:i/>
                <w:iCs/>
                <w:szCs w:val="24"/>
                <w:lang w:eastAsia="de-DE"/>
              </w:rPr>
              <w:t xml:space="preserve">The Interpretation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Cultures</w:t>
            </w:r>
            <w:r w:rsidRPr="0050473A">
              <w:rPr>
                <w:rFonts w:ascii="Times New Roman" w:eastAsia="Times New Roman" w:hAnsi="Times New Roman"/>
                <w:szCs w:val="24"/>
                <w:lang w:eastAsia="de-DE"/>
              </w:rPr>
              <w:t>. Basic Books.</w:t>
            </w:r>
          </w:p>
        </w:tc>
      </w:tr>
      <w:tr w:rsidR="0050473A" w:rsidRPr="0050473A" w14:paraId="7DFFCAA4" w14:textId="77777777" w:rsidTr="0050473A">
        <w:trPr>
          <w:tblCellSpacing w:w="15" w:type="dxa"/>
        </w:trPr>
        <w:tc>
          <w:tcPr>
            <w:tcW w:w="0" w:type="auto"/>
            <w:vAlign w:val="center"/>
            <w:hideMark/>
          </w:tcPr>
          <w:p w14:paraId="178055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[47]</w:t>
            </w:r>
          </w:p>
        </w:tc>
        <w:tc>
          <w:tcPr>
            <w:tcW w:w="0" w:type="auto"/>
            <w:vAlign w:val="center"/>
            <w:hideMark/>
          </w:tcPr>
          <w:p w14:paraId="3150A61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4217CEB" w14:textId="77777777" w:rsidTr="0050473A">
        <w:trPr>
          <w:tblCellSpacing w:w="15" w:type="dxa"/>
        </w:trPr>
        <w:tc>
          <w:tcPr>
            <w:tcW w:w="0" w:type="auto"/>
            <w:vAlign w:val="center"/>
            <w:hideMark/>
          </w:tcPr>
          <w:p w14:paraId="590DE8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[48]</w:t>
            </w:r>
          </w:p>
        </w:tc>
        <w:tc>
          <w:tcPr>
            <w:tcW w:w="0" w:type="auto"/>
            <w:vAlign w:val="center"/>
            <w:hideMark/>
          </w:tcPr>
          <w:p w14:paraId="058CC30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Arthur, W. Brian (2009): </w:t>
            </w:r>
            <w:r w:rsidRPr="0050473A">
              <w:rPr>
                <w:rFonts w:ascii="Times New Roman" w:eastAsia="Times New Roman" w:hAnsi="Times New Roman"/>
                <w:i/>
                <w:iCs/>
                <w:szCs w:val="24"/>
                <w:lang w:eastAsia="de-DE"/>
              </w:rPr>
              <w:t xml:space="preserve">The Nature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 </w:t>
            </w:r>
            <w:proofErr w:type="spellStart"/>
            <w:r w:rsidRPr="0050473A">
              <w:rPr>
                <w:rFonts w:ascii="Times New Roman" w:eastAsia="Times New Roman" w:hAnsi="Times New Roman"/>
                <w:i/>
                <w:iCs/>
                <w:szCs w:val="24"/>
                <w:lang w:eastAsia="de-DE"/>
              </w:rPr>
              <w:t>What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How</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Evolves</w:t>
            </w:r>
            <w:proofErr w:type="spellEnd"/>
            <w:r w:rsidRPr="0050473A">
              <w:rPr>
                <w:rFonts w:ascii="Times New Roman" w:eastAsia="Times New Roman" w:hAnsi="Times New Roman"/>
                <w:szCs w:val="24"/>
                <w:lang w:eastAsia="de-DE"/>
              </w:rPr>
              <w:t>. Free Press.</w:t>
            </w:r>
          </w:p>
        </w:tc>
      </w:tr>
      <w:tr w:rsidR="0050473A" w:rsidRPr="0050473A" w14:paraId="249D8B49" w14:textId="77777777" w:rsidTr="0050473A">
        <w:trPr>
          <w:tblCellSpacing w:w="15" w:type="dxa"/>
        </w:trPr>
        <w:tc>
          <w:tcPr>
            <w:tcW w:w="0" w:type="auto"/>
            <w:vAlign w:val="center"/>
            <w:hideMark/>
          </w:tcPr>
          <w:p w14:paraId="13C1F3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[49]</w:t>
            </w:r>
          </w:p>
        </w:tc>
        <w:tc>
          <w:tcPr>
            <w:tcW w:w="0" w:type="auto"/>
            <w:vAlign w:val="center"/>
            <w:hideMark/>
          </w:tcPr>
          <w:p w14:paraId="12A37A7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Gabora</w:t>
            </w:r>
            <w:proofErr w:type="spellEnd"/>
            <w:r w:rsidRPr="0050473A">
              <w:rPr>
                <w:rFonts w:ascii="Times New Roman" w:eastAsia="Times New Roman" w:hAnsi="Times New Roman"/>
                <w:szCs w:val="24"/>
                <w:lang w:eastAsia="de-DE"/>
              </w:rPr>
              <w:t xml:space="preserve">, Liane (2006):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evolutionary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i/>
                <w:iCs/>
                <w:szCs w:val="24"/>
                <w:lang w:eastAsia="de-DE"/>
              </w:rPr>
              <w:t xml:space="preserve">: Survival </w:t>
            </w:r>
            <w:proofErr w:type="spellStart"/>
            <w:r w:rsidRPr="0050473A">
              <w:rPr>
                <w:rFonts w:ascii="Times New Roman" w:eastAsia="Times New Roman" w:hAnsi="Times New Roman"/>
                <w:i/>
                <w:iCs/>
                <w:szCs w:val="24"/>
                <w:lang w:eastAsia="de-DE"/>
              </w:rPr>
              <w:t>or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extinction</w:t>
            </w:r>
            <w:proofErr w:type="spellEnd"/>
            <w:r w:rsidRPr="0050473A">
              <w:rPr>
                <w:rFonts w:ascii="Times New Roman" w:eastAsia="Times New Roman" w:hAnsi="Times New Roman"/>
                <w:i/>
                <w:iCs/>
                <w:szCs w:val="24"/>
                <w:lang w:eastAsia="de-DE"/>
              </w:rPr>
              <w:t>?</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World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szCs w:val="24"/>
                <w:lang w:eastAsia="de-DE"/>
              </w:rPr>
              <w:t>, 38(4), 690–696.</w:t>
            </w:r>
          </w:p>
        </w:tc>
      </w:tr>
      <w:tr w:rsidR="0050473A" w:rsidRPr="0050473A" w14:paraId="7752D233" w14:textId="77777777" w:rsidTr="0050473A">
        <w:trPr>
          <w:tblCellSpacing w:w="15" w:type="dxa"/>
        </w:trPr>
        <w:tc>
          <w:tcPr>
            <w:tcW w:w="0" w:type="auto"/>
            <w:vAlign w:val="center"/>
            <w:hideMark/>
          </w:tcPr>
          <w:p w14:paraId="4AF52C8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[50]</w:t>
            </w:r>
          </w:p>
        </w:tc>
        <w:tc>
          <w:tcPr>
            <w:tcW w:w="0" w:type="auto"/>
            <w:vAlign w:val="center"/>
            <w:hideMark/>
          </w:tcPr>
          <w:p w14:paraId="3AB971E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Nissen, Matthias (2019): </w:t>
            </w:r>
            <w:r w:rsidRPr="0050473A">
              <w:rPr>
                <w:rFonts w:ascii="Times New Roman" w:eastAsia="Times New Roman" w:hAnsi="Times New Roman"/>
                <w:i/>
                <w:iCs/>
                <w:szCs w:val="24"/>
                <w:lang w:eastAsia="de-DE"/>
              </w:rPr>
              <w:t>Ko-Evolutionärer Wandel zwischen Technik, Organisation und Kultur</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Technikfolgenabschätzung – Theorie und Praxis</w:t>
            </w:r>
            <w:r w:rsidRPr="0050473A">
              <w:rPr>
                <w:rFonts w:ascii="Times New Roman" w:eastAsia="Times New Roman" w:hAnsi="Times New Roman"/>
                <w:szCs w:val="24"/>
                <w:lang w:eastAsia="de-DE"/>
              </w:rPr>
              <w:t>, 28(1), 4–10.</w:t>
            </w:r>
          </w:p>
        </w:tc>
      </w:tr>
      <w:tr w:rsidR="0050473A" w:rsidRPr="0050473A" w14:paraId="3B10B011" w14:textId="77777777" w:rsidTr="0050473A">
        <w:trPr>
          <w:tblCellSpacing w:w="15" w:type="dxa"/>
        </w:trPr>
        <w:tc>
          <w:tcPr>
            <w:tcW w:w="0" w:type="auto"/>
            <w:vAlign w:val="center"/>
            <w:hideMark/>
          </w:tcPr>
          <w:p w14:paraId="3F56EC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[51]</w:t>
            </w:r>
          </w:p>
        </w:tc>
        <w:tc>
          <w:tcPr>
            <w:tcW w:w="0" w:type="auto"/>
            <w:vAlign w:val="center"/>
            <w:hideMark/>
          </w:tcPr>
          <w:p w14:paraId="04B551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(2017): </w:t>
            </w:r>
            <w:proofErr w:type="spellStart"/>
            <w:r w:rsidRPr="0050473A">
              <w:rPr>
                <w:rFonts w:ascii="Times New Roman" w:eastAsia="Times New Roman" w:hAnsi="Times New Roman"/>
                <w:i/>
                <w:iCs/>
                <w:szCs w:val="24"/>
                <w:lang w:eastAsia="de-DE"/>
              </w:rPr>
              <w:t>Using</w:t>
            </w:r>
            <w:proofErr w:type="spellEnd"/>
            <w:r w:rsidRPr="0050473A">
              <w:rPr>
                <w:rFonts w:ascii="Times New Roman" w:eastAsia="Times New Roman" w:hAnsi="Times New Roman"/>
                <w:i/>
                <w:iCs/>
                <w:szCs w:val="24"/>
                <w:lang w:eastAsia="de-DE"/>
              </w:rPr>
              <w:t xml:space="preserve"> Words and Things: Language and Philosophy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w:t>
            </w:r>
            <w:r w:rsidRPr="0050473A">
              <w:rPr>
                <w:rFonts w:ascii="Times New Roman" w:eastAsia="Times New Roman" w:hAnsi="Times New Roman"/>
                <w:szCs w:val="24"/>
                <w:lang w:eastAsia="de-DE"/>
              </w:rPr>
              <w:t>. Routledge.</w:t>
            </w:r>
          </w:p>
        </w:tc>
      </w:tr>
      <w:tr w:rsidR="0050473A" w:rsidRPr="0050473A" w14:paraId="101AC67E" w14:textId="77777777" w:rsidTr="0050473A">
        <w:trPr>
          <w:tblCellSpacing w:w="15" w:type="dxa"/>
        </w:trPr>
        <w:tc>
          <w:tcPr>
            <w:tcW w:w="0" w:type="auto"/>
            <w:vAlign w:val="center"/>
            <w:hideMark/>
          </w:tcPr>
          <w:p w14:paraId="0A3F60A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[52]</w:t>
            </w:r>
          </w:p>
        </w:tc>
        <w:tc>
          <w:tcPr>
            <w:tcW w:w="0" w:type="auto"/>
            <w:vAlign w:val="center"/>
            <w:hideMark/>
          </w:tcPr>
          <w:p w14:paraId="3C6BD6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Giere, Ronald (2006): </w:t>
            </w:r>
            <w:r w:rsidRPr="0050473A">
              <w:rPr>
                <w:rFonts w:ascii="Times New Roman" w:eastAsia="Times New Roman" w:hAnsi="Times New Roman"/>
                <w:i/>
                <w:iCs/>
                <w:szCs w:val="24"/>
                <w:lang w:eastAsia="de-DE"/>
              </w:rPr>
              <w:t xml:space="preserve">Scientific </w:t>
            </w:r>
            <w:proofErr w:type="spellStart"/>
            <w:r w:rsidRPr="0050473A">
              <w:rPr>
                <w:rFonts w:ascii="Times New Roman" w:eastAsia="Times New Roman" w:hAnsi="Times New Roman"/>
                <w:i/>
                <w:iCs/>
                <w:szCs w:val="24"/>
                <w:lang w:eastAsia="de-DE"/>
              </w:rPr>
              <w:t>Perspectivism</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009AA380" w14:textId="77777777" w:rsidTr="0050473A">
        <w:trPr>
          <w:tblCellSpacing w:w="15" w:type="dxa"/>
        </w:trPr>
        <w:tc>
          <w:tcPr>
            <w:tcW w:w="0" w:type="auto"/>
            <w:vAlign w:val="center"/>
            <w:hideMark/>
          </w:tcPr>
          <w:p w14:paraId="6E3D867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[53]</w:t>
            </w:r>
          </w:p>
        </w:tc>
        <w:tc>
          <w:tcPr>
            <w:tcW w:w="0" w:type="auto"/>
            <w:vAlign w:val="center"/>
            <w:hideMark/>
          </w:tcPr>
          <w:p w14:paraId="495C9A5C"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et al. (2018): </w:t>
            </w:r>
            <w:r w:rsidRPr="0050473A">
              <w:rPr>
                <w:rFonts w:ascii="Times New Roman" w:eastAsia="Times New Roman" w:hAnsi="Times New Roman"/>
                <w:i/>
                <w:iCs/>
                <w:szCs w:val="24"/>
                <w:lang w:eastAsia="de-DE"/>
              </w:rPr>
              <w:t xml:space="preserve">AI4People – An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Framework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Good</w:t>
            </w:r>
            <w:proofErr w:type="spellEnd"/>
            <w:r w:rsidRPr="0050473A">
              <w:rPr>
                <w:rFonts w:ascii="Times New Roman" w:eastAsia="Times New Roman" w:hAnsi="Times New Roman"/>
                <w:i/>
                <w:iCs/>
                <w:szCs w:val="24"/>
                <w:lang w:eastAsia="de-DE"/>
              </w:rPr>
              <w:t xml:space="preserve"> AI Society</w:t>
            </w:r>
            <w:r w:rsidRPr="0050473A">
              <w:rPr>
                <w:rFonts w:ascii="Times New Roman" w:eastAsia="Times New Roman" w:hAnsi="Times New Roman"/>
                <w:szCs w:val="24"/>
                <w:lang w:eastAsia="de-DE"/>
              </w:rPr>
              <w:t>. Minds and Machines, 28(4), 689–707.</w:t>
            </w:r>
          </w:p>
        </w:tc>
      </w:tr>
      <w:tr w:rsidR="0050473A" w:rsidRPr="0050473A" w14:paraId="3AAB0FE6" w14:textId="77777777" w:rsidTr="0050473A">
        <w:trPr>
          <w:tblCellSpacing w:w="15" w:type="dxa"/>
        </w:trPr>
        <w:tc>
          <w:tcPr>
            <w:tcW w:w="0" w:type="auto"/>
            <w:vAlign w:val="center"/>
            <w:hideMark/>
          </w:tcPr>
          <w:p w14:paraId="477F247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[54]</w:t>
            </w:r>
          </w:p>
        </w:tc>
        <w:tc>
          <w:tcPr>
            <w:tcW w:w="0" w:type="auto"/>
            <w:vAlign w:val="center"/>
            <w:hideMark/>
          </w:tcPr>
          <w:p w14:paraId="73A5CCB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Mittelstadt, Brent D. (2019):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alone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cannot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guarantee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AI</w:t>
            </w:r>
            <w:r w:rsidRPr="0050473A">
              <w:rPr>
                <w:rFonts w:ascii="Times New Roman" w:eastAsia="Times New Roman" w:hAnsi="Times New Roman"/>
                <w:szCs w:val="24"/>
                <w:lang w:eastAsia="de-DE"/>
              </w:rPr>
              <w:t xml:space="preserve">. Nature </w:t>
            </w:r>
            <w:proofErr w:type="spellStart"/>
            <w:r w:rsidRPr="0050473A">
              <w:rPr>
                <w:rFonts w:ascii="Times New Roman" w:eastAsia="Times New Roman" w:hAnsi="Times New Roman"/>
                <w:szCs w:val="24"/>
                <w:lang w:eastAsia="de-DE"/>
              </w:rPr>
              <w:t>Machine</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Intelligence</w:t>
            </w:r>
            <w:proofErr w:type="spellEnd"/>
            <w:r w:rsidRPr="0050473A">
              <w:rPr>
                <w:rFonts w:ascii="Times New Roman" w:eastAsia="Times New Roman" w:hAnsi="Times New Roman"/>
                <w:szCs w:val="24"/>
                <w:lang w:eastAsia="de-DE"/>
              </w:rPr>
              <w:t>, 1, 501–507.</w:t>
            </w:r>
          </w:p>
        </w:tc>
      </w:tr>
      <w:tr w:rsidR="0050473A" w:rsidRPr="0050473A" w14:paraId="044A020E" w14:textId="77777777" w:rsidTr="0050473A">
        <w:trPr>
          <w:tblCellSpacing w:w="15" w:type="dxa"/>
        </w:trPr>
        <w:tc>
          <w:tcPr>
            <w:tcW w:w="0" w:type="auto"/>
            <w:vAlign w:val="center"/>
            <w:hideMark/>
          </w:tcPr>
          <w:p w14:paraId="4F8DC3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[55]</w:t>
            </w:r>
          </w:p>
        </w:tc>
        <w:tc>
          <w:tcPr>
            <w:tcW w:w="0" w:type="auto"/>
            <w:vAlign w:val="center"/>
            <w:hideMark/>
          </w:tcPr>
          <w:p w14:paraId="0C9D2967"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(2021): </w:t>
            </w:r>
            <w:r w:rsidRPr="0050473A">
              <w:rPr>
                <w:rFonts w:ascii="Times New Roman" w:eastAsia="Times New Roman" w:hAnsi="Times New Roman"/>
                <w:i/>
                <w:iCs/>
                <w:szCs w:val="24"/>
                <w:lang w:eastAsia="de-DE"/>
              </w:rPr>
              <w:t xml:space="preserve">Narrative </w:t>
            </w:r>
            <w:proofErr w:type="spellStart"/>
            <w:r w:rsidRPr="0050473A">
              <w:rPr>
                <w:rFonts w:ascii="Times New Roman" w:eastAsia="Times New Roman" w:hAnsi="Times New Roman"/>
                <w:i/>
                <w:iCs/>
                <w:szCs w:val="24"/>
                <w:lang w:eastAsia="de-DE"/>
              </w:rPr>
              <w:t>responsibility</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artificial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intelligence</w:t>
            </w:r>
            <w:proofErr w:type="spellEnd"/>
            <w:r w:rsidRPr="0050473A">
              <w:rPr>
                <w:rFonts w:ascii="Times New Roman" w:eastAsia="Times New Roman" w:hAnsi="Times New Roman"/>
                <w:szCs w:val="24"/>
                <w:lang w:eastAsia="de-DE"/>
              </w:rPr>
              <w:t>. AI &amp; Society, 36, 623–634.</w:t>
            </w:r>
          </w:p>
        </w:tc>
      </w:tr>
      <w:tr w:rsidR="0050473A" w:rsidRPr="0050473A" w14:paraId="7E48DB41" w14:textId="77777777" w:rsidTr="0050473A">
        <w:trPr>
          <w:tblCellSpacing w:w="15" w:type="dxa"/>
        </w:trPr>
        <w:tc>
          <w:tcPr>
            <w:tcW w:w="0" w:type="auto"/>
            <w:vAlign w:val="center"/>
            <w:hideMark/>
          </w:tcPr>
          <w:p w14:paraId="263D77F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[56]</w:t>
            </w:r>
          </w:p>
        </w:tc>
        <w:tc>
          <w:tcPr>
            <w:tcW w:w="0" w:type="auto"/>
            <w:vAlign w:val="center"/>
            <w:hideMark/>
          </w:tcPr>
          <w:p w14:paraId="1F2F8D3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Mokander</w:t>
            </w:r>
            <w:proofErr w:type="spellEnd"/>
            <w:r w:rsidRPr="0050473A">
              <w:rPr>
                <w:rFonts w:ascii="Times New Roman" w:eastAsia="Times New Roman" w:hAnsi="Times New Roman"/>
                <w:szCs w:val="24"/>
                <w:lang w:eastAsia="de-DE"/>
              </w:rPr>
              <w:t xml:space="preserve">, Jakob / </w:t>
            </w: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(2021): </w:t>
            </w:r>
            <w:proofErr w:type="spellStart"/>
            <w:r w:rsidRPr="0050473A">
              <w:rPr>
                <w:rFonts w:ascii="Times New Roman" w:eastAsia="Times New Roman" w:hAnsi="Times New Roman"/>
                <w:i/>
                <w:iCs/>
                <w:szCs w:val="24"/>
                <w:lang w:eastAsia="de-DE"/>
              </w:rPr>
              <w:t>Ethics-based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audit</w:t>
            </w:r>
            <w:proofErr w:type="spellEnd"/>
          </w:p>
        </w:tc>
      </w:tr>
    </w:tbl>
    <w:p w14:paraId="7B21A9F4" w14:textId="77777777" w:rsidR="00106528" w:rsidRPr="00121132" w:rsidRDefault="00106528" w:rsidP="00121132">
      <w:pPr>
        <w:rPr>
          <w:rStyle w:val="IntensiveHervorhebung"/>
          <w:i w:val="0"/>
          <w:iCs w:val="0"/>
          <w:color w:val="auto"/>
        </w:rPr>
      </w:pPr>
    </w:p>
    <w:sectPr w:rsidR="00106528" w:rsidRPr="001211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C960AF"/>
    <w:multiLevelType w:val="multilevel"/>
    <w:tmpl w:val="AC8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35"/>
    <w:rsid w:val="000467F2"/>
    <w:rsid w:val="00082214"/>
    <w:rsid w:val="00106528"/>
    <w:rsid w:val="00121132"/>
    <w:rsid w:val="001830F2"/>
    <w:rsid w:val="0019229D"/>
    <w:rsid w:val="00433ECB"/>
    <w:rsid w:val="00436FC4"/>
    <w:rsid w:val="00500020"/>
    <w:rsid w:val="0050473A"/>
    <w:rsid w:val="005454E6"/>
    <w:rsid w:val="005B35B4"/>
    <w:rsid w:val="005B5EFD"/>
    <w:rsid w:val="006016DC"/>
    <w:rsid w:val="007B7DE7"/>
    <w:rsid w:val="007E333F"/>
    <w:rsid w:val="008871CF"/>
    <w:rsid w:val="008B0C43"/>
    <w:rsid w:val="008C4935"/>
    <w:rsid w:val="009032D7"/>
    <w:rsid w:val="00A307C9"/>
    <w:rsid w:val="00AA4222"/>
    <w:rsid w:val="00AF6392"/>
    <w:rsid w:val="00B53EE0"/>
    <w:rsid w:val="00B873C2"/>
    <w:rsid w:val="00BA664A"/>
    <w:rsid w:val="00CD2089"/>
    <w:rsid w:val="00D30F48"/>
    <w:rsid w:val="00D33BDA"/>
    <w:rsid w:val="00D44FE7"/>
    <w:rsid w:val="00D542C6"/>
    <w:rsid w:val="00D80CC8"/>
    <w:rsid w:val="00DD5A2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9AD6"/>
  <w15:chartTrackingRefBased/>
  <w15:docId w15:val="{460417BD-1E6C-480D-8137-C02D27AB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16DC"/>
    <w:pPr>
      <w:spacing w:after="160" w:line="259" w:lineRule="auto"/>
    </w:pPr>
    <w:rPr>
      <w:sz w:val="24"/>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cs="Calibri"/>
      <w:i/>
      <w:color w:val="2F5496"/>
      <w:szCs w:val="24"/>
      <w:lang w:eastAsia="de-DE"/>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cs="Calibri"/>
      <w:b/>
      <w:sz w:val="22"/>
      <w:lang w:eastAsia="de-DE"/>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semiHidden/>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basedOn w:val="Absatz-Standardschriftart"/>
    <w:uiPriority w:val="20"/>
    <w:qFormat/>
    <w:rsid w:val="00DD5A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894">
      <w:bodyDiv w:val="1"/>
      <w:marLeft w:val="0"/>
      <w:marRight w:val="0"/>
      <w:marTop w:val="0"/>
      <w:marBottom w:val="0"/>
      <w:divBdr>
        <w:top w:val="none" w:sz="0" w:space="0" w:color="auto"/>
        <w:left w:val="none" w:sz="0" w:space="0" w:color="auto"/>
        <w:bottom w:val="none" w:sz="0" w:space="0" w:color="auto"/>
        <w:right w:val="none" w:sz="0" w:space="0" w:color="auto"/>
      </w:divBdr>
      <w:divsChild>
        <w:div w:id="334918307">
          <w:marLeft w:val="0"/>
          <w:marRight w:val="0"/>
          <w:marTop w:val="0"/>
          <w:marBottom w:val="0"/>
          <w:divBdr>
            <w:top w:val="none" w:sz="0" w:space="0" w:color="auto"/>
            <w:left w:val="none" w:sz="0" w:space="0" w:color="auto"/>
            <w:bottom w:val="none" w:sz="0" w:space="0" w:color="auto"/>
            <w:right w:val="none" w:sz="0" w:space="0" w:color="auto"/>
          </w:divBdr>
          <w:divsChild>
            <w:div w:id="773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4577">
      <w:bodyDiv w:val="1"/>
      <w:marLeft w:val="0"/>
      <w:marRight w:val="0"/>
      <w:marTop w:val="0"/>
      <w:marBottom w:val="0"/>
      <w:divBdr>
        <w:top w:val="none" w:sz="0" w:space="0" w:color="auto"/>
        <w:left w:val="none" w:sz="0" w:space="0" w:color="auto"/>
        <w:bottom w:val="none" w:sz="0" w:space="0" w:color="auto"/>
        <w:right w:val="none" w:sz="0" w:space="0" w:color="auto"/>
      </w:divBdr>
      <w:divsChild>
        <w:div w:id="575868842">
          <w:marLeft w:val="0"/>
          <w:marRight w:val="0"/>
          <w:marTop w:val="0"/>
          <w:marBottom w:val="0"/>
          <w:divBdr>
            <w:top w:val="none" w:sz="0" w:space="0" w:color="auto"/>
            <w:left w:val="none" w:sz="0" w:space="0" w:color="auto"/>
            <w:bottom w:val="none" w:sz="0" w:space="0" w:color="auto"/>
            <w:right w:val="none" w:sz="0" w:space="0" w:color="auto"/>
          </w:divBdr>
          <w:divsChild>
            <w:div w:id="5858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74780102">
      <w:bodyDiv w:val="1"/>
      <w:marLeft w:val="0"/>
      <w:marRight w:val="0"/>
      <w:marTop w:val="0"/>
      <w:marBottom w:val="0"/>
      <w:divBdr>
        <w:top w:val="none" w:sz="0" w:space="0" w:color="auto"/>
        <w:left w:val="none" w:sz="0" w:space="0" w:color="auto"/>
        <w:bottom w:val="none" w:sz="0" w:space="0" w:color="auto"/>
        <w:right w:val="none" w:sz="0" w:space="0" w:color="auto"/>
      </w:divBdr>
      <w:divsChild>
        <w:div w:id="464006705">
          <w:marLeft w:val="0"/>
          <w:marRight w:val="0"/>
          <w:marTop w:val="0"/>
          <w:marBottom w:val="0"/>
          <w:divBdr>
            <w:top w:val="none" w:sz="0" w:space="0" w:color="auto"/>
            <w:left w:val="none" w:sz="0" w:space="0" w:color="auto"/>
            <w:bottom w:val="none" w:sz="0" w:space="0" w:color="auto"/>
            <w:right w:val="none" w:sz="0" w:space="0" w:color="auto"/>
          </w:divBdr>
          <w:divsChild>
            <w:div w:id="1040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560">
      <w:bodyDiv w:val="1"/>
      <w:marLeft w:val="0"/>
      <w:marRight w:val="0"/>
      <w:marTop w:val="0"/>
      <w:marBottom w:val="0"/>
      <w:divBdr>
        <w:top w:val="none" w:sz="0" w:space="0" w:color="auto"/>
        <w:left w:val="none" w:sz="0" w:space="0" w:color="auto"/>
        <w:bottom w:val="none" w:sz="0" w:space="0" w:color="auto"/>
        <w:right w:val="none" w:sz="0" w:space="0" w:color="auto"/>
      </w:divBdr>
      <w:divsChild>
        <w:div w:id="1437211868">
          <w:marLeft w:val="0"/>
          <w:marRight w:val="0"/>
          <w:marTop w:val="0"/>
          <w:marBottom w:val="0"/>
          <w:divBdr>
            <w:top w:val="none" w:sz="0" w:space="0" w:color="auto"/>
            <w:left w:val="none" w:sz="0" w:space="0" w:color="auto"/>
            <w:bottom w:val="none" w:sz="0" w:space="0" w:color="auto"/>
            <w:right w:val="none" w:sz="0" w:space="0" w:color="auto"/>
          </w:divBdr>
          <w:divsChild>
            <w:div w:id="7820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80424">
      <w:bodyDiv w:val="1"/>
      <w:marLeft w:val="0"/>
      <w:marRight w:val="0"/>
      <w:marTop w:val="0"/>
      <w:marBottom w:val="0"/>
      <w:divBdr>
        <w:top w:val="none" w:sz="0" w:space="0" w:color="auto"/>
        <w:left w:val="none" w:sz="0" w:space="0" w:color="auto"/>
        <w:bottom w:val="none" w:sz="0" w:space="0" w:color="auto"/>
        <w:right w:val="none" w:sz="0" w:space="0" w:color="auto"/>
      </w:divBdr>
      <w:divsChild>
        <w:div w:id="1719355365">
          <w:marLeft w:val="0"/>
          <w:marRight w:val="0"/>
          <w:marTop w:val="0"/>
          <w:marBottom w:val="0"/>
          <w:divBdr>
            <w:top w:val="none" w:sz="0" w:space="0" w:color="auto"/>
            <w:left w:val="none" w:sz="0" w:space="0" w:color="auto"/>
            <w:bottom w:val="none" w:sz="0" w:space="0" w:color="auto"/>
            <w:right w:val="none" w:sz="0" w:space="0" w:color="auto"/>
          </w:divBdr>
          <w:divsChild>
            <w:div w:id="3607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5980">
      <w:bodyDiv w:val="1"/>
      <w:marLeft w:val="0"/>
      <w:marRight w:val="0"/>
      <w:marTop w:val="0"/>
      <w:marBottom w:val="0"/>
      <w:divBdr>
        <w:top w:val="none" w:sz="0" w:space="0" w:color="auto"/>
        <w:left w:val="none" w:sz="0" w:space="0" w:color="auto"/>
        <w:bottom w:val="none" w:sz="0" w:space="0" w:color="auto"/>
        <w:right w:val="none" w:sz="0" w:space="0" w:color="auto"/>
      </w:divBdr>
      <w:divsChild>
        <w:div w:id="1471746531">
          <w:marLeft w:val="0"/>
          <w:marRight w:val="0"/>
          <w:marTop w:val="0"/>
          <w:marBottom w:val="0"/>
          <w:divBdr>
            <w:top w:val="none" w:sz="0" w:space="0" w:color="auto"/>
            <w:left w:val="none" w:sz="0" w:space="0" w:color="auto"/>
            <w:bottom w:val="none" w:sz="0" w:space="0" w:color="auto"/>
            <w:right w:val="none" w:sz="0" w:space="0" w:color="auto"/>
          </w:divBdr>
          <w:divsChild>
            <w:div w:id="10471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3002319">
      <w:bodyDiv w:val="1"/>
      <w:marLeft w:val="0"/>
      <w:marRight w:val="0"/>
      <w:marTop w:val="0"/>
      <w:marBottom w:val="0"/>
      <w:divBdr>
        <w:top w:val="none" w:sz="0" w:space="0" w:color="auto"/>
        <w:left w:val="none" w:sz="0" w:space="0" w:color="auto"/>
        <w:bottom w:val="none" w:sz="0" w:space="0" w:color="auto"/>
        <w:right w:val="none" w:sz="0" w:space="0" w:color="auto"/>
      </w:divBdr>
    </w:div>
    <w:div w:id="952519020">
      <w:bodyDiv w:val="1"/>
      <w:marLeft w:val="0"/>
      <w:marRight w:val="0"/>
      <w:marTop w:val="0"/>
      <w:marBottom w:val="0"/>
      <w:divBdr>
        <w:top w:val="none" w:sz="0" w:space="0" w:color="auto"/>
        <w:left w:val="none" w:sz="0" w:space="0" w:color="auto"/>
        <w:bottom w:val="none" w:sz="0" w:space="0" w:color="auto"/>
        <w:right w:val="none" w:sz="0" w:space="0" w:color="auto"/>
      </w:divBdr>
      <w:divsChild>
        <w:div w:id="585841736">
          <w:marLeft w:val="0"/>
          <w:marRight w:val="0"/>
          <w:marTop w:val="0"/>
          <w:marBottom w:val="0"/>
          <w:divBdr>
            <w:top w:val="none" w:sz="0" w:space="0" w:color="auto"/>
            <w:left w:val="none" w:sz="0" w:space="0" w:color="auto"/>
            <w:bottom w:val="none" w:sz="0" w:space="0" w:color="auto"/>
            <w:right w:val="none" w:sz="0" w:space="0" w:color="auto"/>
          </w:divBdr>
          <w:divsChild>
            <w:div w:id="20092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28416">
      <w:bodyDiv w:val="1"/>
      <w:marLeft w:val="0"/>
      <w:marRight w:val="0"/>
      <w:marTop w:val="0"/>
      <w:marBottom w:val="0"/>
      <w:divBdr>
        <w:top w:val="none" w:sz="0" w:space="0" w:color="auto"/>
        <w:left w:val="none" w:sz="0" w:space="0" w:color="auto"/>
        <w:bottom w:val="none" w:sz="0" w:space="0" w:color="auto"/>
        <w:right w:val="none" w:sz="0" w:space="0" w:color="auto"/>
      </w:divBdr>
      <w:divsChild>
        <w:div w:id="107088361">
          <w:marLeft w:val="0"/>
          <w:marRight w:val="0"/>
          <w:marTop w:val="0"/>
          <w:marBottom w:val="0"/>
          <w:divBdr>
            <w:top w:val="none" w:sz="0" w:space="0" w:color="auto"/>
            <w:left w:val="none" w:sz="0" w:space="0" w:color="auto"/>
            <w:bottom w:val="none" w:sz="0" w:space="0" w:color="auto"/>
            <w:right w:val="none" w:sz="0" w:space="0" w:color="auto"/>
          </w:divBdr>
          <w:divsChild>
            <w:div w:id="21278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013">
      <w:bodyDiv w:val="1"/>
      <w:marLeft w:val="0"/>
      <w:marRight w:val="0"/>
      <w:marTop w:val="0"/>
      <w:marBottom w:val="0"/>
      <w:divBdr>
        <w:top w:val="none" w:sz="0" w:space="0" w:color="auto"/>
        <w:left w:val="none" w:sz="0" w:space="0" w:color="auto"/>
        <w:bottom w:val="none" w:sz="0" w:space="0" w:color="auto"/>
        <w:right w:val="none" w:sz="0" w:space="0" w:color="auto"/>
      </w:divBdr>
      <w:divsChild>
        <w:div w:id="888762141">
          <w:marLeft w:val="0"/>
          <w:marRight w:val="0"/>
          <w:marTop w:val="0"/>
          <w:marBottom w:val="0"/>
          <w:divBdr>
            <w:top w:val="none" w:sz="0" w:space="0" w:color="auto"/>
            <w:left w:val="none" w:sz="0" w:space="0" w:color="auto"/>
            <w:bottom w:val="none" w:sz="0" w:space="0" w:color="auto"/>
            <w:right w:val="none" w:sz="0" w:space="0" w:color="auto"/>
          </w:divBdr>
          <w:divsChild>
            <w:div w:id="518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7860</Words>
  <Characters>49523</Characters>
  <Application>Microsoft Office Word</Application>
  <DocSecurity>0</DocSecurity>
  <Lines>412</Lines>
  <Paragraphs>114</Paragraphs>
  <ScaleCrop>false</ScaleCrop>
  <HeadingPairs>
    <vt:vector size="4" baseType="variant">
      <vt:variant>
        <vt:lpstr>Titel</vt:lpstr>
      </vt:variant>
      <vt:variant>
        <vt:i4>1</vt:i4>
      </vt:variant>
      <vt:variant>
        <vt:lpstr>Überschriften</vt:lpstr>
      </vt:variant>
      <vt:variant>
        <vt:i4>27</vt:i4>
      </vt:variant>
    </vt:vector>
  </HeadingPairs>
  <TitlesOfParts>
    <vt:vector size="28" baseType="lpstr">
      <vt:lpstr/>
      <vt:lpstr>4. Vorhersagen des  Funktionales Raum-Zeit-Kohärenzsystem (FRZK)</vt:lpstr>
      <vt:lpstr>        📑 Quellenverzeichnis „quellen“ zu Kapitel 4 (Beginn)</vt:lpstr>
      <vt:lpstr>4.1 Emergenz von Realität durch funktionale Zuweisungen</vt:lpstr>
      <vt:lpstr>        4.1 Emergenz von Realität durch funktionale Zuweisungen</vt:lpstr>
      <vt:lpstr>        📑 Erweiterung des Quellenverzeichnisses „quellen“ für Kapitel 4</vt:lpstr>
      <vt:lpstr>4.2 Hierarchische und emergente Struktur von Gleichungstypen</vt:lpstr>
      <vt:lpstr>        4.2 Hierarchische und emergente Struktur von Gleichungstypen</vt:lpstr>
      <vt:lpstr>        📑 Erweiterung des Quellenverzeichnisses „quellen“ für Kapitel 4</vt:lpstr>
      <vt:lpstr>4.3 Rekursivität und Selbstbezüglichkeit von Beobachtung</vt:lpstr>
      <vt:lpstr>        4.3 Rekursivität und Selbstbezüglichkeit von Beobachtung</vt:lpstr>
      <vt:lpstr>        📑 Erweiterung des Quellenverzeichnisses „quellen“ für Kapitel 4</vt:lpstr>
      <vt:lpstr>4.4 Funktionale Abhängigkeit von Kausalität und Energie</vt:lpstr>
      <vt:lpstr>        4.4 Funktionale Abhängigkeit von Kausalität und Energie</vt:lpstr>
      <vt:lpstr>        📑 Erweiterung des Quellenverzeichnisses „quellen“ für Kapitel 4</vt:lpstr>
      <vt:lpstr>4.5 Dynamische und anpassungsfähige Bedeutungsfelder</vt:lpstr>
      <vt:lpstr>        4.5 Dynamische und anpassungsfähige Bedeutungsfelder</vt:lpstr>
      <vt:lpstr>        📑 Erweiterung des Quellenverzeichnisses „quellen“ für Kapitel 4</vt:lpstr>
      <vt:lpstr>4.6 Transformierbarkeit symbolischer Ordnungen durch Reflexion</vt:lpstr>
      <vt:lpstr>        4.6 Transformierbarkeit symbolischer Ordnungen durch Reflexion</vt:lpstr>
      <vt:lpstr>        📑 Erweiterung des Quellenverzeichnisses „quellen“ für Kapitel 4</vt:lpstr>
      <vt:lpstr>4.7 Ko-evolutionäre Natur von semantischer und kultureller Entwicklung</vt:lpstr>
      <vt:lpstr>        4.7 Ko-evolutionäre Natur von semantischer und kultureller Entwicklung</vt:lpstr>
      <vt:lpstr>        📑 Erweiterung des Quellenverzeichnisses „quellen“ für Kapitel 4</vt:lpstr>
      <vt:lpstr>    4.8 Ethische Implikationen der Modellwahl</vt:lpstr>
      <vt:lpstr>        4.8 Ethische Implikationen der Modellwahl</vt:lpstr>
      <vt:lpstr>        📑 Erweiterung des Quellenverzeichnisses „quellen“ für Kapitel 4</vt:lpstr>
      <vt:lpstr>    4.9 Zusammenfassung</vt:lpstr>
    </vt:vector>
  </TitlesOfParts>
  <Company/>
  <LinksUpToDate>false</LinksUpToDate>
  <CharactersWithSpaces>57269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2025-06-18T09:44:00Z</dcterms:created>
  <dcterms:modified xsi:type="dcterms:W3CDTF">2025-06-19T11:56:00Z</dcterms:modified>
</cp:coreProperties>
</file>