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E4FF" w14:textId="0C3FE747" w:rsidR="009B0F51" w:rsidRPr="009B0F51" w:rsidRDefault="009B0F51" w:rsidP="009B0F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B0F51">
        <w:rPr>
          <w:rFonts w:ascii="Times New Roman" w:eastAsia="Times New Roman" w:hAnsi="Times New Roman" w:cs="Times New Roman"/>
          <w:b/>
          <w:bCs/>
          <w:sz w:val="36"/>
          <w:szCs w:val="36"/>
          <w:lang w:eastAsia="de-DE"/>
        </w:rPr>
        <w:t xml:space="preserve">Anlage </w:t>
      </w:r>
      <w:r w:rsidR="00544331">
        <w:rPr>
          <w:rFonts w:ascii="Times New Roman" w:eastAsia="Times New Roman" w:hAnsi="Times New Roman" w:cs="Times New Roman"/>
          <w:b/>
          <w:bCs/>
          <w:sz w:val="36"/>
          <w:szCs w:val="36"/>
          <w:lang w:eastAsia="de-DE"/>
        </w:rPr>
        <w:t>5.</w:t>
      </w:r>
      <w:r w:rsidRPr="009B0F51">
        <w:rPr>
          <w:rFonts w:ascii="Times New Roman" w:eastAsia="Times New Roman" w:hAnsi="Times New Roman" w:cs="Times New Roman"/>
          <w:b/>
          <w:bCs/>
          <w:sz w:val="36"/>
          <w:szCs w:val="36"/>
          <w:lang w:eastAsia="de-DE"/>
        </w:rPr>
        <w:t>A – Semantische Dichtesimulation</w:t>
      </w:r>
    </w:p>
    <w:p w14:paraId="4E90FD80"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26FEF79">
          <v:rect id="_x0000_i1025" style="width:0;height:1.5pt" o:hralign="center" o:hrstd="t" o:hr="t" fillcolor="#a0a0a0" stroked="f"/>
        </w:pict>
      </w:r>
    </w:p>
    <w:p w14:paraId="2B5A02E0"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 Titel der Anlage</w:t>
      </w:r>
    </w:p>
    <w:p w14:paraId="372D0A04"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Semantische Dichtesimulation und Clusterbildung im intentionalen Raum</w:t>
      </w:r>
    </w:p>
    <w:p w14:paraId="55E60F99"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B42C894">
          <v:rect id="_x0000_i1026" style="width:0;height:1.5pt" o:hralign="center" o:hrstd="t" o:hr="t" fillcolor="#a0a0a0" stroked="f"/>
        </w:pict>
      </w:r>
    </w:p>
    <w:p w14:paraId="75F139BE"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2. Zuordnung im Haupttext</w:t>
      </w:r>
    </w:p>
    <w:p w14:paraId="4241341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Kapitel 5.2.8 und Kapitel 5.5</w:t>
      </w:r>
      <w:r w:rsidRPr="009B0F51">
        <w:rPr>
          <w:rFonts w:ascii="Times New Roman" w:eastAsia="Times New Roman" w:hAnsi="Times New Roman" w:cs="Times New Roman"/>
          <w:sz w:val="24"/>
          <w:szCs w:val="24"/>
          <w:lang w:eastAsia="de-DE"/>
        </w:rPr>
        <w:br/>
        <w:t>(</w:t>
      </w:r>
      <w:r w:rsidRPr="009B0F51">
        <w:rPr>
          <w:rFonts w:ascii="Times New Roman" w:eastAsia="Times New Roman" w:hAnsi="Times New Roman" w:cs="Times New Roman"/>
          <w:i/>
          <w:iCs/>
          <w:sz w:val="24"/>
          <w:szCs w:val="24"/>
          <w:lang w:eastAsia="de-DE"/>
        </w:rPr>
        <w:t>Verweise auf rekursive Simulation, semantische Feldstruktur, Emergenzmodell im Koordinatenraum des FZRK</w:t>
      </w:r>
      <w:r w:rsidRPr="009B0F51">
        <w:rPr>
          <w:rFonts w:ascii="Times New Roman" w:eastAsia="Times New Roman" w:hAnsi="Times New Roman" w:cs="Times New Roman"/>
          <w:sz w:val="24"/>
          <w:szCs w:val="24"/>
          <w:lang w:eastAsia="de-DE"/>
        </w:rPr>
        <w:t>)</w:t>
      </w:r>
    </w:p>
    <w:p w14:paraId="5A776EBA"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C15A485">
          <v:rect id="_x0000_i1027" style="width:0;height:1.5pt" o:hralign="center" o:hrstd="t" o:hr="t" fillcolor="#a0a0a0" stroked="f"/>
        </w:pict>
      </w:r>
    </w:p>
    <w:p w14:paraId="32DFCDC2"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3. Inhaltliche Beschreibung</w:t>
      </w:r>
    </w:p>
    <w:p w14:paraId="4EE54C70"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Diese Anlage enthält ein vollständiges, kommentiertes Simulationsskript in Python zur Modellierung semantischer Dichteverteilungen in einem dreidimensionalen Raum. Die Simulation basiert auf lokalem Informationsaustausch zwischen diskreten Punkten, die jeweils eine „semantische Dichte“ tragen. Die Dynamik basiert auf einem iterativen Update der Dichtewerte in Abhängigkeit von Distanz, Einflussradius und Interaktion. Eine abschließende Clusteranalyse mittels KMeans gruppiert die Punktwolke in semantische Ordnungseinheiten.</w:t>
      </w:r>
    </w:p>
    <w:p w14:paraId="4DB25109"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555321F">
          <v:rect id="_x0000_i1028" style="width:0;height:1.5pt" o:hralign="center" o:hrstd="t" o:hr="t" fillcolor="#a0a0a0" stroked="f"/>
        </w:pict>
      </w:r>
    </w:p>
    <w:p w14:paraId="4CDB92C5"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4. Ziel und wissenschaftlicher Zweck</w:t>
      </w:r>
    </w:p>
    <w:p w14:paraId="1E9A7ADE"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dient als explizite funktionale Modellierung eines Kernprinzips des FZRK:</w:t>
      </w:r>
      <w:r w:rsidRPr="009B0F51">
        <w:rPr>
          <w:rFonts w:ascii="Times New Roman" w:eastAsia="Times New Roman" w:hAnsi="Times New Roman" w:cs="Times New Roman"/>
          <w:sz w:val="24"/>
          <w:szCs w:val="24"/>
          <w:lang w:eastAsia="de-DE"/>
        </w:rPr>
        <w:br/>
      </w:r>
      <w:r w:rsidRPr="009B0F51">
        <w:rPr>
          <w:rFonts w:ascii="Times New Roman" w:eastAsia="Times New Roman" w:hAnsi="Times New Roman" w:cs="Times New Roman"/>
          <w:b/>
          <w:bCs/>
          <w:sz w:val="24"/>
          <w:szCs w:val="24"/>
          <w:lang w:eastAsia="de-DE"/>
        </w:rPr>
        <w:t>Die Emergenz epistemischer Struktur durch rekursive Interaktion und feldbasierte Ordnung.</w:t>
      </w:r>
    </w:p>
    <w:p w14:paraId="27684E5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Sie zeigt exemplarisch:</w:t>
      </w:r>
    </w:p>
    <w:p w14:paraId="6791780D"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sich semantische Felder aus lokalem Austausch stabilisieren können,</w:t>
      </w:r>
    </w:p>
    <w:p w14:paraId="52B789E0"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Cluster als epistemisch interpretierbare Bedeutungszentren entstehen,</w:t>
      </w:r>
    </w:p>
    <w:p w14:paraId="66313994" w14:textId="77777777" w:rsidR="009B0F51" w:rsidRPr="009B0F51" w:rsidRDefault="009B0F51" w:rsidP="009B0F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wie Intentionalität über rekursives Systemverhalten sichtbar gemacht werden kann.</w:t>
      </w:r>
    </w:p>
    <w:p w14:paraId="097ACF7D"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070A4C2">
          <v:rect id="_x0000_i1029" style="width:0;height:1.5pt" o:hralign="center" o:hrstd="t" o:hr="t" fillcolor="#a0a0a0" stroked="f"/>
        </w:pict>
      </w:r>
    </w:p>
    <w:p w14:paraId="4776B764"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5. Didaktische und reflexive Verwendungsmöglichkeiten</w:t>
      </w:r>
    </w:p>
    <w:p w14:paraId="30664E05"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kann in folgenden Kontexten verwendet werden:</w:t>
      </w:r>
    </w:p>
    <w:p w14:paraId="5FCBF5B9"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Einführung in Systemdenken und semantische Emergenz</w:t>
      </w:r>
      <w:r w:rsidRPr="009B0F51">
        <w:rPr>
          <w:rFonts w:ascii="Times New Roman" w:eastAsia="Times New Roman" w:hAnsi="Times New Roman" w:cs="Times New Roman"/>
          <w:sz w:val="24"/>
          <w:szCs w:val="24"/>
          <w:lang w:eastAsia="de-DE"/>
        </w:rPr>
        <w:t xml:space="preserve"> (z. B. Lehrerbildung, Philosophie der Bildung),</w:t>
      </w:r>
    </w:p>
    <w:p w14:paraId="2E9EA73B"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lastRenderedPageBreak/>
        <w:t>Demonstration epistemologischer Dynamik</w:t>
      </w:r>
      <w:r w:rsidRPr="009B0F51">
        <w:rPr>
          <w:rFonts w:ascii="Times New Roman" w:eastAsia="Times New Roman" w:hAnsi="Times New Roman" w:cs="Times New Roman"/>
          <w:sz w:val="24"/>
          <w:szCs w:val="24"/>
          <w:lang w:eastAsia="de-DE"/>
        </w:rPr>
        <w:t xml:space="preserve"> in interaktiven Lern- und KI-Modellen,</w:t>
      </w:r>
    </w:p>
    <w:p w14:paraId="178240ED"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Exploration von Parametereinfluss</w:t>
      </w:r>
      <w:r w:rsidRPr="009B0F51">
        <w:rPr>
          <w:rFonts w:ascii="Times New Roman" w:eastAsia="Times New Roman" w:hAnsi="Times New Roman" w:cs="Times New Roman"/>
          <w:sz w:val="24"/>
          <w:szCs w:val="24"/>
          <w:lang w:eastAsia="de-DE"/>
        </w:rPr>
        <w:t xml:space="preserve"> auf Stabilität, Kohärenz und Bedeutungsbildung,</w:t>
      </w:r>
    </w:p>
    <w:p w14:paraId="7B018A4D" w14:textId="77777777" w:rsidR="009B0F51" w:rsidRPr="009B0F51" w:rsidRDefault="009B0F51" w:rsidP="009B0F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Trainingskontext</w:t>
      </w:r>
      <w:r w:rsidRPr="009B0F51">
        <w:rPr>
          <w:rFonts w:ascii="Times New Roman" w:eastAsia="Times New Roman" w:hAnsi="Times New Roman" w:cs="Times New Roman"/>
          <w:sz w:val="24"/>
          <w:szCs w:val="24"/>
          <w:lang w:eastAsia="de-DE"/>
        </w:rPr>
        <w:t xml:space="preserve"> für mathematisch-didaktische Reflexion (Fachdidaktik, Theorie-Praxis-Verknüpfung).</w:t>
      </w:r>
    </w:p>
    <w:p w14:paraId="0523B3BF"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C6D639F">
          <v:rect id="_x0000_i1030" style="width:0;height:1.5pt" o:hralign="center" o:hrstd="t" o:hr="t" fillcolor="#a0a0a0" stroked="f"/>
        </w:pict>
      </w:r>
    </w:p>
    <w:p w14:paraId="45B35EF5"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6. Anschluss an das FZRK</w:t>
      </w:r>
    </w:p>
    <w:p w14:paraId="0D4EBC2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operationalisiert mehrere Axiome und Operatoren des FZRK:</w:t>
      </w:r>
    </w:p>
    <w:p w14:paraId="209564F6"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σ</w:t>
      </w:r>
      <w:r w:rsidRPr="009B0F51">
        <w:rPr>
          <w:rFonts w:ascii="Times New Roman" w:eastAsia="Times New Roman" w:hAnsi="Times New Roman" w:cs="Times New Roman"/>
          <w:sz w:val="24"/>
          <w:szCs w:val="24"/>
          <w:lang w:eastAsia="de-DE"/>
        </w:rPr>
        <w:t>: semantische Dichtefunktion je Punkt,</w:t>
      </w:r>
    </w:p>
    <w:p w14:paraId="1E4EF2B5"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S–D–M–R–E</w:t>
      </w:r>
      <w:r w:rsidRPr="009B0F51">
        <w:rPr>
          <w:rFonts w:ascii="Times New Roman" w:eastAsia="Times New Roman" w:hAnsi="Times New Roman" w:cs="Times New Roman"/>
          <w:sz w:val="24"/>
          <w:szCs w:val="24"/>
          <w:lang w:eastAsia="de-DE"/>
        </w:rPr>
        <w:t>: semantisch-symbolische, diskursive, reflexive, rekursive und emergente Komponenten,</w:t>
      </w:r>
    </w:p>
    <w:p w14:paraId="55C1CC37"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Koordinatenraum I(t)</w:t>
      </w:r>
      <w:r w:rsidRPr="009B0F51">
        <w:rPr>
          <w:rFonts w:ascii="Times New Roman" w:eastAsia="Times New Roman" w:hAnsi="Times New Roman" w:cs="Times New Roman"/>
          <w:sz w:val="24"/>
          <w:szCs w:val="24"/>
          <w:lang w:eastAsia="de-DE"/>
        </w:rPr>
        <w:t>: Umsetzung im ℝ³ mit Zeitentwicklung,</w:t>
      </w:r>
    </w:p>
    <w:p w14:paraId="06C4383E" w14:textId="77777777" w:rsidR="009B0F51" w:rsidRPr="009B0F51" w:rsidRDefault="009B0F51" w:rsidP="009B0F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MetaLog (implizit)</w:t>
      </w:r>
      <w:r w:rsidRPr="009B0F51">
        <w:rPr>
          <w:rFonts w:ascii="Times New Roman" w:eastAsia="Times New Roman" w:hAnsi="Times New Roman" w:cs="Times New Roman"/>
          <w:sz w:val="24"/>
          <w:szCs w:val="24"/>
          <w:lang w:eastAsia="de-DE"/>
        </w:rPr>
        <w:t>: Simulation protokolliert ihre Entwicklung intern mit.</w:t>
      </w:r>
    </w:p>
    <w:p w14:paraId="30AE6955"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Die Simulation illustriert insbesondere die </w:t>
      </w:r>
      <w:r w:rsidRPr="009B0F51">
        <w:rPr>
          <w:rFonts w:ascii="Times New Roman" w:eastAsia="Times New Roman" w:hAnsi="Times New Roman" w:cs="Times New Roman"/>
          <w:b/>
          <w:bCs/>
          <w:sz w:val="24"/>
          <w:szCs w:val="24"/>
          <w:lang w:eastAsia="de-DE"/>
        </w:rPr>
        <w:t>Topologie funktionaler Attraktoren</w:t>
      </w:r>
      <w:r w:rsidRPr="009B0F51">
        <w:rPr>
          <w:rFonts w:ascii="Times New Roman" w:eastAsia="Times New Roman" w:hAnsi="Times New Roman" w:cs="Times New Roman"/>
          <w:sz w:val="24"/>
          <w:szCs w:val="24"/>
          <w:lang w:eastAsia="de-DE"/>
        </w:rPr>
        <w:t xml:space="preserve"> und die Möglichkeit, semantische Stabilität </w:t>
      </w:r>
      <w:r w:rsidRPr="009B0F51">
        <w:rPr>
          <w:rFonts w:ascii="Times New Roman" w:eastAsia="Times New Roman" w:hAnsi="Times New Roman" w:cs="Times New Roman"/>
          <w:b/>
          <w:bCs/>
          <w:sz w:val="24"/>
          <w:szCs w:val="24"/>
          <w:lang w:eastAsia="de-DE"/>
        </w:rPr>
        <w:t>ohne externe Steuerung</w:t>
      </w:r>
      <w:r w:rsidRPr="009B0F51">
        <w:rPr>
          <w:rFonts w:ascii="Times New Roman" w:eastAsia="Times New Roman" w:hAnsi="Times New Roman" w:cs="Times New Roman"/>
          <w:sz w:val="24"/>
          <w:szCs w:val="24"/>
          <w:lang w:eastAsia="de-DE"/>
        </w:rPr>
        <w:t xml:space="preserve"> emergieren zu lassen – allein aus systeminterner Dynamik.</w:t>
      </w:r>
    </w:p>
    <w:p w14:paraId="2E0BAE4F"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B9386A2">
          <v:rect id="_x0000_i1031" style="width:0;height:1.5pt" o:hralign="center" o:hrstd="t" o:hr="t" fillcolor="#a0a0a0" stroked="f"/>
        </w:pict>
      </w:r>
    </w:p>
    <w:p w14:paraId="112ACAAB"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7. Parameterübersicht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628"/>
        <w:gridCol w:w="2687"/>
        <w:gridCol w:w="2761"/>
      </w:tblGrid>
      <w:tr w:rsidR="009B0F51" w:rsidRPr="009B0F51" w14:paraId="4A938191" w14:textId="77777777" w:rsidTr="009B0F51">
        <w:trPr>
          <w:tblHeader/>
          <w:tblCellSpacing w:w="15" w:type="dxa"/>
        </w:trPr>
        <w:tc>
          <w:tcPr>
            <w:tcW w:w="0" w:type="auto"/>
            <w:vAlign w:val="center"/>
            <w:hideMark/>
          </w:tcPr>
          <w:p w14:paraId="31ADBDEA"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Parameter</w:t>
            </w:r>
          </w:p>
        </w:tc>
        <w:tc>
          <w:tcPr>
            <w:tcW w:w="0" w:type="auto"/>
            <w:vAlign w:val="center"/>
            <w:hideMark/>
          </w:tcPr>
          <w:p w14:paraId="715B91E5"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Typ / Wertebereich</w:t>
            </w:r>
          </w:p>
        </w:tc>
        <w:tc>
          <w:tcPr>
            <w:tcW w:w="0" w:type="auto"/>
            <w:vAlign w:val="center"/>
            <w:hideMark/>
          </w:tcPr>
          <w:p w14:paraId="60F900DD"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Bedeutung</w:t>
            </w:r>
          </w:p>
        </w:tc>
        <w:tc>
          <w:tcPr>
            <w:tcW w:w="0" w:type="auto"/>
            <w:vAlign w:val="center"/>
            <w:hideMark/>
          </w:tcPr>
          <w:p w14:paraId="4BA31618"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Auswirkung</w:t>
            </w:r>
          </w:p>
        </w:tc>
      </w:tr>
      <w:tr w:rsidR="009B0F51" w:rsidRPr="009B0F51" w14:paraId="31638128" w14:textId="77777777" w:rsidTr="009B0F51">
        <w:trPr>
          <w:tblCellSpacing w:w="15" w:type="dxa"/>
        </w:trPr>
        <w:tc>
          <w:tcPr>
            <w:tcW w:w="0" w:type="auto"/>
            <w:vAlign w:val="center"/>
            <w:hideMark/>
          </w:tcPr>
          <w:p w14:paraId="17DE724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n_points</w:t>
            </w:r>
          </w:p>
        </w:tc>
        <w:tc>
          <w:tcPr>
            <w:tcW w:w="0" w:type="auto"/>
            <w:vAlign w:val="center"/>
            <w:hideMark/>
          </w:tcPr>
          <w:p w14:paraId="4BD2655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(z. B. 100–500)</w:t>
            </w:r>
          </w:p>
        </w:tc>
        <w:tc>
          <w:tcPr>
            <w:tcW w:w="0" w:type="auto"/>
            <w:vAlign w:val="center"/>
            <w:hideMark/>
          </w:tcPr>
          <w:p w14:paraId="6186446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Anzahl der simulierten semantischen Einheiten</w:t>
            </w:r>
          </w:p>
        </w:tc>
        <w:tc>
          <w:tcPr>
            <w:tcW w:w="0" w:type="auto"/>
            <w:vAlign w:val="center"/>
            <w:hideMark/>
          </w:tcPr>
          <w:p w14:paraId="76FBB53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Höhere Auflösung, mehr lokale Interaktion, höhere Rechenlast</w:t>
            </w:r>
          </w:p>
        </w:tc>
      </w:tr>
      <w:tr w:rsidR="009B0F51" w:rsidRPr="009B0F51" w14:paraId="3E04F641" w14:textId="77777777" w:rsidTr="009B0F51">
        <w:trPr>
          <w:tblCellSpacing w:w="15" w:type="dxa"/>
        </w:trPr>
        <w:tc>
          <w:tcPr>
            <w:tcW w:w="0" w:type="auto"/>
            <w:vAlign w:val="center"/>
            <w:hideMark/>
          </w:tcPr>
          <w:p w14:paraId="515E9959"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n_iterations</w:t>
            </w:r>
          </w:p>
        </w:tc>
        <w:tc>
          <w:tcPr>
            <w:tcW w:w="0" w:type="auto"/>
            <w:vAlign w:val="center"/>
            <w:hideMark/>
          </w:tcPr>
          <w:p w14:paraId="352DBF8D"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(z. B. 50–200)</w:t>
            </w:r>
          </w:p>
        </w:tc>
        <w:tc>
          <w:tcPr>
            <w:tcW w:w="0" w:type="auto"/>
            <w:vAlign w:val="center"/>
            <w:hideMark/>
          </w:tcPr>
          <w:p w14:paraId="371A645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Zeitschritte der Dichteentwicklung</w:t>
            </w:r>
          </w:p>
        </w:tc>
        <w:tc>
          <w:tcPr>
            <w:tcW w:w="0" w:type="auto"/>
            <w:vAlign w:val="center"/>
            <w:hideMark/>
          </w:tcPr>
          <w:p w14:paraId="0A88D2A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Steuert Entwicklungstiefe, zu wenig → keine Stabilisierung</w:t>
            </w:r>
          </w:p>
        </w:tc>
      </w:tr>
      <w:tr w:rsidR="009B0F51" w:rsidRPr="009B0F51" w14:paraId="3B459256" w14:textId="77777777" w:rsidTr="009B0F51">
        <w:trPr>
          <w:tblCellSpacing w:w="15" w:type="dxa"/>
        </w:trPr>
        <w:tc>
          <w:tcPr>
            <w:tcW w:w="0" w:type="auto"/>
            <w:vAlign w:val="center"/>
            <w:hideMark/>
          </w:tcPr>
          <w:p w14:paraId="5F67E2F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influence_radius</w:t>
            </w:r>
          </w:p>
        </w:tc>
        <w:tc>
          <w:tcPr>
            <w:tcW w:w="0" w:type="auto"/>
            <w:vAlign w:val="center"/>
            <w:hideMark/>
          </w:tcPr>
          <w:p w14:paraId="2F7A34C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Float (z. B. 0.05–0.3)</w:t>
            </w:r>
          </w:p>
        </w:tc>
        <w:tc>
          <w:tcPr>
            <w:tcW w:w="0" w:type="auto"/>
            <w:vAlign w:val="center"/>
            <w:hideMark/>
          </w:tcPr>
          <w:p w14:paraId="7E46BDF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Interaktionsreichweite</w:t>
            </w:r>
          </w:p>
        </w:tc>
        <w:tc>
          <w:tcPr>
            <w:tcW w:w="0" w:type="auto"/>
            <w:vAlign w:val="center"/>
            <w:hideMark/>
          </w:tcPr>
          <w:p w14:paraId="7AF244C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Größer → mehr Kohärenz, kleiner → mehr Differenzierung</w:t>
            </w:r>
          </w:p>
        </w:tc>
      </w:tr>
      <w:tr w:rsidR="009B0F51" w:rsidRPr="009B0F51" w14:paraId="2A8EDF2B" w14:textId="77777777" w:rsidTr="009B0F51">
        <w:trPr>
          <w:tblCellSpacing w:w="15" w:type="dxa"/>
        </w:trPr>
        <w:tc>
          <w:tcPr>
            <w:tcW w:w="0" w:type="auto"/>
            <w:vAlign w:val="center"/>
            <w:hideMark/>
          </w:tcPr>
          <w:p w14:paraId="770BB37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learning_rate</w:t>
            </w:r>
          </w:p>
        </w:tc>
        <w:tc>
          <w:tcPr>
            <w:tcW w:w="0" w:type="auto"/>
            <w:vAlign w:val="center"/>
            <w:hideMark/>
          </w:tcPr>
          <w:p w14:paraId="16F0243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Float (Standard: 0.1)</w:t>
            </w:r>
          </w:p>
        </w:tc>
        <w:tc>
          <w:tcPr>
            <w:tcW w:w="0" w:type="auto"/>
            <w:vAlign w:val="center"/>
            <w:hideMark/>
          </w:tcPr>
          <w:p w14:paraId="15A8FE03"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Änderungsrate der Dichte</w:t>
            </w:r>
          </w:p>
        </w:tc>
        <w:tc>
          <w:tcPr>
            <w:tcW w:w="0" w:type="auto"/>
            <w:vAlign w:val="center"/>
            <w:hideMark/>
          </w:tcPr>
          <w:p w14:paraId="0F2571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Höher → schnelle Konvergenz, aber potenziell instabil</w:t>
            </w:r>
          </w:p>
        </w:tc>
      </w:tr>
      <w:tr w:rsidR="009B0F51" w:rsidRPr="009B0F51" w14:paraId="24C6BD60" w14:textId="77777777" w:rsidTr="009B0F51">
        <w:trPr>
          <w:tblCellSpacing w:w="15" w:type="dxa"/>
        </w:trPr>
        <w:tc>
          <w:tcPr>
            <w:tcW w:w="0" w:type="auto"/>
            <w:vAlign w:val="center"/>
            <w:hideMark/>
          </w:tcPr>
          <w:p w14:paraId="461435F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n_clusters</w:t>
            </w:r>
          </w:p>
        </w:tc>
        <w:tc>
          <w:tcPr>
            <w:tcW w:w="0" w:type="auto"/>
            <w:vAlign w:val="center"/>
            <w:hideMark/>
          </w:tcPr>
          <w:p w14:paraId="1066E0D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Integer (2–10)</w:t>
            </w:r>
          </w:p>
        </w:tc>
        <w:tc>
          <w:tcPr>
            <w:tcW w:w="0" w:type="auto"/>
            <w:vAlign w:val="center"/>
            <w:hideMark/>
          </w:tcPr>
          <w:p w14:paraId="55CC0346"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Clusteranzahl (für KMeans)</w:t>
            </w:r>
          </w:p>
        </w:tc>
        <w:tc>
          <w:tcPr>
            <w:tcW w:w="0" w:type="auto"/>
            <w:vAlign w:val="center"/>
            <w:hideMark/>
          </w:tcPr>
          <w:p w14:paraId="0EA6819B"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Steuert die Anzahl von Bedeutungszentren</w:t>
            </w:r>
          </w:p>
        </w:tc>
      </w:tr>
    </w:tbl>
    <w:p w14:paraId="775BC9D6"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A0AD59">
          <v:rect id="_x0000_i1032" style="width:0;height:1.5pt" o:hralign="center" o:hrstd="t" o:hr="t" fillcolor="#a0a0a0" stroked="f"/>
        </w:pict>
      </w:r>
    </w:p>
    <w:p w14:paraId="175B1F44"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8. Raumachsen und semantische Zuordnung</w:t>
      </w:r>
    </w:p>
    <w:p w14:paraId="1DCB2562"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 Simulation operiert im Raum ℝ³. Die Achsen haben semantische Entsprechungen im FZRK: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60"/>
        <w:gridCol w:w="3608"/>
      </w:tblGrid>
      <w:tr w:rsidR="009B0F51" w:rsidRPr="009B0F51" w14:paraId="5D9E9C65" w14:textId="77777777" w:rsidTr="009B0F51">
        <w:trPr>
          <w:tblHeader/>
          <w:tblCellSpacing w:w="15" w:type="dxa"/>
        </w:trPr>
        <w:tc>
          <w:tcPr>
            <w:tcW w:w="0" w:type="auto"/>
            <w:vAlign w:val="center"/>
            <w:hideMark/>
          </w:tcPr>
          <w:p w14:paraId="1565E47D"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Achse</w:t>
            </w:r>
          </w:p>
        </w:tc>
        <w:tc>
          <w:tcPr>
            <w:tcW w:w="0" w:type="auto"/>
            <w:vAlign w:val="center"/>
            <w:hideMark/>
          </w:tcPr>
          <w:p w14:paraId="00FB589F"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Bedeutung im Modell</w:t>
            </w:r>
          </w:p>
        </w:tc>
        <w:tc>
          <w:tcPr>
            <w:tcW w:w="0" w:type="auto"/>
            <w:vAlign w:val="center"/>
            <w:hideMark/>
          </w:tcPr>
          <w:p w14:paraId="45836AA2"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FZRK-Operator</w:t>
            </w:r>
          </w:p>
        </w:tc>
      </w:tr>
      <w:tr w:rsidR="009B0F51" w:rsidRPr="009B0F51" w14:paraId="74C19C3A" w14:textId="77777777" w:rsidTr="009B0F51">
        <w:trPr>
          <w:tblCellSpacing w:w="15" w:type="dxa"/>
        </w:trPr>
        <w:tc>
          <w:tcPr>
            <w:tcW w:w="0" w:type="auto"/>
            <w:vAlign w:val="center"/>
            <w:hideMark/>
          </w:tcPr>
          <w:p w14:paraId="28E2C84D"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x-Achse</w:t>
            </w:r>
          </w:p>
        </w:tc>
        <w:tc>
          <w:tcPr>
            <w:tcW w:w="0" w:type="auto"/>
            <w:vAlign w:val="center"/>
            <w:hideMark/>
          </w:tcPr>
          <w:p w14:paraId="1F2B043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Symbolische Strukturierung</w:t>
            </w:r>
          </w:p>
        </w:tc>
        <w:tc>
          <w:tcPr>
            <w:tcW w:w="0" w:type="auto"/>
            <w:vAlign w:val="center"/>
            <w:hideMark/>
          </w:tcPr>
          <w:p w14:paraId="504EA94C"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S</w:t>
            </w:r>
            <w:r w:rsidRPr="009B0F51">
              <w:rPr>
                <w:rFonts w:ascii="Times New Roman" w:eastAsia="Times New Roman" w:hAnsi="Times New Roman" w:cs="Times New Roman"/>
                <w:sz w:val="24"/>
                <w:szCs w:val="24"/>
                <w:lang w:eastAsia="de-DE"/>
              </w:rPr>
              <w:t xml:space="preserve"> (Symbolsysteme, Begriffsnetze)</w:t>
            </w:r>
          </w:p>
        </w:tc>
      </w:tr>
      <w:tr w:rsidR="009B0F51" w:rsidRPr="009B0F51" w14:paraId="72C6C9D9" w14:textId="77777777" w:rsidTr="009B0F51">
        <w:trPr>
          <w:tblCellSpacing w:w="15" w:type="dxa"/>
        </w:trPr>
        <w:tc>
          <w:tcPr>
            <w:tcW w:w="0" w:type="auto"/>
            <w:vAlign w:val="center"/>
            <w:hideMark/>
          </w:tcPr>
          <w:p w14:paraId="4293522F"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y-Achse</w:t>
            </w:r>
          </w:p>
        </w:tc>
        <w:tc>
          <w:tcPr>
            <w:tcW w:w="0" w:type="auto"/>
            <w:vAlign w:val="center"/>
            <w:hideMark/>
          </w:tcPr>
          <w:p w14:paraId="28C4AB52"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Diskursives Spannungsfeld</w:t>
            </w:r>
          </w:p>
        </w:tc>
        <w:tc>
          <w:tcPr>
            <w:tcW w:w="0" w:type="auto"/>
            <w:vAlign w:val="center"/>
            <w:hideMark/>
          </w:tcPr>
          <w:p w14:paraId="1BED1E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D</w:t>
            </w:r>
            <w:r w:rsidRPr="009B0F51">
              <w:rPr>
                <w:rFonts w:ascii="Times New Roman" w:eastAsia="Times New Roman" w:hAnsi="Times New Roman" w:cs="Times New Roman"/>
                <w:sz w:val="24"/>
                <w:szCs w:val="24"/>
                <w:lang w:eastAsia="de-DE"/>
              </w:rPr>
              <w:t xml:space="preserve"> (soziale Kommunikation, Kontext)</w:t>
            </w:r>
          </w:p>
        </w:tc>
      </w:tr>
      <w:tr w:rsidR="009B0F51" w:rsidRPr="009B0F51" w14:paraId="38D435AF" w14:textId="77777777" w:rsidTr="009B0F51">
        <w:trPr>
          <w:tblCellSpacing w:w="15" w:type="dxa"/>
        </w:trPr>
        <w:tc>
          <w:tcPr>
            <w:tcW w:w="0" w:type="auto"/>
            <w:vAlign w:val="center"/>
            <w:hideMark/>
          </w:tcPr>
          <w:p w14:paraId="4F3A6C70"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b/>
                <w:bCs/>
                <w:sz w:val="24"/>
                <w:szCs w:val="24"/>
                <w:lang w:eastAsia="de-DE"/>
              </w:rPr>
              <w:t>z-Achse</w:t>
            </w:r>
          </w:p>
        </w:tc>
        <w:tc>
          <w:tcPr>
            <w:tcW w:w="0" w:type="auto"/>
            <w:vAlign w:val="center"/>
            <w:hideMark/>
          </w:tcPr>
          <w:p w14:paraId="0F5EE00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Reflexive Ordnung</w:t>
            </w:r>
          </w:p>
        </w:tc>
        <w:tc>
          <w:tcPr>
            <w:tcW w:w="0" w:type="auto"/>
            <w:vAlign w:val="center"/>
            <w:hideMark/>
          </w:tcPr>
          <w:p w14:paraId="45C53021"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M</w:t>
            </w:r>
            <w:r w:rsidRPr="009B0F51">
              <w:rPr>
                <w:rFonts w:ascii="Times New Roman" w:eastAsia="Times New Roman" w:hAnsi="Times New Roman" w:cs="Times New Roman"/>
                <w:sz w:val="24"/>
                <w:szCs w:val="24"/>
                <w:lang w:eastAsia="de-DE"/>
              </w:rPr>
              <w:t xml:space="preserve"> (Selbstbeobachtung, Abstraktion)</w:t>
            </w:r>
          </w:p>
        </w:tc>
      </w:tr>
    </w:tbl>
    <w:p w14:paraId="401C504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 xml:space="preserve">Die semantische Dichte </w:t>
      </w:r>
      <w:r w:rsidRPr="009B0F51">
        <w:rPr>
          <w:rFonts w:ascii="Courier New" w:eastAsia="Times New Roman" w:hAnsi="Courier New" w:cs="Courier New"/>
          <w:sz w:val="20"/>
          <w:szCs w:val="20"/>
          <w:lang w:eastAsia="de-DE"/>
        </w:rPr>
        <w:t>σ</w:t>
      </w:r>
      <w:r w:rsidRPr="009B0F51">
        <w:rPr>
          <w:rFonts w:ascii="Times New Roman" w:eastAsia="Times New Roman" w:hAnsi="Times New Roman" w:cs="Times New Roman"/>
          <w:sz w:val="24"/>
          <w:szCs w:val="24"/>
          <w:lang w:eastAsia="de-DE"/>
        </w:rPr>
        <w:t xml:space="preserve"> ist farbkodiert (viridis) und verändert sich iterativ. Die Vektoren im Raum I(t) repräsentieren somit intentional strukturierte Zustände, eingebettet in den dynamischen Entwicklungspfad des Systems.</w:t>
      </w:r>
    </w:p>
    <w:p w14:paraId="19411F4C"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0270787">
          <v:rect id="_x0000_i1033" style="width:0;height:1.5pt" o:hralign="center" o:hrstd="t" o:hr="t" fillcolor="#a0a0a0" stroked="f"/>
        </w:pict>
      </w:r>
    </w:p>
    <w:p w14:paraId="725A561C"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9. Kommentierter Codeauszug (Kernlogik)</w:t>
      </w:r>
    </w:p>
    <w:p w14:paraId="41AA7327"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1. Initialisierung</w:t>
      </w:r>
    </w:p>
    <w:p w14:paraId="431087FE"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positions = np.random.rand(n_points, 3)</w:t>
      </w:r>
    </w:p>
    <w:p w14:paraId="6C3DF988"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semantic_densities = np.random.rand(n_points)</w:t>
      </w:r>
    </w:p>
    <w:p w14:paraId="209AC39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C4DD14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2. Interaktionsfunktion</w:t>
      </w:r>
    </w:p>
    <w:p w14:paraId="00620901"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def interaction(d1, d2, dist):</w:t>
      </w:r>
    </w:p>
    <w:p w14:paraId="4C00230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if dist &lt; influence_radius:</w:t>
      </w:r>
    </w:p>
    <w:p w14:paraId="3C4CE88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return (d2 - d1) * np.exp(-dist**2 / influence_radius**2)</w:t>
      </w:r>
    </w:p>
    <w:p w14:paraId="6D81B6F1"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return 0</w:t>
      </w:r>
    </w:p>
    <w:p w14:paraId="24544053"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3484E5"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3. Dichteupdate</w:t>
      </w:r>
    </w:p>
    <w:p w14:paraId="2CDB2FBE"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for iteration in range(n_iterations):</w:t>
      </w:r>
    </w:p>
    <w:p w14:paraId="6FC34ABC"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all_interactions = np.zeros(n_points)</w:t>
      </w:r>
    </w:p>
    <w:p w14:paraId="32170FC6"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for i in range(n_points):</w:t>
      </w:r>
    </w:p>
    <w:p w14:paraId="39C4F3F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interactions = [interaction(semantic_densities[i], semantic_densities[j], np.linalg.norm(positions[i]-positions[j])) </w:t>
      </w:r>
    </w:p>
    <w:p w14:paraId="53D07784"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for j in range(n_points) if i != j]</w:t>
      </w:r>
    </w:p>
    <w:p w14:paraId="7F85D78B"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all_interactions[i] = np.sum(interactions)</w:t>
      </w:r>
    </w:p>
    <w:p w14:paraId="4CAAF278"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w:t>
      </w:r>
    </w:p>
    <w:p w14:paraId="5524D2EA"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 Dichteanpassung</w:t>
      </w:r>
    </w:p>
    <w:p w14:paraId="00BC3560"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semantic_densities = np.clip(</w:t>
      </w:r>
    </w:p>
    <w:p w14:paraId="4F585999" w14:textId="77777777" w:rsidR="009B0F51" w:rsidRPr="009B0F51" w:rsidRDefault="009B0F51" w:rsidP="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9B0F51">
        <w:rPr>
          <w:rFonts w:ascii="Courier New" w:eastAsia="Times New Roman" w:hAnsi="Courier New" w:cs="Courier New"/>
          <w:sz w:val="20"/>
          <w:szCs w:val="20"/>
          <w:lang w:eastAsia="de-DE"/>
        </w:rPr>
        <w:t xml:space="preserve">        semantic_densities + learning_rate * all_interactions, 0, 1)</w:t>
      </w:r>
    </w:p>
    <w:p w14:paraId="0B72257E"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4587180">
          <v:rect id="_x0000_i1034" style="width:0;height:1.5pt" o:hralign="center" o:hrstd="t" o:hr="t" fillcolor="#a0a0a0" stroked="f"/>
        </w:pict>
      </w:r>
    </w:p>
    <w:p w14:paraId="351508B9"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10. Dateianhang dieser Anlage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833"/>
        <w:gridCol w:w="4683"/>
      </w:tblGrid>
      <w:tr w:rsidR="009B0F51" w:rsidRPr="009B0F51" w14:paraId="2EBE0321" w14:textId="77777777" w:rsidTr="009B0F51">
        <w:trPr>
          <w:tblHeader/>
          <w:tblCellSpacing w:w="15" w:type="dxa"/>
        </w:trPr>
        <w:tc>
          <w:tcPr>
            <w:tcW w:w="0" w:type="auto"/>
            <w:vAlign w:val="center"/>
            <w:hideMark/>
          </w:tcPr>
          <w:p w14:paraId="02FC72A8"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Dateiname</w:t>
            </w:r>
          </w:p>
        </w:tc>
        <w:tc>
          <w:tcPr>
            <w:tcW w:w="0" w:type="auto"/>
            <w:vAlign w:val="center"/>
            <w:hideMark/>
          </w:tcPr>
          <w:p w14:paraId="29C75B84"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Format</w:t>
            </w:r>
          </w:p>
        </w:tc>
        <w:tc>
          <w:tcPr>
            <w:tcW w:w="0" w:type="auto"/>
            <w:vAlign w:val="center"/>
            <w:hideMark/>
          </w:tcPr>
          <w:p w14:paraId="600EB18B" w14:textId="77777777" w:rsidR="009B0F51" w:rsidRPr="009B0F51" w:rsidRDefault="009B0F51" w:rsidP="009B0F51">
            <w:pPr>
              <w:spacing w:after="0" w:line="240" w:lineRule="auto"/>
              <w:jc w:val="center"/>
              <w:rPr>
                <w:rFonts w:ascii="Times New Roman" w:eastAsia="Times New Roman" w:hAnsi="Times New Roman" w:cs="Times New Roman"/>
                <w:b/>
                <w:bCs/>
                <w:sz w:val="24"/>
                <w:szCs w:val="24"/>
                <w:lang w:eastAsia="de-DE"/>
              </w:rPr>
            </w:pPr>
            <w:r w:rsidRPr="009B0F51">
              <w:rPr>
                <w:rFonts w:ascii="Times New Roman" w:eastAsia="Times New Roman" w:hAnsi="Times New Roman" w:cs="Times New Roman"/>
                <w:b/>
                <w:bCs/>
                <w:sz w:val="24"/>
                <w:szCs w:val="24"/>
                <w:lang w:eastAsia="de-DE"/>
              </w:rPr>
              <w:t>Inhalt</w:t>
            </w:r>
          </w:p>
        </w:tc>
      </w:tr>
      <w:tr w:rsidR="009B0F51" w:rsidRPr="009B0F51" w14:paraId="10A5984A" w14:textId="77777777" w:rsidTr="009B0F51">
        <w:trPr>
          <w:tblCellSpacing w:w="15" w:type="dxa"/>
        </w:trPr>
        <w:tc>
          <w:tcPr>
            <w:tcW w:w="0" w:type="auto"/>
            <w:vAlign w:val="center"/>
            <w:hideMark/>
          </w:tcPr>
          <w:p w14:paraId="4A8AD67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anlage_A1_dichtesimulation.py</w:t>
            </w:r>
          </w:p>
        </w:tc>
        <w:tc>
          <w:tcPr>
            <w:tcW w:w="0" w:type="auto"/>
            <w:vAlign w:val="center"/>
            <w:hideMark/>
          </w:tcPr>
          <w:p w14:paraId="4B52660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.py</w:t>
            </w:r>
          </w:p>
        </w:tc>
        <w:tc>
          <w:tcPr>
            <w:tcW w:w="0" w:type="auto"/>
            <w:vAlign w:val="center"/>
            <w:hideMark/>
          </w:tcPr>
          <w:p w14:paraId="3320E95E"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Vollständiger, kommentierter Quelltext</w:t>
            </w:r>
          </w:p>
        </w:tc>
      </w:tr>
      <w:tr w:rsidR="009B0F51" w:rsidRPr="009B0F51" w14:paraId="5039C07C" w14:textId="77777777" w:rsidTr="009B0F51">
        <w:trPr>
          <w:tblCellSpacing w:w="15" w:type="dxa"/>
        </w:trPr>
        <w:tc>
          <w:tcPr>
            <w:tcW w:w="0" w:type="auto"/>
            <w:vAlign w:val="center"/>
            <w:hideMark/>
          </w:tcPr>
          <w:p w14:paraId="3BCFF9E4"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anlage_A1_bericht.pdf</w:t>
            </w:r>
          </w:p>
        </w:tc>
        <w:tc>
          <w:tcPr>
            <w:tcW w:w="0" w:type="auto"/>
            <w:vAlign w:val="center"/>
            <w:hideMark/>
          </w:tcPr>
          <w:p w14:paraId="34B283B5"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.pdf</w:t>
            </w:r>
          </w:p>
        </w:tc>
        <w:tc>
          <w:tcPr>
            <w:tcW w:w="0" w:type="auto"/>
            <w:vAlign w:val="center"/>
            <w:hideMark/>
          </w:tcPr>
          <w:p w14:paraId="3F73957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Begleitbericht mit Screenshots, Erklärung, FZRK-Verknüpfung</w:t>
            </w:r>
          </w:p>
        </w:tc>
      </w:tr>
      <w:tr w:rsidR="009B0F51" w:rsidRPr="009B0F51" w14:paraId="3ACF6EA5" w14:textId="77777777" w:rsidTr="009B0F51">
        <w:trPr>
          <w:tblCellSpacing w:w="15" w:type="dxa"/>
        </w:trPr>
        <w:tc>
          <w:tcPr>
            <w:tcW w:w="0" w:type="auto"/>
            <w:vAlign w:val="center"/>
            <w:hideMark/>
          </w:tcPr>
          <w:p w14:paraId="529A2F1C"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anlage_A1_log.csv</w:t>
            </w:r>
            <w:r w:rsidRPr="009B0F51">
              <w:rPr>
                <w:rFonts w:ascii="Times New Roman" w:eastAsia="Times New Roman" w:hAnsi="Times New Roman" w:cs="Times New Roman"/>
                <w:sz w:val="24"/>
                <w:szCs w:val="24"/>
                <w:lang w:eastAsia="de-DE"/>
              </w:rPr>
              <w:t xml:space="preserve"> (optional)</w:t>
            </w:r>
          </w:p>
        </w:tc>
        <w:tc>
          <w:tcPr>
            <w:tcW w:w="0" w:type="auto"/>
            <w:vAlign w:val="center"/>
            <w:hideMark/>
          </w:tcPr>
          <w:p w14:paraId="000E2BC1"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Courier New" w:eastAsia="Times New Roman" w:hAnsi="Courier New" w:cs="Courier New"/>
                <w:sz w:val="20"/>
                <w:szCs w:val="20"/>
                <w:lang w:eastAsia="de-DE"/>
              </w:rPr>
              <w:t>.csv</w:t>
            </w:r>
          </w:p>
        </w:tc>
        <w:tc>
          <w:tcPr>
            <w:tcW w:w="0" w:type="auto"/>
            <w:vAlign w:val="center"/>
            <w:hideMark/>
          </w:tcPr>
          <w:p w14:paraId="3AB131C7" w14:textId="77777777" w:rsidR="009B0F51" w:rsidRPr="009B0F51" w:rsidRDefault="009B0F51" w:rsidP="009B0F51">
            <w:pPr>
              <w:spacing w:after="0"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Beispiellogfile mit Verlauf einzelner Dichtewerte</w:t>
            </w:r>
          </w:p>
        </w:tc>
      </w:tr>
    </w:tbl>
    <w:p w14:paraId="42D47EC4" w14:textId="77777777" w:rsidR="009B0F51" w:rsidRPr="009B0F51" w:rsidRDefault="00544331" w:rsidP="009B0F51">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00722D4">
          <v:rect id="_x0000_i1035" style="width:0;height:1.5pt" o:hralign="center" o:hrstd="t" o:hr="t" fillcolor="#a0a0a0" stroked="f"/>
        </w:pict>
      </w:r>
    </w:p>
    <w:p w14:paraId="6D100256" w14:textId="77777777" w:rsidR="009B0F51" w:rsidRPr="009B0F51" w:rsidRDefault="009B0F51" w:rsidP="009B0F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B0F51">
        <w:rPr>
          <w:rFonts w:ascii="Times New Roman" w:eastAsia="Times New Roman" w:hAnsi="Times New Roman" w:cs="Times New Roman"/>
          <w:b/>
          <w:bCs/>
          <w:sz w:val="27"/>
          <w:szCs w:val="27"/>
          <w:lang w:eastAsia="de-DE"/>
        </w:rPr>
        <w:t>11. Weiterführende Einsatzmöglichkeiten</w:t>
      </w:r>
    </w:p>
    <w:p w14:paraId="1A3694FB" w14:textId="77777777" w:rsidR="009B0F51" w:rsidRPr="009B0F51" w:rsidRDefault="009B0F51" w:rsidP="009B0F51">
      <w:p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Diese Anlage kann Grundlage sein für:</w:t>
      </w:r>
    </w:p>
    <w:p w14:paraId="3AFE1ED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eigenständige Experimente mit Lernenden oder Studierenden,</w:t>
      </w:r>
    </w:p>
    <w:p w14:paraId="41F2577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Entwicklung didaktischer Modelle zur Selbstorganisation von Bedeutung,</w:t>
      </w:r>
    </w:p>
    <w:p w14:paraId="0912CBB3"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Visualisierung von Ordnungsübergängen im Rahmen von Konzeptverständnis,</w:t>
      </w:r>
    </w:p>
    <w:p w14:paraId="311D467A" w14:textId="77777777" w:rsidR="009B0F51" w:rsidRPr="009B0F51" w:rsidRDefault="009B0F51" w:rsidP="009B0F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B0F51">
        <w:rPr>
          <w:rFonts w:ascii="Times New Roman" w:eastAsia="Times New Roman" w:hAnsi="Times New Roman" w:cs="Times New Roman"/>
          <w:sz w:val="24"/>
          <w:szCs w:val="24"/>
          <w:lang w:eastAsia="de-DE"/>
        </w:rPr>
        <w:t>explorative Forschung zu intentionalen Systemen in sozialen, didaktischen und digitalen Kontexten.</w:t>
      </w:r>
    </w:p>
    <w:p w14:paraId="07650C70"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97E9B"/>
    <w:multiLevelType w:val="multilevel"/>
    <w:tmpl w:val="9D6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B614B"/>
    <w:multiLevelType w:val="multilevel"/>
    <w:tmpl w:val="9DD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F3176"/>
    <w:multiLevelType w:val="multilevel"/>
    <w:tmpl w:val="594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A44C4"/>
    <w:multiLevelType w:val="multilevel"/>
    <w:tmpl w:val="B2D8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51"/>
    <w:rsid w:val="00106528"/>
    <w:rsid w:val="00544331"/>
    <w:rsid w:val="008871CF"/>
    <w:rsid w:val="009032D7"/>
    <w:rsid w:val="009B0F5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CCEA"/>
  <w15:chartTrackingRefBased/>
  <w15:docId w15:val="{C5446D84-BF58-44C5-AF3D-6539C1301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B0F5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B0F5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9B0F51"/>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B0F51"/>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9B0F51"/>
    <w:rPr>
      <w:b/>
      <w:bCs/>
    </w:rPr>
  </w:style>
  <w:style w:type="paragraph" w:styleId="StandardWeb">
    <w:name w:val="Normal (Web)"/>
    <w:basedOn w:val="Standard"/>
    <w:uiPriority w:val="99"/>
    <w:semiHidden/>
    <w:unhideWhenUsed/>
    <w:rsid w:val="009B0F5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9B0F51"/>
    <w:rPr>
      <w:i/>
      <w:iCs/>
    </w:rPr>
  </w:style>
  <w:style w:type="character" w:styleId="HTMLCode">
    <w:name w:val="HTML Code"/>
    <w:basedOn w:val="Absatz-Standardschriftart"/>
    <w:uiPriority w:val="99"/>
    <w:semiHidden/>
    <w:unhideWhenUsed/>
    <w:rsid w:val="009B0F51"/>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9B0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B0F51"/>
    <w:rPr>
      <w:rFonts w:ascii="Courier New" w:eastAsia="Times New Roman" w:hAnsi="Courier New" w:cs="Courier New"/>
      <w:sz w:val="20"/>
      <w:szCs w:val="20"/>
      <w:lang w:eastAsia="de-DE"/>
    </w:rPr>
  </w:style>
  <w:style w:type="character" w:customStyle="1" w:styleId="hljs-comment">
    <w:name w:val="hljs-comment"/>
    <w:basedOn w:val="Absatz-Standardschriftart"/>
    <w:rsid w:val="009B0F51"/>
  </w:style>
  <w:style w:type="character" w:customStyle="1" w:styleId="hljs-number">
    <w:name w:val="hljs-number"/>
    <w:basedOn w:val="Absatz-Standardschriftart"/>
    <w:rsid w:val="009B0F51"/>
  </w:style>
  <w:style w:type="character" w:customStyle="1" w:styleId="hljs-keyword">
    <w:name w:val="hljs-keyword"/>
    <w:basedOn w:val="Absatz-Standardschriftart"/>
    <w:rsid w:val="009B0F51"/>
  </w:style>
  <w:style w:type="character" w:customStyle="1" w:styleId="hljs-title">
    <w:name w:val="hljs-title"/>
    <w:basedOn w:val="Absatz-Standardschriftart"/>
    <w:rsid w:val="009B0F51"/>
  </w:style>
  <w:style w:type="character" w:customStyle="1" w:styleId="hljs-params">
    <w:name w:val="hljs-params"/>
    <w:basedOn w:val="Absatz-Standardschriftart"/>
    <w:rsid w:val="009B0F51"/>
  </w:style>
  <w:style w:type="character" w:customStyle="1" w:styleId="hljs-builtin">
    <w:name w:val="hljs-built_in"/>
    <w:basedOn w:val="Absatz-Standardschriftart"/>
    <w:rsid w:val="009B0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045412">
      <w:bodyDiv w:val="1"/>
      <w:marLeft w:val="0"/>
      <w:marRight w:val="0"/>
      <w:marTop w:val="0"/>
      <w:marBottom w:val="0"/>
      <w:divBdr>
        <w:top w:val="none" w:sz="0" w:space="0" w:color="auto"/>
        <w:left w:val="none" w:sz="0" w:space="0" w:color="auto"/>
        <w:bottom w:val="none" w:sz="0" w:space="0" w:color="auto"/>
        <w:right w:val="none" w:sz="0" w:space="0" w:color="auto"/>
      </w:divBdr>
      <w:divsChild>
        <w:div w:id="85929954">
          <w:marLeft w:val="0"/>
          <w:marRight w:val="0"/>
          <w:marTop w:val="0"/>
          <w:marBottom w:val="0"/>
          <w:divBdr>
            <w:top w:val="none" w:sz="0" w:space="0" w:color="auto"/>
            <w:left w:val="none" w:sz="0" w:space="0" w:color="auto"/>
            <w:bottom w:val="none" w:sz="0" w:space="0" w:color="auto"/>
            <w:right w:val="none" w:sz="0" w:space="0" w:color="auto"/>
          </w:divBdr>
          <w:divsChild>
            <w:div w:id="400952638">
              <w:marLeft w:val="0"/>
              <w:marRight w:val="0"/>
              <w:marTop w:val="0"/>
              <w:marBottom w:val="0"/>
              <w:divBdr>
                <w:top w:val="none" w:sz="0" w:space="0" w:color="auto"/>
                <w:left w:val="none" w:sz="0" w:space="0" w:color="auto"/>
                <w:bottom w:val="none" w:sz="0" w:space="0" w:color="auto"/>
                <w:right w:val="none" w:sz="0" w:space="0" w:color="auto"/>
              </w:divBdr>
            </w:div>
          </w:divsChild>
        </w:div>
        <w:div w:id="900405179">
          <w:marLeft w:val="0"/>
          <w:marRight w:val="0"/>
          <w:marTop w:val="0"/>
          <w:marBottom w:val="0"/>
          <w:divBdr>
            <w:top w:val="none" w:sz="0" w:space="0" w:color="auto"/>
            <w:left w:val="none" w:sz="0" w:space="0" w:color="auto"/>
            <w:bottom w:val="none" w:sz="0" w:space="0" w:color="auto"/>
            <w:right w:val="none" w:sz="0" w:space="0" w:color="auto"/>
          </w:divBdr>
          <w:divsChild>
            <w:div w:id="769589336">
              <w:marLeft w:val="0"/>
              <w:marRight w:val="0"/>
              <w:marTop w:val="0"/>
              <w:marBottom w:val="0"/>
              <w:divBdr>
                <w:top w:val="none" w:sz="0" w:space="0" w:color="auto"/>
                <w:left w:val="none" w:sz="0" w:space="0" w:color="auto"/>
                <w:bottom w:val="none" w:sz="0" w:space="0" w:color="auto"/>
                <w:right w:val="none" w:sz="0" w:space="0" w:color="auto"/>
              </w:divBdr>
            </w:div>
          </w:divsChild>
        </w:div>
        <w:div w:id="2041784172">
          <w:marLeft w:val="0"/>
          <w:marRight w:val="0"/>
          <w:marTop w:val="0"/>
          <w:marBottom w:val="0"/>
          <w:divBdr>
            <w:top w:val="none" w:sz="0" w:space="0" w:color="auto"/>
            <w:left w:val="none" w:sz="0" w:space="0" w:color="auto"/>
            <w:bottom w:val="none" w:sz="0" w:space="0" w:color="auto"/>
            <w:right w:val="none" w:sz="0" w:space="0" w:color="auto"/>
          </w:divBdr>
          <w:divsChild>
            <w:div w:id="1702586166">
              <w:marLeft w:val="0"/>
              <w:marRight w:val="0"/>
              <w:marTop w:val="0"/>
              <w:marBottom w:val="0"/>
              <w:divBdr>
                <w:top w:val="none" w:sz="0" w:space="0" w:color="auto"/>
                <w:left w:val="none" w:sz="0" w:space="0" w:color="auto"/>
                <w:bottom w:val="none" w:sz="0" w:space="0" w:color="auto"/>
                <w:right w:val="none" w:sz="0" w:space="0" w:color="auto"/>
              </w:divBdr>
            </w:div>
            <w:div w:id="249587625">
              <w:marLeft w:val="0"/>
              <w:marRight w:val="0"/>
              <w:marTop w:val="0"/>
              <w:marBottom w:val="0"/>
              <w:divBdr>
                <w:top w:val="none" w:sz="0" w:space="0" w:color="auto"/>
                <w:left w:val="none" w:sz="0" w:space="0" w:color="auto"/>
                <w:bottom w:val="none" w:sz="0" w:space="0" w:color="auto"/>
                <w:right w:val="none" w:sz="0" w:space="0" w:color="auto"/>
              </w:divBdr>
              <w:divsChild>
                <w:div w:id="677511352">
                  <w:marLeft w:val="0"/>
                  <w:marRight w:val="0"/>
                  <w:marTop w:val="0"/>
                  <w:marBottom w:val="0"/>
                  <w:divBdr>
                    <w:top w:val="none" w:sz="0" w:space="0" w:color="auto"/>
                    <w:left w:val="none" w:sz="0" w:space="0" w:color="auto"/>
                    <w:bottom w:val="none" w:sz="0" w:space="0" w:color="auto"/>
                    <w:right w:val="none" w:sz="0" w:space="0" w:color="auto"/>
                  </w:divBdr>
                  <w:divsChild>
                    <w:div w:id="86509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2190">
              <w:marLeft w:val="0"/>
              <w:marRight w:val="0"/>
              <w:marTop w:val="0"/>
              <w:marBottom w:val="0"/>
              <w:divBdr>
                <w:top w:val="none" w:sz="0" w:space="0" w:color="auto"/>
                <w:left w:val="none" w:sz="0" w:space="0" w:color="auto"/>
                <w:bottom w:val="none" w:sz="0" w:space="0" w:color="auto"/>
                <w:right w:val="none" w:sz="0" w:space="0" w:color="auto"/>
              </w:divBdr>
            </w:div>
          </w:divsChild>
        </w:div>
        <w:div w:id="680009222">
          <w:marLeft w:val="0"/>
          <w:marRight w:val="0"/>
          <w:marTop w:val="0"/>
          <w:marBottom w:val="0"/>
          <w:divBdr>
            <w:top w:val="none" w:sz="0" w:space="0" w:color="auto"/>
            <w:left w:val="none" w:sz="0" w:space="0" w:color="auto"/>
            <w:bottom w:val="none" w:sz="0" w:space="0" w:color="auto"/>
            <w:right w:val="none" w:sz="0" w:space="0" w:color="auto"/>
          </w:divBdr>
          <w:divsChild>
            <w:div w:id="21169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705</Words>
  <Characters>4445</Characters>
  <Application>Microsoft Office Word</Application>
  <DocSecurity>0</DocSecurity>
  <Lines>37</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2025-06-06T04:51:00Z</dcterms:created>
  <dcterms:modified xsi:type="dcterms:W3CDTF">2025-06-20T02:41:00Z</dcterms:modified>
</cp:coreProperties>
</file>