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8E7DB" w14:textId="77777777" w:rsidR="00EF0FD8" w:rsidRDefault="00EF0FD8" w:rsidP="00EF0FD8">
      <w:pPr>
        <w:pStyle w:val="berschrift1"/>
        <w:rPr>
          <w:sz w:val="48"/>
          <w:szCs w:val="48"/>
          <w:lang w:eastAsia="de-DE"/>
        </w:rPr>
      </w:pPr>
      <w:r>
        <w:rPr>
          <w:rFonts w:ascii="Segoe UI Emoji" w:hAnsi="Segoe UI Emoji" w:cs="Segoe UI Emoji"/>
        </w:rPr>
        <w:t>📑</w:t>
      </w:r>
      <w:r>
        <w:t xml:space="preserve"> </w:t>
      </w:r>
      <w:r>
        <w:rPr>
          <w:rStyle w:val="Fett"/>
          <w:b/>
          <w:bCs w:val="0"/>
        </w:rPr>
        <w:t>Kapitel 5 – Beweisansatz, Feldversuche und funktionale Validierung</w:t>
      </w:r>
    </w:p>
    <w:p w14:paraId="220387F0" w14:textId="77777777" w:rsidR="00EF0FD8" w:rsidRDefault="00BD2758" w:rsidP="00EF0FD8">
      <w:r>
        <w:pict w14:anchorId="6050EBBE">
          <v:rect id="_x0000_i1025" style="width:0;height:1.5pt" o:hralign="center" o:hrstd="t" o:hr="t" fillcolor="#a0a0a0" stroked="f"/>
        </w:pict>
      </w:r>
    </w:p>
    <w:p w14:paraId="5798C025" w14:textId="77777777" w:rsidR="006463F2" w:rsidRPr="001E21D6" w:rsidRDefault="006463F2" w:rsidP="006463F2">
      <w:pPr>
        <w:pStyle w:val="berschrift2"/>
      </w:pPr>
      <w:r w:rsidRPr="001E21D6">
        <w:rPr>
          <w:rStyle w:val="IntensiveHervorhebung"/>
          <w:i w:val="0"/>
          <w:iCs w:val="0"/>
          <w:color w:val="auto"/>
        </w:rPr>
        <w:t>5.1 Einleitung und Zielsetzung</w:t>
      </w:r>
    </w:p>
    <w:p w14:paraId="1A1028E1" w14:textId="1EA5E5B5" w:rsidR="006463F2" w:rsidRDefault="006463F2" w:rsidP="006463F2">
      <w:r>
        <w:t>Das vorliegende Kapitel 5 markiert den Übergang von der rein theoretischen Entwicklung des Funktionales Raum-Zeit-Kohärenzsystem</w:t>
      </w:r>
      <w:r w:rsidR="00BA0EF4">
        <w:t xml:space="preserve"> </w:t>
      </w:r>
      <w:r>
        <w:t>(FRZK) hin zu seiner empirischen Fundierung. Kapitel 3 stellte dabei die erkenntnistheoretische Fundierung vor: Ausgehend von der Leere (</w:t>
      </w:r>
      <w:r>
        <w:rPr>
          <w:rFonts w:ascii="Cambria Math" w:hAnsi="Cambria Math" w:cs="Cambria Math"/>
        </w:rPr>
        <w:t>∅</w:t>
      </w:r>
      <w:r>
        <w:t>) als radikalem Ausgangspunkt werden durch differenzielle Zuweisungen (Initialpunkte, Raumfunktionen, Brane-Funktionen) strukturierte Bezugssysteme generiert [1][2]. Kapitel 4 weitete diese Perspektive aus, indem es das FRZK als universelles Modellierungsprinzip interpretierte – nicht nur für physikalische, sondern auch für kognitive, soziale und didaktische Prozesse [3][4].</w:t>
      </w:r>
    </w:p>
    <w:p w14:paraId="78FD069E" w14:textId="77777777" w:rsidR="006463F2" w:rsidRDefault="006463F2" w:rsidP="006463F2">
      <w:r>
        <w:t>Diese theoretische Basis stellt die Frage, wie das FRZK in methodisch abgesicherten Feldversuchen überprüft und weiterentwickelt werden kann. Ziel dieses Kapitels ist es daher, einen strukturierten Beweisansatz zu entwickeln, der zugleich die erkenntnistheoretische Eigenart des FRZK berücksichtigt. Anders als klassische physikalische Modelle, die auf objektive Messgrößen abzielen, geht es hier um die Prüfung von funktionalen Beziehungen und Zuweisungsstrukturen, die nur relational und kontextabhängig existieren [5].</w:t>
      </w:r>
    </w:p>
    <w:p w14:paraId="1DF3D529" w14:textId="77777777" w:rsidR="006463F2" w:rsidRDefault="006463F2" w:rsidP="006463F2">
      <w:pPr>
        <w:pStyle w:val="StandardWeb"/>
      </w:pPr>
      <w:r>
        <w:t>Ausgehend von dieser Perspektive ergeben sich drei leitende Forschungsfragen:</w:t>
      </w:r>
    </w:p>
    <w:p w14:paraId="2E453FD1" w14:textId="77777777" w:rsidR="006463F2" w:rsidRDefault="006463F2" w:rsidP="006463F2">
      <w:pPr>
        <w:pStyle w:val="Listenabsatz"/>
        <w:numPr>
          <w:ilvl w:val="0"/>
          <w:numId w:val="23"/>
        </w:numPr>
      </w:pPr>
      <w:r>
        <w:rPr>
          <w:rStyle w:val="Fett"/>
        </w:rPr>
        <w:t>Was kann in einem funktional konstruierten Modell überhaupt „bewiesen“ werden?</w:t>
      </w:r>
      <w:r>
        <w:br/>
        <w:t>Klassische empirische Forschung basiert oft auf einem Korrespondenzmodell zwischen Theorie und objektiv gegebener Realität. Das FRZK jedoch postuliert, dass die „Realität“ selbst ein Effekt funktionaler Zuweisungen ist [4][6]. Diese erkenntnistheoretische Position erfordert eine präzise Klärung, wie sich empirische Daten und funktionale Modelle überhaupt aufeinander beziehen.</w:t>
      </w:r>
    </w:p>
    <w:p w14:paraId="31ADF810" w14:textId="77777777" w:rsidR="006463F2" w:rsidRDefault="006463F2" w:rsidP="006463F2">
      <w:pPr>
        <w:pStyle w:val="Listenabsatz"/>
        <w:numPr>
          <w:ilvl w:val="0"/>
          <w:numId w:val="23"/>
        </w:numPr>
      </w:pPr>
      <w:r>
        <w:rPr>
          <w:rStyle w:val="Fett"/>
        </w:rPr>
        <w:t>Wie können Feldversuche und Experimente gestaltet werden, um die funktionalen Zuweisungen des FRZK sichtbar zu machen?</w:t>
      </w:r>
      <w:r>
        <w:br/>
        <w:t>Während in traditionellen Experimenten gemessen wird, ob ein Modell Phänomene korrekt abbildet, fragt das FRZK, wie sich Beobachtungen durch die gewählten Zuweisungen konstituieren [7]. Die Operationalisierung dieser Zuweisungen stellt somit eine methodische Schlüsselaufgabe dar.</w:t>
      </w:r>
    </w:p>
    <w:p w14:paraId="7A124E0F" w14:textId="77777777" w:rsidR="006463F2" w:rsidRDefault="006463F2" w:rsidP="006463F2">
      <w:pPr>
        <w:pStyle w:val="Listenabsatz"/>
        <w:numPr>
          <w:ilvl w:val="0"/>
          <w:numId w:val="23"/>
        </w:numPr>
      </w:pPr>
      <w:r>
        <w:rPr>
          <w:rStyle w:val="Fett"/>
        </w:rPr>
        <w:t>Welche Rolle spielt dabei der Beobachter selbst als Teil des Bezugssystems?</w:t>
      </w:r>
      <w:r>
        <w:br/>
        <w:t>Kapitel 4 betonte die Rolle des Beobachters als aktiven Konstrukteur von Bedeutungszuweisungen [4]. In Kapitel 5 wird daher auch die Reflexivität des Forschungsprozesses thematisiert: Feldversuche sind nicht neutral, sondern Teil eines epistemischen Systems, in dem der Beobachter selbst in die Konstruktion eingebunden ist [8].</w:t>
      </w:r>
    </w:p>
    <w:p w14:paraId="2B4983E5" w14:textId="77777777" w:rsidR="006463F2" w:rsidRDefault="006463F2" w:rsidP="006463F2">
      <w:r>
        <w:t xml:space="preserve">Diese Fragen bilden den Leitfaden für die folgenden Abschnitte. Während </w:t>
      </w:r>
      <w:r>
        <w:rPr>
          <w:rStyle w:val="Fett"/>
        </w:rPr>
        <w:t>Abschnitt 5.2</w:t>
      </w:r>
      <w:r>
        <w:t xml:space="preserve"> zunächst die erkenntnistheoretischen Grundlagen des Beweisansatzes präzisiert, werden in den darauffolgenden Kapiteln konkrete methodische Zugänge, Feldversuche und Forschungsdesigns erarbeitet. So wird das FRZK nicht als abgeschlossenes Theoriegebäude „bewiesen“, sondern als offenes, reflexives Forschungsinstrument empirisch anschlussfähig gemacht.</w:t>
      </w:r>
    </w:p>
    <w:p w14:paraId="3E55B824" w14:textId="77777777" w:rsidR="006463F2" w:rsidRDefault="00BD2758" w:rsidP="006463F2">
      <w:r>
        <w:lastRenderedPageBreak/>
        <w:pict w14:anchorId="7CFB8135">
          <v:rect id="_x0000_i1026" style="width:0;height:1.5pt" o:hralign="center" o:hrstd="t" o:hr="t" fillcolor="#a0a0a0" stroked="f"/>
        </w:pict>
      </w:r>
    </w:p>
    <w:p w14:paraId="6D012C6F" w14:textId="77777777" w:rsidR="006463F2" w:rsidRPr="00AF6107" w:rsidRDefault="006463F2" w:rsidP="006463F2">
      <w:pPr>
        <w:pStyle w:val="berschrift2"/>
        <w:rPr>
          <w:lang w:eastAsia="de-DE"/>
        </w:rPr>
      </w:pPr>
      <w:r w:rsidRPr="00AF6107">
        <w:rPr>
          <w:lang w:eastAsia="de-DE"/>
        </w:rPr>
        <w:t>5.2 Beweisansatz: Theoretische Fundierung</w:t>
      </w:r>
    </w:p>
    <w:p w14:paraId="611296BB" w14:textId="77777777" w:rsidR="006463F2" w:rsidRPr="00AF6107" w:rsidRDefault="006463F2" w:rsidP="006463F2">
      <w:pPr>
        <w:rPr>
          <w:lang w:eastAsia="de-DE"/>
        </w:rPr>
      </w:pPr>
      <w:r w:rsidRPr="00AF6107">
        <w:rPr>
          <w:lang w:eastAsia="de-DE"/>
        </w:rPr>
        <w:t xml:space="preserve">Die Konstruktion eines Beweisansatzes für das </w:t>
      </w:r>
      <w:r>
        <w:rPr>
          <w:lang w:eastAsia="de-DE"/>
        </w:rPr>
        <w:t>Funktionales Raum-Zeit-Kohärenzsystem</w:t>
      </w:r>
      <w:r w:rsidRPr="00AF6107">
        <w:rPr>
          <w:lang w:eastAsia="de-DE"/>
        </w:rPr>
        <w:t xml:space="preserve"> (</w:t>
      </w:r>
      <w:r>
        <w:rPr>
          <w:lang w:eastAsia="de-DE"/>
        </w:rPr>
        <w:t>FRZK</w:t>
      </w:r>
      <w:r w:rsidRPr="00AF6107">
        <w:rPr>
          <w:lang w:eastAsia="de-DE"/>
        </w:rPr>
        <w:t xml:space="preserve">) erfordert ein Umdenken gegenüber klassischen naturwissenschaftlichen Beweislogiken. Während in traditionellen Modellen der „Beweis“ als Übereinstimmung mit einer objektiv gegebenen Realität gilt, postuliert das </w:t>
      </w:r>
      <w:r>
        <w:rPr>
          <w:lang w:eastAsia="de-DE"/>
        </w:rPr>
        <w:t>FRZK</w:t>
      </w:r>
      <w:r w:rsidRPr="00AF6107">
        <w:rPr>
          <w:lang w:eastAsia="de-DE"/>
        </w:rPr>
        <w:t>, dass „Realität“ selbst erst durch funktionale Zuweisung innerhalb eines epistemischen Feldes entsteht (vgl. [4:3]). Dieses Grundverständnis verändert die Rolle empirischer Forschung und führt zu einem Beweisbegriff, der nicht auf Objektivität, sondern auf Kohärenz, Reflexivität und Funktionalität zielt.</w:t>
      </w:r>
    </w:p>
    <w:p w14:paraId="212D803E" w14:textId="77777777" w:rsidR="006463F2" w:rsidRDefault="00BD2758" w:rsidP="006463F2">
      <w:r>
        <w:pict w14:anchorId="3BB7859A">
          <v:rect id="_x0000_i1027" style="width:0;height:1.5pt" o:hralign="center" o:hrstd="t" o:hr="t" fillcolor="#a0a0a0" stroked="f"/>
        </w:pict>
      </w:r>
    </w:p>
    <w:p w14:paraId="699D8B1C" w14:textId="77777777" w:rsidR="006463F2" w:rsidRPr="00AF6107" w:rsidRDefault="006463F2" w:rsidP="006463F2">
      <w:pPr>
        <w:pStyle w:val="berschrift3"/>
        <w:rPr>
          <w:lang w:eastAsia="de-DE"/>
        </w:rPr>
      </w:pPr>
      <w:r w:rsidRPr="00AF6107">
        <w:rPr>
          <w:lang w:eastAsia="de-DE"/>
        </w:rPr>
        <w:t>5.2.1 Funktionaler Beweis statt Korrespondenzmodell</w:t>
      </w:r>
    </w:p>
    <w:p w14:paraId="5BEEA10A" w14:textId="77777777" w:rsidR="006463F2" w:rsidRPr="00AF6107" w:rsidRDefault="006463F2" w:rsidP="006463F2">
      <w:pPr>
        <w:rPr>
          <w:lang w:eastAsia="de-DE"/>
        </w:rPr>
      </w:pPr>
      <w:r w:rsidRPr="00AF6107">
        <w:rPr>
          <w:lang w:eastAsia="de-DE"/>
        </w:rPr>
        <w:t xml:space="preserve">Im klassischen Korrespondenzmodell ist der Beweis eine Feststellung von Wahrheit durch Vergleich von Modell und Realität (z. B. Krantz et al. 1971 [5:7]). Das </w:t>
      </w:r>
      <w:r>
        <w:rPr>
          <w:lang w:eastAsia="de-DE"/>
        </w:rPr>
        <w:t>FRZK</w:t>
      </w:r>
      <w:r w:rsidRPr="00AF6107">
        <w:rPr>
          <w:lang w:eastAsia="de-DE"/>
        </w:rPr>
        <w:t xml:space="preserve"> hingegen basiert auf der Einsicht, dass Wahrheit nicht objektiv vorgegeben ist, sondern im relationalen Gefüge der Zuweisungen emergiert. Ernst von Glasersfeld beschreibt diesen Perspektivwechsel prägnant:</w:t>
      </w:r>
    </w:p>
    <w:p w14:paraId="6CA4DDBD" w14:textId="77777777" w:rsidR="006463F2" w:rsidRPr="00AF6107" w:rsidRDefault="006463F2" w:rsidP="006463F2">
      <w:pPr>
        <w:rPr>
          <w:lang w:eastAsia="de-DE"/>
        </w:rPr>
      </w:pPr>
      <w:r w:rsidRPr="00AF6107">
        <w:rPr>
          <w:lang w:eastAsia="de-DE"/>
        </w:rPr>
        <w:t>„Wissen ist nicht ein Abbild der Realität, sondern eine Konstruktion des Beobachters.“ [9]</w:t>
      </w:r>
    </w:p>
    <w:p w14:paraId="0BDB8516" w14:textId="77777777" w:rsidR="006463F2" w:rsidRDefault="006463F2" w:rsidP="006463F2">
      <w:pPr>
        <w:rPr>
          <w:lang w:eastAsia="de-DE"/>
        </w:rPr>
      </w:pPr>
      <w:r w:rsidRPr="00AF6107">
        <w:rPr>
          <w:lang w:eastAsia="de-DE"/>
        </w:rPr>
        <w:t xml:space="preserve">Für das </w:t>
      </w:r>
      <w:r>
        <w:rPr>
          <w:lang w:eastAsia="de-DE"/>
        </w:rPr>
        <w:t>FRZK</w:t>
      </w:r>
      <w:r w:rsidRPr="00AF6107">
        <w:rPr>
          <w:lang w:eastAsia="de-DE"/>
        </w:rPr>
        <w:t xml:space="preserve"> bedeutet das: Ein funktionaler Beweis ist die demonstrierbare Kohärenz der Zuweisungen und deren emergente Bedeutung innerhalb eines konsistenten Funktionssystems (vgl. [4:3], [4:4]). Der Beweis ist relational – er liegt nicht „außerhalb“, sondern im Strukturzusammenhang des Modells selbst.</w:t>
      </w:r>
    </w:p>
    <w:p w14:paraId="7F8D6658" w14:textId="77777777" w:rsidR="006463F2" w:rsidRDefault="006463F2" w:rsidP="006463F2">
      <w:pPr>
        <w:rPr>
          <w:sz w:val="27"/>
          <w:szCs w:val="27"/>
          <w:lang w:eastAsia="de-DE"/>
        </w:rPr>
      </w:pPr>
      <w:r>
        <w:rPr>
          <w:rStyle w:val="Fett"/>
          <w:b w:val="0"/>
          <w:bCs w:val="0"/>
        </w:rPr>
        <w:t>Es folgt nun die funktionale Geltung im FRZK als Kriterienstruktur eines kohärenten Beweises</w:t>
      </w:r>
    </w:p>
    <w:p w14:paraId="6E9C3780" w14:textId="552AF4A1" w:rsidR="006463F2" w:rsidRPr="00822A07" w:rsidRDefault="006463F2" w:rsidP="006463F2">
      <w:r w:rsidRPr="00822A07">
        <w:t>Im funktionalen Bezugssystem des FRZK ersetzt kohärente Strukturpassung den klassischen Wahrheitsbegriff. Der Beweis erhält seine epistemische Gültigkeit nicht durch Referenz auf eine extern überprüfbare Realität, sondern durch die interne Anschlussfähigkeit, Dynamikstabilität und Reflexionsfähigkeit des Modells.</w:t>
      </w:r>
    </w:p>
    <w:p w14:paraId="6BF7B242" w14:textId="7535DF17" w:rsidR="00CE27E9" w:rsidRDefault="00822A07" w:rsidP="00822A07">
      <w:pPr>
        <w:jc w:val="center"/>
      </w:pPr>
      <w:r w:rsidRPr="00822A07">
        <w:rPr>
          <w:noProof/>
        </w:rPr>
        <w:drawing>
          <wp:inline distT="0" distB="0" distL="0" distR="0" wp14:anchorId="5E344862" wp14:editId="112B7370">
            <wp:extent cx="4636800" cy="2880000"/>
            <wp:effectExtent l="0" t="0" r="0"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5">
                      <a:extLst>
                        <a:ext uri="{28A0092B-C50C-407E-A947-70E740481C1C}">
                          <a14:useLocalDpi xmlns:a14="http://schemas.microsoft.com/office/drawing/2010/main" val="0"/>
                        </a:ext>
                      </a:extLst>
                    </a:blip>
                    <a:srcRect b="7014"/>
                    <a:stretch/>
                  </pic:blipFill>
                  <pic:spPr bwMode="auto">
                    <a:xfrm>
                      <a:off x="0" y="0"/>
                      <a:ext cx="4636800" cy="2880000"/>
                    </a:xfrm>
                    <a:prstGeom prst="rect">
                      <a:avLst/>
                    </a:prstGeom>
                    <a:noFill/>
                    <a:ln>
                      <a:noFill/>
                    </a:ln>
                    <a:extLst>
                      <a:ext uri="{53640926-AAD7-44D8-BBD7-CCE9431645EC}">
                        <a14:shadowObscured xmlns:a14="http://schemas.microsoft.com/office/drawing/2010/main"/>
                      </a:ext>
                    </a:extLst>
                  </pic:spPr>
                </pic:pic>
              </a:graphicData>
            </a:graphic>
          </wp:inline>
        </w:drawing>
      </w:r>
    </w:p>
    <w:p w14:paraId="77274EE9" w14:textId="2484AE9D" w:rsidR="00822A07" w:rsidRDefault="00822A07" w:rsidP="00822A07">
      <w:pPr>
        <w:pStyle w:val="Abbildungsname"/>
      </w:pPr>
      <w:r>
        <w:t>Abb. 1 - Kriterien funktionaler Geltung im FRZK</w:t>
      </w:r>
    </w:p>
    <w:p w14:paraId="7A0A1B50" w14:textId="77777777" w:rsidR="006463F2" w:rsidRDefault="006463F2" w:rsidP="006463F2">
      <w:r>
        <w:t xml:space="preserve">Zur Orientierung können folgende </w:t>
      </w:r>
      <w:r>
        <w:rPr>
          <w:rStyle w:val="Fett"/>
        </w:rPr>
        <w:t>funktionale Beweiskriterien</w:t>
      </w:r>
      <w:r>
        <w:t xml:space="preserve"> herangezogen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5"/>
        <w:gridCol w:w="3402"/>
        <w:gridCol w:w="2835"/>
      </w:tblGrid>
      <w:tr w:rsidR="006463F2" w14:paraId="42DBD9C5" w14:textId="77777777" w:rsidTr="00992AF9">
        <w:trPr>
          <w:tblHeader/>
          <w:tblCellSpacing w:w="15" w:type="dxa"/>
        </w:trPr>
        <w:tc>
          <w:tcPr>
            <w:tcW w:w="2790" w:type="dxa"/>
            <w:vAlign w:val="center"/>
            <w:hideMark/>
          </w:tcPr>
          <w:p w14:paraId="70C6C8F7" w14:textId="77777777" w:rsidR="006463F2" w:rsidRDefault="006463F2" w:rsidP="00992AF9">
            <w:pPr>
              <w:pStyle w:val="Tabelleninhalt"/>
            </w:pPr>
            <w:r>
              <w:rPr>
                <w:rStyle w:val="Fett"/>
              </w:rPr>
              <w:t>Kriterium</w:t>
            </w:r>
          </w:p>
        </w:tc>
        <w:tc>
          <w:tcPr>
            <w:tcW w:w="3372" w:type="dxa"/>
            <w:vAlign w:val="center"/>
            <w:hideMark/>
          </w:tcPr>
          <w:p w14:paraId="1518A425" w14:textId="77777777" w:rsidR="006463F2" w:rsidRDefault="006463F2" w:rsidP="00992AF9">
            <w:pPr>
              <w:pStyle w:val="Tabelleninhalt"/>
            </w:pPr>
            <w:r>
              <w:rPr>
                <w:rStyle w:val="Fett"/>
              </w:rPr>
              <w:t>Beschreibung</w:t>
            </w:r>
          </w:p>
        </w:tc>
        <w:tc>
          <w:tcPr>
            <w:tcW w:w="2790" w:type="dxa"/>
            <w:vAlign w:val="center"/>
            <w:hideMark/>
          </w:tcPr>
          <w:p w14:paraId="6D5DCF05" w14:textId="77777777" w:rsidR="006463F2" w:rsidRDefault="006463F2" w:rsidP="00992AF9">
            <w:pPr>
              <w:pStyle w:val="Tabelleninhalt"/>
            </w:pPr>
            <w:r>
              <w:rPr>
                <w:rStyle w:val="Fett"/>
              </w:rPr>
              <w:t>Funktion im Beweisprozess</w:t>
            </w:r>
          </w:p>
        </w:tc>
      </w:tr>
      <w:tr w:rsidR="006463F2" w:rsidRPr="007E4DB2" w14:paraId="5CA9D5E8" w14:textId="77777777" w:rsidTr="00992AF9">
        <w:trPr>
          <w:tblCellSpacing w:w="15" w:type="dxa"/>
        </w:trPr>
        <w:tc>
          <w:tcPr>
            <w:tcW w:w="2790" w:type="dxa"/>
            <w:vAlign w:val="center"/>
            <w:hideMark/>
          </w:tcPr>
          <w:p w14:paraId="073E243A" w14:textId="77777777" w:rsidR="006463F2" w:rsidRPr="007E4DB2" w:rsidRDefault="006463F2" w:rsidP="00992AF9">
            <w:pPr>
              <w:pStyle w:val="Tabelleninhalt"/>
            </w:pPr>
            <w:r w:rsidRPr="007E4DB2">
              <w:rPr>
                <w:rStyle w:val="Fett"/>
                <w:b w:val="0"/>
                <w:bCs w:val="0"/>
              </w:rPr>
              <w:t>Transitive Zuweisung</w:t>
            </w:r>
          </w:p>
        </w:tc>
        <w:tc>
          <w:tcPr>
            <w:tcW w:w="3372" w:type="dxa"/>
            <w:vAlign w:val="center"/>
            <w:hideMark/>
          </w:tcPr>
          <w:p w14:paraId="76006762" w14:textId="77777777" w:rsidR="006463F2" w:rsidRPr="007E4DB2" w:rsidRDefault="006463F2" w:rsidP="00992AF9">
            <w:pPr>
              <w:pStyle w:val="Tabelleninhalt"/>
            </w:pPr>
            <w:r w:rsidRPr="007E4DB2">
              <w:t xml:space="preserve">Zuweisungen sind widerspruchsfrei </w:t>
            </w:r>
            <w:proofErr w:type="gramStart"/>
            <w:r w:rsidRPr="007E4DB2">
              <w:t>über mehrere funktionale Ebenen</w:t>
            </w:r>
            <w:proofErr w:type="gramEnd"/>
            <w:r w:rsidRPr="007E4DB2">
              <w:t xml:space="preserve"> hinweg rekonstruierbar.</w:t>
            </w:r>
          </w:p>
        </w:tc>
        <w:tc>
          <w:tcPr>
            <w:tcW w:w="2790" w:type="dxa"/>
            <w:vAlign w:val="center"/>
            <w:hideMark/>
          </w:tcPr>
          <w:p w14:paraId="088B2227" w14:textId="77777777" w:rsidR="006463F2" w:rsidRPr="007E4DB2" w:rsidRDefault="006463F2" w:rsidP="00992AF9">
            <w:pPr>
              <w:pStyle w:val="Tabelleninhalt"/>
            </w:pPr>
            <w:r w:rsidRPr="007E4DB2">
              <w:t>Sichert logische Kohärenz des Funktionszusammenhangs.</w:t>
            </w:r>
          </w:p>
        </w:tc>
      </w:tr>
      <w:tr w:rsidR="006463F2" w:rsidRPr="007E4DB2" w14:paraId="31A061CA" w14:textId="77777777" w:rsidTr="00992AF9">
        <w:trPr>
          <w:tblCellSpacing w:w="15" w:type="dxa"/>
        </w:trPr>
        <w:tc>
          <w:tcPr>
            <w:tcW w:w="2790" w:type="dxa"/>
            <w:vAlign w:val="center"/>
            <w:hideMark/>
          </w:tcPr>
          <w:p w14:paraId="7A8017C5" w14:textId="77777777" w:rsidR="006463F2" w:rsidRPr="007E4DB2" w:rsidRDefault="006463F2" w:rsidP="00992AF9">
            <w:pPr>
              <w:pStyle w:val="Tabelleninhalt"/>
            </w:pPr>
            <w:r w:rsidRPr="007E4DB2">
              <w:rPr>
                <w:rStyle w:val="Fett"/>
                <w:b w:val="0"/>
                <w:bCs w:val="0"/>
              </w:rPr>
              <w:t>Kontextuelle Rückführbarkeit</w:t>
            </w:r>
          </w:p>
        </w:tc>
        <w:tc>
          <w:tcPr>
            <w:tcW w:w="3372" w:type="dxa"/>
            <w:vAlign w:val="center"/>
            <w:hideMark/>
          </w:tcPr>
          <w:p w14:paraId="1F1CCF63" w14:textId="77777777" w:rsidR="006463F2" w:rsidRPr="007E4DB2" w:rsidRDefault="006463F2" w:rsidP="00992AF9">
            <w:pPr>
              <w:pStyle w:val="Tabelleninhalt"/>
            </w:pPr>
            <w:r w:rsidRPr="007E4DB2">
              <w:t>Die Relation bleibt innerhalb ihres originären Kontextes nachvollziehbar.</w:t>
            </w:r>
          </w:p>
        </w:tc>
        <w:tc>
          <w:tcPr>
            <w:tcW w:w="2790" w:type="dxa"/>
            <w:vAlign w:val="center"/>
            <w:hideMark/>
          </w:tcPr>
          <w:p w14:paraId="2F4CD551" w14:textId="77777777" w:rsidR="006463F2" w:rsidRPr="007E4DB2" w:rsidRDefault="006463F2" w:rsidP="00992AF9">
            <w:pPr>
              <w:pStyle w:val="Tabelleninhalt"/>
            </w:pPr>
            <w:r w:rsidRPr="007E4DB2">
              <w:t>Vermeidet willkürliche Emergenzdeutungen.</w:t>
            </w:r>
          </w:p>
        </w:tc>
      </w:tr>
      <w:tr w:rsidR="006463F2" w:rsidRPr="007E4DB2" w14:paraId="2C362A8F" w14:textId="77777777" w:rsidTr="00992AF9">
        <w:trPr>
          <w:tblCellSpacing w:w="15" w:type="dxa"/>
        </w:trPr>
        <w:tc>
          <w:tcPr>
            <w:tcW w:w="2790" w:type="dxa"/>
            <w:vAlign w:val="center"/>
            <w:hideMark/>
          </w:tcPr>
          <w:p w14:paraId="70D4424B" w14:textId="77777777" w:rsidR="006463F2" w:rsidRPr="007E4DB2" w:rsidRDefault="006463F2" w:rsidP="00992AF9">
            <w:pPr>
              <w:pStyle w:val="Tabelleninhalt"/>
            </w:pPr>
            <w:r w:rsidRPr="007E4DB2">
              <w:rPr>
                <w:rStyle w:val="Fett"/>
                <w:b w:val="0"/>
                <w:bCs w:val="0"/>
              </w:rPr>
              <w:t>Emergente Stabilität</w:t>
            </w:r>
          </w:p>
        </w:tc>
        <w:tc>
          <w:tcPr>
            <w:tcW w:w="3372" w:type="dxa"/>
            <w:vAlign w:val="center"/>
            <w:hideMark/>
          </w:tcPr>
          <w:p w14:paraId="1A003521" w14:textId="77777777" w:rsidR="006463F2" w:rsidRPr="007E4DB2" w:rsidRDefault="006463F2" w:rsidP="00992AF9">
            <w:pPr>
              <w:pStyle w:val="Tabelleninhalt"/>
            </w:pPr>
            <w:r w:rsidRPr="007E4DB2">
              <w:t>Neue Strukturen erzeugen sich regelhaft aus der Funktion ihrer Vorbedingungen.</w:t>
            </w:r>
          </w:p>
        </w:tc>
        <w:tc>
          <w:tcPr>
            <w:tcW w:w="2790" w:type="dxa"/>
            <w:vAlign w:val="center"/>
            <w:hideMark/>
          </w:tcPr>
          <w:p w14:paraId="1502EC76" w14:textId="77777777" w:rsidR="006463F2" w:rsidRPr="007E4DB2" w:rsidRDefault="006463F2" w:rsidP="00992AF9">
            <w:pPr>
              <w:pStyle w:val="Tabelleninhalt"/>
            </w:pPr>
            <w:r w:rsidRPr="007E4DB2">
              <w:t>Zeigt Systemkohärenz durch Re-Produktivität.</w:t>
            </w:r>
          </w:p>
        </w:tc>
      </w:tr>
      <w:tr w:rsidR="006463F2" w:rsidRPr="007E4DB2" w14:paraId="6E219DAF" w14:textId="77777777" w:rsidTr="00992AF9">
        <w:trPr>
          <w:tblCellSpacing w:w="15" w:type="dxa"/>
        </w:trPr>
        <w:tc>
          <w:tcPr>
            <w:tcW w:w="2790" w:type="dxa"/>
            <w:vAlign w:val="center"/>
            <w:hideMark/>
          </w:tcPr>
          <w:p w14:paraId="350B7290" w14:textId="77777777" w:rsidR="006463F2" w:rsidRPr="007E4DB2" w:rsidRDefault="006463F2" w:rsidP="00992AF9">
            <w:pPr>
              <w:pStyle w:val="Tabelleninhalt"/>
            </w:pPr>
            <w:r w:rsidRPr="007E4DB2">
              <w:rPr>
                <w:rStyle w:val="Fett"/>
                <w:b w:val="0"/>
                <w:bCs w:val="0"/>
              </w:rPr>
              <w:t>Reflexive Beobachtbarkeit</w:t>
            </w:r>
          </w:p>
        </w:tc>
        <w:tc>
          <w:tcPr>
            <w:tcW w:w="3372" w:type="dxa"/>
            <w:vAlign w:val="center"/>
            <w:hideMark/>
          </w:tcPr>
          <w:p w14:paraId="1336C426" w14:textId="77777777" w:rsidR="006463F2" w:rsidRPr="007E4DB2" w:rsidRDefault="006463F2" w:rsidP="00992AF9">
            <w:pPr>
              <w:pStyle w:val="Tabelleninhalt"/>
            </w:pPr>
            <w:r w:rsidRPr="007E4DB2">
              <w:t>Die Struktur kann ihre eigenen Geltungsbedingungen offenlegen.</w:t>
            </w:r>
          </w:p>
        </w:tc>
        <w:tc>
          <w:tcPr>
            <w:tcW w:w="2790" w:type="dxa"/>
            <w:vAlign w:val="center"/>
            <w:hideMark/>
          </w:tcPr>
          <w:p w14:paraId="370FA45F" w14:textId="77777777" w:rsidR="006463F2" w:rsidRPr="007E4DB2" w:rsidRDefault="006463F2" w:rsidP="00992AF9">
            <w:pPr>
              <w:pStyle w:val="Tabelleninhalt"/>
            </w:pPr>
            <w:r w:rsidRPr="007E4DB2">
              <w:t>Ermöglicht Selbstbezug als Teil der Validität.</w:t>
            </w:r>
          </w:p>
        </w:tc>
      </w:tr>
      <w:tr w:rsidR="006463F2" w:rsidRPr="007E4DB2" w14:paraId="0BB2D4B5" w14:textId="77777777" w:rsidTr="00992AF9">
        <w:trPr>
          <w:tblCellSpacing w:w="15" w:type="dxa"/>
        </w:trPr>
        <w:tc>
          <w:tcPr>
            <w:tcW w:w="2790" w:type="dxa"/>
            <w:vAlign w:val="center"/>
            <w:hideMark/>
          </w:tcPr>
          <w:p w14:paraId="1AAB463A" w14:textId="77777777" w:rsidR="006463F2" w:rsidRPr="007E4DB2" w:rsidRDefault="006463F2" w:rsidP="00992AF9">
            <w:pPr>
              <w:pStyle w:val="Tabelleninhalt"/>
            </w:pPr>
            <w:r w:rsidRPr="007E4DB2">
              <w:rPr>
                <w:rStyle w:val="Fett"/>
                <w:b w:val="0"/>
                <w:bCs w:val="0"/>
              </w:rPr>
              <w:t>Anschlussvielfalt</w:t>
            </w:r>
          </w:p>
        </w:tc>
        <w:tc>
          <w:tcPr>
            <w:tcW w:w="3372" w:type="dxa"/>
            <w:vAlign w:val="center"/>
            <w:hideMark/>
          </w:tcPr>
          <w:p w14:paraId="37B1D817" w14:textId="77777777" w:rsidR="006463F2" w:rsidRPr="007E4DB2" w:rsidRDefault="006463F2" w:rsidP="00992AF9">
            <w:pPr>
              <w:pStyle w:val="Tabelleninhalt"/>
            </w:pPr>
            <w:r w:rsidRPr="007E4DB2">
              <w:t>Das Modell erlaubt mehrere valide Perspektiven ohne Inkohärenz.</w:t>
            </w:r>
          </w:p>
        </w:tc>
        <w:tc>
          <w:tcPr>
            <w:tcW w:w="2790" w:type="dxa"/>
            <w:vAlign w:val="center"/>
            <w:hideMark/>
          </w:tcPr>
          <w:p w14:paraId="3CBBCCF6" w14:textId="77777777" w:rsidR="006463F2" w:rsidRPr="007E4DB2" w:rsidRDefault="006463F2" w:rsidP="00992AF9">
            <w:pPr>
              <w:pStyle w:val="Tabelleninhalt"/>
            </w:pPr>
            <w:r w:rsidRPr="007E4DB2">
              <w:t>Indikator für systemische Offenheit.</w:t>
            </w:r>
          </w:p>
        </w:tc>
      </w:tr>
      <w:tr w:rsidR="006463F2" w:rsidRPr="007E4DB2" w14:paraId="1DFDE35A" w14:textId="77777777" w:rsidTr="00992AF9">
        <w:trPr>
          <w:tblCellSpacing w:w="15" w:type="dxa"/>
        </w:trPr>
        <w:tc>
          <w:tcPr>
            <w:tcW w:w="2790" w:type="dxa"/>
            <w:vAlign w:val="center"/>
            <w:hideMark/>
          </w:tcPr>
          <w:p w14:paraId="6696E756" w14:textId="77777777" w:rsidR="006463F2" w:rsidRPr="007E4DB2" w:rsidRDefault="006463F2" w:rsidP="00992AF9">
            <w:pPr>
              <w:pStyle w:val="Tabelleninhalt"/>
            </w:pPr>
            <w:r w:rsidRPr="007E4DB2">
              <w:rPr>
                <w:rStyle w:val="Fett"/>
                <w:b w:val="0"/>
                <w:bCs w:val="0"/>
              </w:rPr>
              <w:t>Fehlertoleranz und Reorganisationsfähigkeit</w:t>
            </w:r>
          </w:p>
        </w:tc>
        <w:tc>
          <w:tcPr>
            <w:tcW w:w="3372" w:type="dxa"/>
            <w:vAlign w:val="center"/>
            <w:hideMark/>
          </w:tcPr>
          <w:p w14:paraId="4635C84D" w14:textId="77777777" w:rsidR="006463F2" w:rsidRPr="007E4DB2" w:rsidRDefault="006463F2" w:rsidP="00992AF9">
            <w:pPr>
              <w:pStyle w:val="Tabelleninhalt"/>
            </w:pPr>
            <w:r w:rsidRPr="007E4DB2">
              <w:t>Das Modell kann sich bei Inkohärenz selbst reorganisieren.</w:t>
            </w:r>
          </w:p>
        </w:tc>
        <w:tc>
          <w:tcPr>
            <w:tcW w:w="2790" w:type="dxa"/>
            <w:vAlign w:val="center"/>
            <w:hideMark/>
          </w:tcPr>
          <w:p w14:paraId="185207B2" w14:textId="77777777" w:rsidR="006463F2" w:rsidRPr="007E4DB2" w:rsidRDefault="006463F2" w:rsidP="00992AF9">
            <w:pPr>
              <w:pStyle w:val="Tabelleninhalt"/>
            </w:pPr>
            <w:r w:rsidRPr="007E4DB2">
              <w:t>Dynamisches Validitätskriterium.</w:t>
            </w:r>
          </w:p>
        </w:tc>
      </w:tr>
    </w:tbl>
    <w:p w14:paraId="3007A333" w14:textId="77777777" w:rsidR="006463F2" w:rsidRPr="00822A07" w:rsidRDefault="006463F2" w:rsidP="00822A07">
      <w:r w:rsidRPr="00822A07">
        <w:t>Diese Kriterien ersetzen keine klassischen Beweisformen, sondern erweitern sie systemisch: Geltung wird hier durch Funktionsfähigkeit innerhalb eines selbstreferentiellen, beobachterabhängigen Kontextes erzeugt – nicht durch objektive Korrespondenz.</w:t>
      </w:r>
    </w:p>
    <w:p w14:paraId="6F0CB9E4" w14:textId="54828F5E" w:rsidR="00CE27E9" w:rsidRDefault="00CE27E9" w:rsidP="00822A07">
      <w:pPr>
        <w:pStyle w:val="StandardWeb"/>
        <w:jc w:val="center"/>
        <w:rPr>
          <w:rStyle w:val="Fett"/>
        </w:rPr>
      </w:pPr>
      <w:r>
        <w:rPr>
          <w:b/>
          <w:bCs/>
          <w:noProof/>
        </w:rPr>
        <w:drawing>
          <wp:inline distT="0" distB="0" distL="0" distR="0" wp14:anchorId="416CEBFB" wp14:editId="3359E45D">
            <wp:extent cx="4318851" cy="2320506"/>
            <wp:effectExtent l="0" t="0" r="5715" b="381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rotWithShape="1">
                    <a:blip r:embed="rId6" cstate="print">
                      <a:extLst>
                        <a:ext uri="{28A0092B-C50C-407E-A947-70E740481C1C}">
                          <a14:useLocalDpi xmlns:a14="http://schemas.microsoft.com/office/drawing/2010/main" val="0"/>
                        </a:ext>
                      </a:extLst>
                    </a:blip>
                    <a:srcRect t="9886" b="9520"/>
                    <a:stretch/>
                  </pic:blipFill>
                  <pic:spPr bwMode="auto">
                    <a:xfrm>
                      <a:off x="0" y="0"/>
                      <a:ext cx="4320001" cy="2321124"/>
                    </a:xfrm>
                    <a:prstGeom prst="rect">
                      <a:avLst/>
                    </a:prstGeom>
                    <a:ln>
                      <a:noFill/>
                    </a:ln>
                    <a:extLst>
                      <a:ext uri="{53640926-AAD7-44D8-BBD7-CCE9431645EC}">
                        <a14:shadowObscured xmlns:a14="http://schemas.microsoft.com/office/drawing/2010/main"/>
                      </a:ext>
                    </a:extLst>
                  </pic:spPr>
                </pic:pic>
              </a:graphicData>
            </a:graphic>
          </wp:inline>
        </w:drawing>
      </w:r>
    </w:p>
    <w:p w14:paraId="2FC2FA71" w14:textId="19AE94E3" w:rsidR="00822A07" w:rsidRPr="00822A07" w:rsidRDefault="00822A07" w:rsidP="00822A07">
      <w:pPr>
        <w:pStyle w:val="Abbildungsname"/>
      </w:pPr>
      <w:r w:rsidRPr="00822A07">
        <w:t>Abb. 2 – Morphisches Netz funktionaler Zuweisung</w:t>
      </w:r>
    </w:p>
    <w:p w14:paraId="300CBB83" w14:textId="4A16FDA0" w:rsidR="006463F2" w:rsidRPr="00822A07" w:rsidRDefault="006463F2" w:rsidP="00822A07">
      <w:r w:rsidRPr="00822A07">
        <w:t>Ein funktionaler Beweis ist kohärent, wenn er sich selbst strukturell reproduzieren und reflexiv nachvollziehen lässt.</w:t>
      </w:r>
    </w:p>
    <w:p w14:paraId="73825E36" w14:textId="77777777" w:rsidR="006463F2" w:rsidRPr="00AF6107" w:rsidRDefault="006463F2" w:rsidP="006463F2">
      <w:pPr>
        <w:rPr>
          <w:lang w:eastAsia="de-DE"/>
        </w:rPr>
      </w:pPr>
    </w:p>
    <w:p w14:paraId="6B6544B6" w14:textId="77777777" w:rsidR="006463F2" w:rsidRDefault="00BD2758" w:rsidP="006463F2">
      <w:r>
        <w:pict w14:anchorId="0A8D3845">
          <v:rect id="_x0000_i1028" style="width:0;height:1.5pt" o:hralign="center" o:hrstd="t" o:hr="t" fillcolor="#a0a0a0" stroked="f"/>
        </w:pict>
      </w:r>
    </w:p>
    <w:p w14:paraId="2709E724" w14:textId="77777777" w:rsidR="006463F2" w:rsidRPr="00AF6107" w:rsidRDefault="006463F2" w:rsidP="00822A07">
      <w:pPr>
        <w:pStyle w:val="berschrift3"/>
        <w:rPr>
          <w:lang w:eastAsia="de-DE"/>
        </w:rPr>
      </w:pPr>
      <w:r w:rsidRPr="00AF6107">
        <w:rPr>
          <w:lang w:eastAsia="de-DE"/>
        </w:rPr>
        <w:t>5.2.2 Zuweisungslogik als Basis der Prüfstruktur</w:t>
      </w:r>
    </w:p>
    <w:p w14:paraId="41F50EA5" w14:textId="77777777" w:rsidR="006463F2" w:rsidRPr="00AF6107" w:rsidRDefault="006463F2" w:rsidP="00822A07">
      <w:pPr>
        <w:rPr>
          <w:lang w:eastAsia="de-DE"/>
        </w:rPr>
      </w:pPr>
      <w:r w:rsidRPr="00AF6107">
        <w:rPr>
          <w:lang w:eastAsia="de-DE"/>
        </w:rPr>
        <w:t>Zentraler Bestandteil des Beweisansatzes ist die formale Zuweisungslogik. Jedes Element U erhält eine Funktion f(U), deren Bedeutung nicht durch das Element selbst, sondern durch die Position im Gesamtgefüge bestimmt ist (vgl. [4:8]). John Baez formuliert diese Relationalität so:</w:t>
      </w:r>
    </w:p>
    <w:p w14:paraId="713F9D1D" w14:textId="77777777" w:rsidR="006463F2" w:rsidRPr="00AF6107" w:rsidRDefault="006463F2" w:rsidP="00822A07">
      <w:pPr>
        <w:rPr>
          <w:lang w:eastAsia="de-DE"/>
        </w:rPr>
      </w:pPr>
      <w:r w:rsidRPr="00AF6107">
        <w:rPr>
          <w:lang w:eastAsia="de-DE"/>
        </w:rPr>
        <w:t>„Meaning is a morphism, not a location.“ [10]</w:t>
      </w:r>
    </w:p>
    <w:p w14:paraId="307B652F" w14:textId="77777777" w:rsidR="006463F2" w:rsidRPr="00AF6107" w:rsidRDefault="006463F2" w:rsidP="00822A07">
      <w:pPr>
        <w:rPr>
          <w:lang w:eastAsia="de-DE"/>
        </w:rPr>
      </w:pPr>
      <w:r w:rsidRPr="00AF6107">
        <w:rPr>
          <w:lang w:eastAsia="de-DE"/>
        </w:rPr>
        <w:t xml:space="preserve">Der Beweisansatz im </w:t>
      </w:r>
      <w:r>
        <w:rPr>
          <w:lang w:eastAsia="de-DE"/>
        </w:rPr>
        <w:t>FRZK</w:t>
      </w:r>
      <w:r w:rsidRPr="00AF6107">
        <w:rPr>
          <w:lang w:eastAsia="de-DE"/>
        </w:rPr>
        <w:t xml:space="preserve"> überprüft daher nicht „Dinge“, sondern die Stimmigkeit funktionaler Übergänge und Transformationen. In der formalen Logik entspricht dies der Konsistenzprüfung eines morphischen Netzes – ein Gedanke, der auch in der kategorialen Mathematik Anklang findet (Lawvere &amp; Schanuel 2009 [11]).</w:t>
      </w:r>
    </w:p>
    <w:p w14:paraId="08E59B76" w14:textId="77777777" w:rsidR="006463F2" w:rsidRDefault="00BD2758" w:rsidP="006463F2">
      <w:r>
        <w:pict w14:anchorId="66B461F1">
          <v:rect id="_x0000_i1029" style="width:0;height:1.5pt" o:hralign="center" o:hrstd="t" o:hr="t" fillcolor="#a0a0a0" stroked="f"/>
        </w:pict>
      </w:r>
    </w:p>
    <w:p w14:paraId="6B89BA1B" w14:textId="77777777" w:rsidR="006463F2" w:rsidRPr="00AF6107" w:rsidRDefault="006463F2" w:rsidP="006463F2">
      <w:pPr>
        <w:pStyle w:val="berschrift3"/>
        <w:rPr>
          <w:lang w:eastAsia="de-DE"/>
        </w:rPr>
      </w:pPr>
      <w:r w:rsidRPr="00AF6107">
        <w:rPr>
          <w:lang w:eastAsia="de-DE"/>
        </w:rPr>
        <w:t>5.2.3 Reflexivität und Beobachterabhängigkeit</w:t>
      </w:r>
    </w:p>
    <w:p w14:paraId="1DB59F83" w14:textId="77777777" w:rsidR="006463F2" w:rsidRPr="00AF6107" w:rsidRDefault="006463F2" w:rsidP="00D74403">
      <w:pPr>
        <w:rPr>
          <w:lang w:eastAsia="de-DE"/>
        </w:rPr>
      </w:pPr>
      <w:r w:rsidRPr="00D74403">
        <w:t>Ein weiterer entscheidender Aspekt ist die Beobachterabhängigkeit. Klassische empirische</w:t>
      </w:r>
      <w:r w:rsidRPr="00AF6107">
        <w:rPr>
          <w:lang w:eastAsia="de-DE"/>
        </w:rPr>
        <w:t xml:space="preserve"> Beweise operieren unter der Annahme eines „externen Beobachters“. Das </w:t>
      </w:r>
      <w:r>
        <w:rPr>
          <w:lang w:eastAsia="de-DE"/>
        </w:rPr>
        <w:t>FRZK</w:t>
      </w:r>
      <w:r w:rsidRPr="00AF6107">
        <w:rPr>
          <w:lang w:eastAsia="de-DE"/>
        </w:rPr>
        <w:t xml:space="preserve"> hingegen erkennt den Beobachter als Teil des Zuweisungsprozesses selbst (vgl. [4:7]). Der Beobachter ist nicht neutral, sondern aktiv an der Konstruktion der Struktur beteiligt – eine Perspektive, die auch von Foerster in seiner Theorie der „Observing Systems“ betont wird [12]:</w:t>
      </w:r>
    </w:p>
    <w:p w14:paraId="5BB52840" w14:textId="77777777" w:rsidR="006463F2" w:rsidRPr="00AF6107" w:rsidRDefault="006463F2" w:rsidP="00D74403">
      <w:pPr>
        <w:rPr>
          <w:lang w:eastAsia="de-DE"/>
        </w:rPr>
      </w:pPr>
      <w:r w:rsidRPr="00AF6107">
        <w:rPr>
          <w:lang w:eastAsia="de-DE"/>
        </w:rPr>
        <w:t xml:space="preserve">„Jeder Beobachter bringt ein eigenes System von Unterscheidungen mit, </w:t>
      </w:r>
      <w:proofErr w:type="gramStart"/>
      <w:r w:rsidRPr="00AF6107">
        <w:rPr>
          <w:lang w:eastAsia="de-DE"/>
        </w:rPr>
        <w:t>das</w:t>
      </w:r>
      <w:proofErr w:type="gramEnd"/>
      <w:r w:rsidRPr="00AF6107">
        <w:rPr>
          <w:lang w:eastAsia="de-DE"/>
        </w:rPr>
        <w:t xml:space="preserve"> die Beobachtung selbst konstituiert.“</w:t>
      </w:r>
    </w:p>
    <w:p w14:paraId="4FD5F9EA" w14:textId="77777777" w:rsidR="006463F2" w:rsidRPr="00AF6107" w:rsidRDefault="006463F2" w:rsidP="00D74403">
      <w:pPr>
        <w:rPr>
          <w:lang w:eastAsia="de-DE"/>
        </w:rPr>
      </w:pPr>
      <w:r w:rsidRPr="00AF6107">
        <w:rPr>
          <w:lang w:eastAsia="de-DE"/>
        </w:rPr>
        <w:t>Ein funktionaler Beweis muss daher auch die Rolle des Beobachters transparent machen und die Reflexivität seiner eigenen Position berücksichtigen. Beweis wird so zur „offenen Kohärenzprüfung“ – ein dynamischer Prozess, in dem sich Erkenntnis und Konstruktion wechselseitig verschränken.</w:t>
      </w:r>
    </w:p>
    <w:p w14:paraId="5EE1579A" w14:textId="77777777" w:rsidR="006463F2" w:rsidRDefault="00BD2758" w:rsidP="006463F2">
      <w:r>
        <w:pict w14:anchorId="311E4134">
          <v:rect id="_x0000_i1030" style="width:0;height:1.5pt" o:hralign="center" o:hrstd="t" o:hr="t" fillcolor="#a0a0a0" stroked="f"/>
        </w:pict>
      </w:r>
    </w:p>
    <w:p w14:paraId="05EAA7BC" w14:textId="77777777" w:rsidR="006463F2" w:rsidRPr="00AF6107" w:rsidRDefault="006463F2" w:rsidP="006463F2">
      <w:pPr>
        <w:pStyle w:val="berschrift3"/>
        <w:rPr>
          <w:lang w:eastAsia="de-DE"/>
        </w:rPr>
      </w:pPr>
      <w:r w:rsidRPr="00AF6107">
        <w:rPr>
          <w:lang w:eastAsia="de-DE"/>
        </w:rPr>
        <w:t>5.2.4 Konsequenzen für die Methodik</w:t>
      </w:r>
    </w:p>
    <w:p w14:paraId="16318348" w14:textId="77777777" w:rsidR="006463F2" w:rsidRPr="00AF6107" w:rsidRDefault="006463F2" w:rsidP="00D74403">
      <w:pPr>
        <w:rPr>
          <w:lang w:eastAsia="de-DE"/>
        </w:rPr>
      </w:pPr>
      <w:r w:rsidRPr="00AF6107">
        <w:rPr>
          <w:lang w:eastAsia="de-DE"/>
        </w:rPr>
        <w:t>Diese theoretischen Grundlagen führen zu zwei methodischen Konsequenzen:</w:t>
      </w:r>
    </w:p>
    <w:p w14:paraId="04862C8A" w14:textId="77777777" w:rsidR="006463F2" w:rsidRPr="00AF6107" w:rsidRDefault="006463F2" w:rsidP="00D74403">
      <w:pPr>
        <w:pStyle w:val="Aufzhlung"/>
      </w:pPr>
      <w:r w:rsidRPr="00AF6107">
        <w:rPr>
          <w:b/>
          <w:bCs/>
        </w:rPr>
        <w:t>Prüfbarkeit durch Kohärenz</w:t>
      </w:r>
      <w:r w:rsidRPr="00AF6107">
        <w:t>: Empirische Forschung dient nicht der Verifikation „objektiver“ Realität, sondern der Überprüfung innerer Konsistenz und relationaler Anschlussfähigkeit von Zuweisungen (vgl. [4:4], [4:9]).</w:t>
      </w:r>
    </w:p>
    <w:p w14:paraId="2A675345" w14:textId="77777777" w:rsidR="006463F2" w:rsidRPr="00AF6107" w:rsidRDefault="006463F2" w:rsidP="00D74403">
      <w:pPr>
        <w:pStyle w:val="Aufzhlung"/>
      </w:pPr>
      <w:r w:rsidRPr="00AF6107">
        <w:rPr>
          <w:b/>
          <w:bCs/>
        </w:rPr>
        <w:t>Modelloffenheit</w:t>
      </w:r>
      <w:r w:rsidRPr="00AF6107">
        <w:t>: Der Beweis ist kein Endpunkt, sondern Teil eines fortlaufenden Prozesses der Modellweiterentwicklung (vgl. [4:14]). Neue empirische Daten sind nicht einfach „Bestätigungen“, sondern mögliche Impulse zur Rekonfiguration des funktionalen Rahmens.</w:t>
      </w:r>
    </w:p>
    <w:p w14:paraId="58F24D31" w14:textId="77777777" w:rsidR="006463F2" w:rsidRDefault="00BD2758" w:rsidP="006463F2">
      <w:r>
        <w:pict w14:anchorId="70B83BE2">
          <v:rect id="_x0000_i1031" style="width:0;height:1.5pt" o:hralign="center" o:hrstd="t" o:hr="t" fillcolor="#a0a0a0" stroked="f"/>
        </w:pict>
      </w:r>
    </w:p>
    <w:p w14:paraId="62882372" w14:textId="77777777" w:rsidR="006463F2" w:rsidRPr="00AF6107" w:rsidRDefault="006463F2" w:rsidP="006463F2">
      <w:pPr>
        <w:pStyle w:val="berschrift3"/>
        <w:rPr>
          <w:lang w:eastAsia="de-DE"/>
        </w:rPr>
      </w:pPr>
      <w:r w:rsidRPr="00AF6107">
        <w:rPr>
          <w:lang w:eastAsia="de-DE"/>
        </w:rPr>
        <w:t>5.2.5 Fazit und Ausblick</w:t>
      </w:r>
    </w:p>
    <w:p w14:paraId="1BC4B3AB" w14:textId="77777777" w:rsidR="006463F2" w:rsidRPr="00AF6107" w:rsidRDefault="006463F2" w:rsidP="00D74403">
      <w:pPr>
        <w:rPr>
          <w:lang w:eastAsia="de-DE"/>
        </w:rPr>
      </w:pPr>
      <w:r w:rsidRPr="00AF6107">
        <w:rPr>
          <w:lang w:eastAsia="de-DE"/>
        </w:rPr>
        <w:t xml:space="preserve">Insgesamt ist der Beweisansatz des </w:t>
      </w:r>
      <w:r>
        <w:rPr>
          <w:lang w:eastAsia="de-DE"/>
        </w:rPr>
        <w:t>FRZK</w:t>
      </w:r>
      <w:r w:rsidRPr="00AF6107">
        <w:rPr>
          <w:lang w:eastAsia="de-DE"/>
        </w:rPr>
        <w:t xml:space="preserve"> ein Reflexionsinstrument: Er fragt nicht nach einer objektiven Bestätigung, sondern nach der strukturellen Anschlussfähigkeit und der Potenzialität zur Weiterentwicklung. Der nächste Abschnitt 5.3 wird auf dieser Grundlage die methodischen Konsequenzen und Ansätze zur empirischen Umsetzung entfalten.</w:t>
      </w:r>
    </w:p>
    <w:p w14:paraId="642D6622" w14:textId="77777777" w:rsidR="006463F2" w:rsidRPr="00AF6107" w:rsidRDefault="00BD2758" w:rsidP="006463F2">
      <w:pPr>
        <w:spacing w:after="0" w:line="240" w:lineRule="auto"/>
        <w:rPr>
          <w:rFonts w:ascii="Times New Roman" w:eastAsia="Times New Roman" w:hAnsi="Times New Roman"/>
          <w:sz w:val="24"/>
          <w:szCs w:val="24"/>
          <w:lang w:eastAsia="de-DE"/>
        </w:rPr>
      </w:pPr>
      <w:r>
        <w:rPr>
          <w:rFonts w:ascii="Times New Roman" w:eastAsia="Times New Roman" w:hAnsi="Times New Roman"/>
          <w:sz w:val="24"/>
          <w:szCs w:val="24"/>
          <w:lang w:eastAsia="de-DE"/>
        </w:rPr>
        <w:pict w14:anchorId="66DE3EB1">
          <v:rect id="_x0000_i1032" style="width:0;height:1.5pt" o:hralign="center" o:hrstd="t" o:hr="t" fillcolor="#a0a0a0" stroked="f"/>
        </w:pict>
      </w:r>
    </w:p>
    <w:p w14:paraId="3CB41D57" w14:textId="77777777" w:rsidR="006463F2" w:rsidRPr="00AF6107" w:rsidRDefault="006463F2" w:rsidP="006463F2">
      <w:pPr>
        <w:pStyle w:val="berschrift2"/>
        <w:rPr>
          <w:lang w:eastAsia="de-DE"/>
        </w:rPr>
      </w:pPr>
      <w:r w:rsidRPr="00AF6107">
        <w:rPr>
          <w:lang w:eastAsia="de-DE"/>
        </w:rPr>
        <w:t>5.3 Methodische Zugänge und Forschungsdesign</w:t>
      </w:r>
    </w:p>
    <w:p w14:paraId="64D6572A"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Die theoretischen Überlegungen zum funktionalen Beweisansatz legen nahe, dass klassische empirische Methoden – die in der Regel auf vorgegebenen Hypothesen und operationalisierbaren Messgrößen basieren – nur eingeschränkt zur Überprüfung funktionaler Zuweisungssysteme geeignet sind. Das </w:t>
      </w:r>
      <w:r>
        <w:rPr>
          <w:rFonts w:ascii="Times New Roman" w:eastAsia="Times New Roman" w:hAnsi="Times New Roman"/>
          <w:sz w:val="24"/>
          <w:szCs w:val="24"/>
          <w:lang w:eastAsia="de-DE"/>
        </w:rPr>
        <w:t>FRZK</w:t>
      </w:r>
      <w:r w:rsidRPr="00AF6107">
        <w:rPr>
          <w:rFonts w:ascii="Times New Roman" w:eastAsia="Times New Roman" w:hAnsi="Times New Roman"/>
          <w:sz w:val="24"/>
          <w:szCs w:val="24"/>
          <w:lang w:eastAsia="de-DE"/>
        </w:rPr>
        <w:t xml:space="preserve"> erfordert daher spezifische methodische Zugänge, die die Besonderheit relationaler Strukturen und emergenter Bedeutung berücksichtigen [13].</w:t>
      </w:r>
    </w:p>
    <w:p w14:paraId="0DDAC7D1" w14:textId="77777777" w:rsidR="006463F2" w:rsidRPr="00AF6107" w:rsidRDefault="006463F2" w:rsidP="006463F2">
      <w:pPr>
        <w:pStyle w:val="berschrift3"/>
        <w:rPr>
          <w:lang w:eastAsia="de-DE"/>
        </w:rPr>
      </w:pPr>
      <w:r w:rsidRPr="00AF6107">
        <w:rPr>
          <w:lang w:eastAsia="de-DE"/>
        </w:rPr>
        <w:t>5.3.1 Forschungsfragen und Hypothesenbildung</w:t>
      </w:r>
    </w:p>
    <w:p w14:paraId="1D306370"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Im Zentrum steht die Frage: Wie lässt sich die Wirksamkeit von Zuweisungsstrukturen empirisch untersuchen? Anders als in linear-kausalen Forschungsdesigns, in denen Hypothesen als „Vorhersagen“ formuliert werden, versteht das </w:t>
      </w:r>
      <w:r>
        <w:rPr>
          <w:rFonts w:ascii="Times New Roman" w:eastAsia="Times New Roman" w:hAnsi="Times New Roman"/>
          <w:sz w:val="24"/>
          <w:szCs w:val="24"/>
          <w:lang w:eastAsia="de-DE"/>
        </w:rPr>
        <w:t>FRZK</w:t>
      </w:r>
      <w:r w:rsidRPr="00AF6107">
        <w:rPr>
          <w:rFonts w:ascii="Times New Roman" w:eastAsia="Times New Roman" w:hAnsi="Times New Roman"/>
          <w:sz w:val="24"/>
          <w:szCs w:val="24"/>
          <w:lang w:eastAsia="de-DE"/>
        </w:rPr>
        <w:t xml:space="preserve"> Hypothesen als „Testfelder für Kohärenz“ – also als Versuchsaufbauten zur Prüfung relationaler Anschlussfähigkeit [14].</w:t>
      </w:r>
    </w:p>
    <w:p w14:paraId="6463703D"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Ernst von Glasersfeld betont in diesem Zusammenhang:</w:t>
      </w:r>
    </w:p>
    <w:p w14:paraId="55D5C8F9" w14:textId="77777777" w:rsidR="006463F2" w:rsidRPr="00AF6107" w:rsidRDefault="006463F2" w:rsidP="006463F2">
      <w:pPr>
        <w:spacing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„Die Validität eines Modells ist nicht seine Übereinstimmung mit einer vermeintlich objektiven Realität, sondern seine interne Konsistenz und Nützlichkeit.“ [9]</w:t>
      </w:r>
    </w:p>
    <w:p w14:paraId="058BD91E"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Daher sind Hypothesen im </w:t>
      </w:r>
      <w:r>
        <w:rPr>
          <w:rFonts w:ascii="Times New Roman" w:eastAsia="Times New Roman" w:hAnsi="Times New Roman"/>
          <w:sz w:val="24"/>
          <w:szCs w:val="24"/>
          <w:lang w:eastAsia="de-DE"/>
        </w:rPr>
        <w:t>FRZK</w:t>
      </w:r>
      <w:r w:rsidRPr="00AF6107">
        <w:rPr>
          <w:rFonts w:ascii="Times New Roman" w:eastAsia="Times New Roman" w:hAnsi="Times New Roman"/>
          <w:sz w:val="24"/>
          <w:szCs w:val="24"/>
          <w:lang w:eastAsia="de-DE"/>
        </w:rPr>
        <w:t xml:space="preserve"> keine Feststellungen von „wahrer“ oder „falscher“ Kausalität, sondern Annahmen über mögliche funktionale Ordnungen, die in einem empirischen Kontext überprüft werden sollen.</w:t>
      </w:r>
    </w:p>
    <w:p w14:paraId="61151383" w14:textId="77777777" w:rsidR="006463F2" w:rsidRPr="00AF6107" w:rsidRDefault="006463F2" w:rsidP="006463F2">
      <w:pPr>
        <w:pStyle w:val="berschrift3"/>
        <w:rPr>
          <w:lang w:eastAsia="de-DE"/>
        </w:rPr>
      </w:pPr>
      <w:r w:rsidRPr="00AF6107">
        <w:rPr>
          <w:lang w:eastAsia="de-DE"/>
        </w:rPr>
        <w:t>5.3.2 Methodische Grundüberlegungen: Qualitativ, quantitativ, reflexiv</w:t>
      </w:r>
    </w:p>
    <w:p w14:paraId="009A6A9A"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Der Forschungszugang im </w:t>
      </w:r>
      <w:r>
        <w:rPr>
          <w:rFonts w:ascii="Times New Roman" w:eastAsia="Times New Roman" w:hAnsi="Times New Roman"/>
          <w:sz w:val="24"/>
          <w:szCs w:val="24"/>
          <w:lang w:eastAsia="de-DE"/>
        </w:rPr>
        <w:t>FRZK</w:t>
      </w:r>
      <w:r w:rsidRPr="00AF6107">
        <w:rPr>
          <w:rFonts w:ascii="Times New Roman" w:eastAsia="Times New Roman" w:hAnsi="Times New Roman"/>
          <w:sz w:val="24"/>
          <w:szCs w:val="24"/>
          <w:lang w:eastAsia="de-DE"/>
        </w:rPr>
        <w:t xml:space="preserve"> ist grundsätzlich methodenplural: Qualitative Verfahren sind besonders geeignet, um subjektive Zuweisungen und Sinnstiftungen sichtbar zu machen – etwa durch teilnehmende Beobachtung, Interviews oder Diskursanalysen [15]. Quantitative Verfahren können helfen, Muster und Regelmäßigkeiten in relationalen Netzwerken zu identifizieren, sofern diese nicht als „Objekte“, sondern als Effekte funktionaler Beziehungen begriffen werden [16].</w:t>
      </w:r>
    </w:p>
    <w:p w14:paraId="3EF83989"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Reflexive Verfahren schließlich sind unerlässlich: Sie erlauben es, die Rolle des Forschers als Teil des Zuweisungssystems transparent zu machen und die Grenzen empirischer „Neutralität“ zu reflektieren – ein Ansatz, der auch in der systemtheoretischen Forschung betont wird [17].</w:t>
      </w:r>
    </w:p>
    <w:p w14:paraId="53C42153" w14:textId="77777777" w:rsidR="006463F2" w:rsidRPr="00AF6107" w:rsidRDefault="006463F2" w:rsidP="006463F2">
      <w:pPr>
        <w:pStyle w:val="berschrift3"/>
        <w:rPr>
          <w:lang w:eastAsia="de-DE"/>
        </w:rPr>
      </w:pPr>
      <w:r w:rsidRPr="00AF6107">
        <w:rPr>
          <w:lang w:eastAsia="de-DE"/>
        </w:rPr>
        <w:t>5.3.3 Operationalisierung funktionaler Zuweisungen</w:t>
      </w:r>
    </w:p>
    <w:p w14:paraId="263F4951"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Die wohl größte methodische Herausforderung liegt in der Operationalisierung funktionaler Zuweisungen: Wie lassen sich „emergente Bedeutungen“ empirisch fassen, wenn diese nicht an Objekte, sondern an Kontexte gebunden sind?</w:t>
      </w:r>
    </w:p>
    <w:p w14:paraId="64EC6BEF"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Das </w:t>
      </w:r>
      <w:r>
        <w:rPr>
          <w:rFonts w:ascii="Times New Roman" w:eastAsia="Times New Roman" w:hAnsi="Times New Roman"/>
          <w:sz w:val="24"/>
          <w:szCs w:val="24"/>
          <w:lang w:eastAsia="de-DE"/>
        </w:rPr>
        <w:t>FRZK</w:t>
      </w:r>
      <w:r w:rsidRPr="00AF6107">
        <w:rPr>
          <w:rFonts w:ascii="Times New Roman" w:eastAsia="Times New Roman" w:hAnsi="Times New Roman"/>
          <w:sz w:val="24"/>
          <w:szCs w:val="24"/>
          <w:lang w:eastAsia="de-DE"/>
        </w:rPr>
        <w:t xml:space="preserve"> schlägt hierfür vor, Beobachtungen nicht als Datenpunkte zu behandeln, sondern als relational strukturierte Effekte. </w:t>
      </w:r>
      <w:r>
        <w:t xml:space="preserve">Bedeutung entsteht aus funktionalen Relationen – nicht aus Ort oder Substanz, wie Baez in seiner morphischen Semantik </w:t>
      </w:r>
      <w:proofErr w:type="gramStart"/>
      <w:r>
        <w:t>betont.</w:t>
      </w:r>
      <w:r w:rsidRPr="00AF6107">
        <w:rPr>
          <w:rFonts w:ascii="Times New Roman" w:eastAsia="Times New Roman" w:hAnsi="Times New Roman"/>
          <w:sz w:val="24"/>
          <w:szCs w:val="24"/>
          <w:lang w:eastAsia="de-DE"/>
        </w:rPr>
        <w:t>Operationalisierung</w:t>
      </w:r>
      <w:proofErr w:type="gramEnd"/>
      <w:r w:rsidRPr="00AF6107">
        <w:rPr>
          <w:rFonts w:ascii="Times New Roman" w:eastAsia="Times New Roman" w:hAnsi="Times New Roman"/>
          <w:sz w:val="24"/>
          <w:szCs w:val="24"/>
          <w:lang w:eastAsia="de-DE"/>
        </w:rPr>
        <w:t xml:space="preserve"> im </w:t>
      </w:r>
      <w:r>
        <w:rPr>
          <w:rFonts w:ascii="Times New Roman" w:eastAsia="Times New Roman" w:hAnsi="Times New Roman"/>
          <w:sz w:val="24"/>
          <w:szCs w:val="24"/>
          <w:lang w:eastAsia="de-DE"/>
        </w:rPr>
        <w:t>FRZK</w:t>
      </w:r>
      <w:r w:rsidRPr="00AF6107">
        <w:rPr>
          <w:rFonts w:ascii="Times New Roman" w:eastAsia="Times New Roman" w:hAnsi="Times New Roman"/>
          <w:sz w:val="24"/>
          <w:szCs w:val="24"/>
          <w:lang w:eastAsia="de-DE"/>
        </w:rPr>
        <w:t xml:space="preserve"> bedeutet daher:</w:t>
      </w:r>
    </w:p>
    <w:p w14:paraId="5CF5A2EA" w14:textId="77777777" w:rsidR="006463F2" w:rsidRPr="00AF6107" w:rsidRDefault="006463F2" w:rsidP="006463F2">
      <w:pPr>
        <w:numPr>
          <w:ilvl w:val="0"/>
          <w:numId w:val="3"/>
        </w:num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nicht: „Wieviel ist…?“</w:t>
      </w:r>
    </w:p>
    <w:p w14:paraId="5677C4D9" w14:textId="77777777" w:rsidR="006463F2" w:rsidRPr="00AF6107" w:rsidRDefault="006463F2" w:rsidP="006463F2">
      <w:pPr>
        <w:numPr>
          <w:ilvl w:val="0"/>
          <w:numId w:val="3"/>
        </w:num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sondern: „Wie ist etwas in ein relationales Netzwerk eingebettet?“</w:t>
      </w:r>
    </w:p>
    <w:p w14:paraId="4BC78A81"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Ein Ansatz hierfür ist die </w:t>
      </w:r>
      <w:r w:rsidRPr="00AF6107">
        <w:rPr>
          <w:rFonts w:ascii="Times New Roman" w:eastAsia="Times New Roman" w:hAnsi="Times New Roman"/>
          <w:b/>
          <w:bCs/>
          <w:sz w:val="24"/>
          <w:szCs w:val="24"/>
          <w:lang w:eastAsia="de-DE"/>
        </w:rPr>
        <w:t>funktionale Rekonstruktion</w:t>
      </w:r>
      <w:r w:rsidRPr="00AF6107">
        <w:rPr>
          <w:rFonts w:ascii="Times New Roman" w:eastAsia="Times New Roman" w:hAnsi="Times New Roman"/>
          <w:sz w:val="24"/>
          <w:szCs w:val="24"/>
          <w:lang w:eastAsia="de-DE"/>
        </w:rPr>
        <w:t>: Statt zu messen, „ob“ ein Element existiert, wird untersucht, „wie“ es relational integriert ist – etwa durch qualitative Kodierungen von Kontextverschiebungen, oder durch Netzwerkanalysen, die Beziehungen statt Inhalte in den Fokus rücken [18].</w:t>
      </w:r>
    </w:p>
    <w:p w14:paraId="41195041" w14:textId="77777777" w:rsidR="006463F2" w:rsidRPr="00AF6107" w:rsidRDefault="006463F2" w:rsidP="006463F2">
      <w:pPr>
        <w:pStyle w:val="berschrift3"/>
        <w:rPr>
          <w:lang w:eastAsia="de-DE"/>
        </w:rPr>
      </w:pPr>
      <w:r w:rsidRPr="00AF6107">
        <w:rPr>
          <w:lang w:eastAsia="de-DE"/>
        </w:rPr>
        <w:t>5.3.4 Beispielhafte methodische Zugänge</w:t>
      </w:r>
    </w:p>
    <w:p w14:paraId="03289BD8"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Konkrete methodische Umsetzungen können sein:</w:t>
      </w:r>
    </w:p>
    <w:p w14:paraId="47EF52DC" w14:textId="77777777" w:rsidR="006463F2" w:rsidRPr="00AF6107" w:rsidRDefault="006463F2" w:rsidP="006463F2">
      <w:pPr>
        <w:numPr>
          <w:ilvl w:val="0"/>
          <w:numId w:val="4"/>
        </w:num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b/>
          <w:bCs/>
          <w:sz w:val="24"/>
          <w:szCs w:val="24"/>
          <w:lang w:eastAsia="de-DE"/>
        </w:rPr>
        <w:t>Sequenzanalysen von Diskursen</w:t>
      </w:r>
      <w:r w:rsidRPr="00AF6107">
        <w:rPr>
          <w:rFonts w:ascii="Times New Roman" w:eastAsia="Times New Roman" w:hAnsi="Times New Roman"/>
          <w:sz w:val="24"/>
          <w:szCs w:val="24"/>
          <w:lang w:eastAsia="de-DE"/>
        </w:rPr>
        <w:t>, um funktionale Übergänge zwischen Aussagen zu identifizieren.</w:t>
      </w:r>
    </w:p>
    <w:p w14:paraId="434A8DE7" w14:textId="77777777" w:rsidR="006463F2" w:rsidRPr="00AF6107" w:rsidRDefault="006463F2" w:rsidP="006463F2">
      <w:pPr>
        <w:numPr>
          <w:ilvl w:val="0"/>
          <w:numId w:val="4"/>
        </w:num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b/>
          <w:bCs/>
          <w:sz w:val="24"/>
          <w:szCs w:val="24"/>
          <w:lang w:eastAsia="de-DE"/>
        </w:rPr>
        <w:t>Netzwerkanalysen von Lernumgebungen</w:t>
      </w:r>
      <w:r w:rsidRPr="00AF6107">
        <w:rPr>
          <w:rFonts w:ascii="Times New Roman" w:eastAsia="Times New Roman" w:hAnsi="Times New Roman"/>
          <w:sz w:val="24"/>
          <w:szCs w:val="24"/>
          <w:lang w:eastAsia="de-DE"/>
        </w:rPr>
        <w:t>, um emergente Beziehungsgeflechte sichtbar zu machen.</w:t>
      </w:r>
    </w:p>
    <w:p w14:paraId="1E32A871" w14:textId="77777777" w:rsidR="006463F2" w:rsidRPr="00AF6107" w:rsidRDefault="006463F2" w:rsidP="006463F2">
      <w:pPr>
        <w:numPr>
          <w:ilvl w:val="0"/>
          <w:numId w:val="4"/>
        </w:num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b/>
          <w:bCs/>
          <w:sz w:val="24"/>
          <w:szCs w:val="24"/>
          <w:lang w:eastAsia="de-DE"/>
        </w:rPr>
        <w:t>Design-Based Research</w:t>
      </w:r>
      <w:r w:rsidRPr="00AF6107">
        <w:rPr>
          <w:rFonts w:ascii="Times New Roman" w:eastAsia="Times New Roman" w:hAnsi="Times New Roman"/>
          <w:sz w:val="24"/>
          <w:szCs w:val="24"/>
          <w:lang w:eastAsia="de-DE"/>
        </w:rPr>
        <w:t>, um Lernumgebungen iterativ als Zuweisungssysteme zu gestalten und zu evaluieren [19].</w:t>
      </w:r>
    </w:p>
    <w:p w14:paraId="1874C282"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Diese Verfahren eint, dass sie funktionale Zuweisungen nicht als „versteckte Variablen“ betrachten, sondern als konstitutive Elemente der zu untersuchenden Systeme selbst.</w:t>
      </w:r>
    </w:p>
    <w:p w14:paraId="5256A554" w14:textId="77777777" w:rsidR="006463F2" w:rsidRPr="00AF6107" w:rsidRDefault="006463F2" w:rsidP="006463F2">
      <w:pPr>
        <w:pStyle w:val="berschrift3"/>
        <w:rPr>
          <w:lang w:eastAsia="de-DE"/>
        </w:rPr>
      </w:pPr>
      <w:r w:rsidRPr="00AF6107">
        <w:rPr>
          <w:lang w:eastAsia="de-DE"/>
        </w:rPr>
        <w:t>5.3.5 Fazit und Ausblick</w:t>
      </w:r>
    </w:p>
    <w:p w14:paraId="611178E1" w14:textId="77777777" w:rsidR="006463F2" w:rsidRPr="00AF6107" w:rsidRDefault="006463F2" w:rsidP="006463F2">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Die methodische Konsequenz: Forschung im Sinne des </w:t>
      </w:r>
      <w:r>
        <w:rPr>
          <w:rFonts w:ascii="Times New Roman" w:eastAsia="Times New Roman" w:hAnsi="Times New Roman"/>
          <w:sz w:val="24"/>
          <w:szCs w:val="24"/>
          <w:lang w:eastAsia="de-DE"/>
        </w:rPr>
        <w:t>FRZK</w:t>
      </w:r>
      <w:r w:rsidRPr="00AF6107">
        <w:rPr>
          <w:rFonts w:ascii="Times New Roman" w:eastAsia="Times New Roman" w:hAnsi="Times New Roman"/>
          <w:sz w:val="24"/>
          <w:szCs w:val="24"/>
          <w:lang w:eastAsia="de-DE"/>
        </w:rPr>
        <w:t xml:space="preserve"> ist nicht Bestätigung eines „Außen“, sondern Reflexion und Rekonstruktion von Zuweisungslogiken. Damit entsteht ein dynamisches Forschungsdesign, das nicht abschließend „beweist“, sondern iterativ neue Fragen und funktionale Perspektiven generiert. Der folgende Abschnitt 5.4 wird zeigen, wie diese methodischen Überlegungen in konkrete Feldversuche und Experimente umgesetzt werden können.</w:t>
      </w:r>
    </w:p>
    <w:p w14:paraId="08C6C751" w14:textId="77777777" w:rsidR="006463F2" w:rsidRDefault="006463F2" w:rsidP="006463F2">
      <w:pPr>
        <w:pStyle w:val="berschrift2"/>
      </w:pPr>
      <w:r>
        <w:t>5.4 Notwendige Feldversuche und experimentelle Ansätze</w:t>
      </w:r>
    </w:p>
    <w:p w14:paraId="4CD91756" w14:textId="77777777" w:rsidR="006463F2" w:rsidRDefault="006463F2" w:rsidP="006463F2">
      <w:pPr>
        <w:pStyle w:val="berschrift3"/>
      </w:pPr>
      <w:r>
        <w:t>5.4.1 Gestaltung von Feldversuchen: Kontext, Auswahl, Bedingungen</w:t>
      </w:r>
    </w:p>
    <w:p w14:paraId="3F611ED3" w14:textId="77777777" w:rsidR="006463F2" w:rsidRDefault="006463F2" w:rsidP="006463F2">
      <w:pPr>
        <w:pStyle w:val="StandardWeb"/>
      </w:pPr>
      <w:r>
        <w:t>Die empirische Überprüfung des FRZK kann nicht auf klassischen Experimentaldesigns beruhen, da das Modell nicht auf objektiv-externe Wirklichkeitsaussagen zielt, sondern auf rekonstruktive Kohärenz innerhalb relationaler Funktionsräume. Feldversuche müssen daher als kontextualisierte Modellräume verstanden werden, in denen durch strukturierte Zuweisung systemische Effekte erzeugt, beobachtet und bewertet werden können.</w:t>
      </w:r>
    </w:p>
    <w:p w14:paraId="0BE863AA" w14:textId="77777777" w:rsidR="006463F2" w:rsidRDefault="006463F2" w:rsidP="006463F2">
      <w:pPr>
        <w:pStyle w:val="StandardWeb"/>
      </w:pPr>
      <w:r>
        <w:t>Zentrale Gestaltungsprinzipien funktionaler Feldversuche sind:</w:t>
      </w:r>
    </w:p>
    <w:p w14:paraId="6D443085" w14:textId="77777777" w:rsidR="006463F2" w:rsidRDefault="006463F2" w:rsidP="006463F2">
      <w:pPr>
        <w:pStyle w:val="StandardWeb"/>
        <w:numPr>
          <w:ilvl w:val="0"/>
          <w:numId w:val="8"/>
        </w:numPr>
      </w:pPr>
      <w:r w:rsidRPr="001C3289">
        <w:rPr>
          <w:rStyle w:val="Fett"/>
        </w:rPr>
        <w:t>Kontextspezifität statt Standardisierung</w:t>
      </w:r>
      <w:r>
        <w:t>: Da funktionale Strukturen kontextabhängig emergieren, müssen Feldversuche auf situative Bedingtheiten reagieren – etwa durch flexible Fallauswahl, dynamische Versuchsbedingungen oder rekursive Feedbackzyklen [48].</w:t>
      </w:r>
    </w:p>
    <w:p w14:paraId="6C064E42" w14:textId="77777777" w:rsidR="006463F2" w:rsidRDefault="006463F2" w:rsidP="006463F2">
      <w:pPr>
        <w:pStyle w:val="StandardWeb"/>
        <w:numPr>
          <w:ilvl w:val="0"/>
          <w:numId w:val="8"/>
        </w:numPr>
      </w:pPr>
      <w:r w:rsidRPr="001C3289">
        <w:rPr>
          <w:rStyle w:val="Fett"/>
        </w:rPr>
        <w:t>Iterativität statt Linearität</w:t>
      </w:r>
      <w:r>
        <w:t>: Der Verlauf eines funktionalen Feldversuchs ist nicht prädeterminiert, sondern entwickelt sich durch rekursive Neujustierung von Zuweisungen, Bedeutungen und Beobachterrollen. Dies entspricht dem Design-Based-Research-Prinzip reflexiver Evaluation [49].</w:t>
      </w:r>
    </w:p>
    <w:p w14:paraId="48F52234" w14:textId="77777777" w:rsidR="006463F2" w:rsidRDefault="006463F2" w:rsidP="006463F2">
      <w:pPr>
        <w:pStyle w:val="StandardWeb"/>
        <w:numPr>
          <w:ilvl w:val="0"/>
          <w:numId w:val="8"/>
        </w:numPr>
      </w:pPr>
      <w:r w:rsidRPr="001C3289">
        <w:rPr>
          <w:rStyle w:val="Fett"/>
        </w:rPr>
        <w:t>Multi-Perspektivität statt Objektivismus</w:t>
      </w:r>
      <w:r>
        <w:t>: Da Beobachter Teil des Systems sind, sollten Feldversuche multiperspektivisch angelegt sein: Die Sichtweise verschiedener Akteure (z. B. Lernende, Lehrende, Forschende) muss systematisch einbezogen werden [50].</w:t>
      </w:r>
    </w:p>
    <w:p w14:paraId="7F2DF1D7" w14:textId="77777777" w:rsidR="006463F2" w:rsidRDefault="006463F2" w:rsidP="006463F2">
      <w:pPr>
        <w:pStyle w:val="StandardWeb"/>
      </w:pPr>
      <w:r>
        <w:t xml:space="preserve">Diese Anforderungen legen nahe, dass Feldversuche im FRZK-Rahmen nicht auf Repräsentativität zielen, sondern auf </w:t>
      </w:r>
      <w:r w:rsidRPr="001C3289">
        <w:rPr>
          <w:rStyle w:val="Fett"/>
        </w:rPr>
        <w:t>strukturelle Validität</w:t>
      </w:r>
      <w:r>
        <w:t xml:space="preserve"> – d. h. auf die Fähigkeit, funktionale Relationen als Wirkung zu rekonstruieren. Der Feldversuch wird damit zur reflexiven Zone epistemischer Erzeugung, nicht zur Messung von Außenrealität.</w:t>
      </w:r>
    </w:p>
    <w:p w14:paraId="20A3B3DA" w14:textId="77777777" w:rsidR="006463F2" w:rsidRDefault="006463F2" w:rsidP="006463F2">
      <w:pPr>
        <w:pStyle w:val="berschrift3"/>
      </w:pPr>
      <w:r>
        <w:t>5.4.2 Beispielhafte Szenarien: Wie könnte ein Feldversuch konkret aussehen?</w:t>
      </w:r>
    </w:p>
    <w:p w14:paraId="433777A7" w14:textId="77777777" w:rsidR="006463F2" w:rsidRDefault="006463F2" w:rsidP="006463F2">
      <w:pPr>
        <w:pStyle w:val="StandardWeb"/>
      </w:pPr>
      <w:r>
        <w:t>Die folgende exemplarische Skizze eines Feldversuchs dient zur Veranschaulichung funktionaler Prinzipien empirischer Validierung:</w:t>
      </w:r>
    </w:p>
    <w:p w14:paraId="41F62A1E" w14:textId="77777777" w:rsidR="006463F2" w:rsidRDefault="006463F2" w:rsidP="006463F2">
      <w:pPr>
        <w:pStyle w:val="berschrift4"/>
      </w:pPr>
      <w:r>
        <w:t>Szenario: Digitale Lernumgebung zur Konzeptbildung im Physikunterricht</w:t>
      </w:r>
    </w:p>
    <w:p w14:paraId="1BBAA2AF" w14:textId="77777777" w:rsidR="006463F2" w:rsidRDefault="006463F2" w:rsidP="006463F2">
      <w:pPr>
        <w:pStyle w:val="StandardWeb"/>
      </w:pPr>
      <w:r w:rsidRPr="001C3289">
        <w:rPr>
          <w:rStyle w:val="Fett"/>
        </w:rPr>
        <w:t>Ziel:</w:t>
      </w:r>
      <w:r>
        <w:t xml:space="preserve"> Validierung der Annahme, dass physikalische Begriffe wie „Energie“ nicht objektiv „vermittelt“, sondern durch rekursive Zuweisung (z. B. Aufgaben, Medien, Kontextfunktionen) emergent erzeugt werden.</w:t>
      </w:r>
    </w:p>
    <w:p w14:paraId="61FFC89F" w14:textId="77777777" w:rsidR="006463F2" w:rsidRDefault="006463F2" w:rsidP="006463F2">
      <w:pPr>
        <w:pStyle w:val="StandardWeb"/>
      </w:pPr>
      <w:r w:rsidRPr="001C3289">
        <w:rPr>
          <w:rStyle w:val="Fett"/>
        </w:rPr>
        <w:t>Versuchsdesign:</w:t>
      </w:r>
    </w:p>
    <w:p w14:paraId="2CC06CAE" w14:textId="77777777" w:rsidR="006463F2" w:rsidRDefault="006463F2" w:rsidP="006463F2">
      <w:pPr>
        <w:pStyle w:val="StandardWeb"/>
        <w:numPr>
          <w:ilvl w:val="0"/>
          <w:numId w:val="9"/>
        </w:numPr>
      </w:pPr>
      <w:r>
        <w:t>Eine Lerngruppe (Sek II, n = 25) erhält Zugriff auf eine digitale Lernplattform mit modulierbaren Aufgabenmodulen (z. B. Text, Experiment, Video).</w:t>
      </w:r>
    </w:p>
    <w:p w14:paraId="6D161EC8" w14:textId="77777777" w:rsidR="006463F2" w:rsidRDefault="006463F2" w:rsidP="006463F2">
      <w:pPr>
        <w:pStyle w:val="StandardWeb"/>
        <w:numPr>
          <w:ilvl w:val="0"/>
          <w:numId w:val="9"/>
        </w:numPr>
      </w:pPr>
      <w:r>
        <w:t>Die Plattform ist strukturiert nach funktionalen Zuweisungskategorien (f1 = Kontextualisierung, f2 = Begriffsdifferenzierung, f3 = Transferbezug).</w:t>
      </w:r>
    </w:p>
    <w:p w14:paraId="04A7DB1E" w14:textId="77777777" w:rsidR="006463F2" w:rsidRDefault="006463F2" w:rsidP="006463F2">
      <w:pPr>
        <w:pStyle w:val="StandardWeb"/>
        <w:numPr>
          <w:ilvl w:val="0"/>
          <w:numId w:val="9"/>
        </w:numPr>
      </w:pPr>
      <w:r>
        <w:t>Lernprozessdaten (z. B. Navigationspfade, Diskursprotokolle, Zwischenprodukte) werden als relationales Netzwerk (Zuweisungsstruktur) rekonstruiert.</w:t>
      </w:r>
    </w:p>
    <w:p w14:paraId="368DB623" w14:textId="77777777" w:rsidR="006463F2" w:rsidRDefault="006463F2" w:rsidP="006463F2">
      <w:pPr>
        <w:pStyle w:val="StandardWeb"/>
        <w:numPr>
          <w:ilvl w:val="0"/>
          <w:numId w:val="9"/>
        </w:numPr>
      </w:pPr>
      <w:r>
        <w:t>Reflexive Interviews mit Lernenden und Lehrpersonen ergänzen die relationalen Daten um subjektive Bedeutungszuschreibungen.</w:t>
      </w:r>
    </w:p>
    <w:p w14:paraId="759124F1" w14:textId="77777777" w:rsidR="006463F2" w:rsidRDefault="006463F2" w:rsidP="006463F2">
      <w:pPr>
        <w:pStyle w:val="StandardWeb"/>
      </w:pPr>
      <w:r w:rsidRPr="001C3289">
        <w:rPr>
          <w:rStyle w:val="Fett"/>
        </w:rPr>
        <w:t>Analytisches Ziel:</w:t>
      </w:r>
      <w:r>
        <w:t xml:space="preserve"> Überprüfung, ob bestimmte Zuweisungskombinationen zu stabilen Bedeutungskernen („Begriff Energie“) führen – und ob sich aus Abweichungen Hinweise auf rekonfigurierbare Zuweisungsarchitekturen ableiten lassen.</w:t>
      </w:r>
    </w:p>
    <w:p w14:paraId="5C4335A6" w14:textId="77777777" w:rsidR="006463F2" w:rsidRDefault="006463F2" w:rsidP="006463F2">
      <w:pPr>
        <w:pStyle w:val="StandardWeb"/>
      </w:pPr>
      <w:r>
        <w:t xml:space="preserve">Dieses Beispiel illustriert, wie Feldversuche nicht der Überprüfung „richtiger Inhalte“ dienen, sondern der </w:t>
      </w:r>
      <w:r w:rsidRPr="001C3289">
        <w:rPr>
          <w:rStyle w:val="Fett"/>
        </w:rPr>
        <w:t>Rekonstruktion von Strukturbedingungen epistemischer Emergenz</w:t>
      </w:r>
      <w:r>
        <w:t xml:space="preserve"> – das zentrale Erkenntnisinteresse des FRZK [51].</w:t>
      </w:r>
    </w:p>
    <w:p w14:paraId="196E0423" w14:textId="77777777" w:rsidR="006463F2" w:rsidRPr="001E21D6" w:rsidRDefault="006463F2" w:rsidP="006463F2">
      <w:pPr>
        <w:pStyle w:val="berschrift4"/>
      </w:pPr>
      <w:r w:rsidRPr="001E21D6">
        <w:t>Weitere mögliche Szenarien:</w:t>
      </w:r>
    </w:p>
    <w:p w14:paraId="2CA17C98" w14:textId="77777777" w:rsidR="006463F2" w:rsidRDefault="006463F2" w:rsidP="006463F2">
      <w:pPr>
        <w:pStyle w:val="StandardWeb"/>
        <w:numPr>
          <w:ilvl w:val="0"/>
          <w:numId w:val="10"/>
        </w:numPr>
      </w:pPr>
      <w:r w:rsidRPr="001C3289">
        <w:rPr>
          <w:rStyle w:val="Fett"/>
        </w:rPr>
        <w:t>Agentenbasierte Planspiele im Politikunterricht</w:t>
      </w:r>
      <w:r>
        <w:t>, um Handlungsmuster als Effekt sozialer Rollen- und Regelzuweisungen zu analysieren.</w:t>
      </w:r>
    </w:p>
    <w:p w14:paraId="4A35B0CE" w14:textId="77777777" w:rsidR="006463F2" w:rsidRDefault="006463F2" w:rsidP="006463F2">
      <w:pPr>
        <w:pStyle w:val="StandardWeb"/>
        <w:numPr>
          <w:ilvl w:val="0"/>
          <w:numId w:val="10"/>
        </w:numPr>
      </w:pPr>
      <w:r w:rsidRPr="001C3289">
        <w:rPr>
          <w:rStyle w:val="Fett"/>
        </w:rPr>
        <w:t>KI-gestützte Feedbacksysteme</w:t>
      </w:r>
      <w:r>
        <w:t>, die in Echtzeit funktionale Zuweisungen identifizieren und adaptive Interventionen generieren (z. B. adaptive Tutorensysteme).</w:t>
      </w:r>
    </w:p>
    <w:p w14:paraId="08CCA3A9" w14:textId="77777777" w:rsidR="006463F2" w:rsidRDefault="006463F2" w:rsidP="006463F2">
      <w:pPr>
        <w:pStyle w:val="StandardWeb"/>
        <w:numPr>
          <w:ilvl w:val="0"/>
          <w:numId w:val="10"/>
        </w:numPr>
      </w:pPr>
      <w:r w:rsidRPr="001C3289">
        <w:rPr>
          <w:rStyle w:val="Fett"/>
        </w:rPr>
        <w:t>Virtuelle Laborumgebungen</w:t>
      </w:r>
      <w:r>
        <w:t>, in denen physikalische Modelle nicht „abgebildet“, sondern als Zuweisungsketten (Parameter → Funktion → Bedeutung) modelliert und reflektiert werden.</w:t>
      </w:r>
    </w:p>
    <w:p w14:paraId="2DAF2F30" w14:textId="77777777" w:rsidR="006463F2" w:rsidRDefault="006463F2" w:rsidP="006463F2">
      <w:pPr>
        <w:pStyle w:val="berschrift3"/>
      </w:pPr>
      <w:r>
        <w:t>5.4.3 Reflexion ethischer, sozialer und methodischer Implikationen</w:t>
      </w:r>
    </w:p>
    <w:p w14:paraId="34B1FF08" w14:textId="77777777" w:rsidR="006463F2" w:rsidRDefault="006463F2" w:rsidP="006463F2">
      <w:pPr>
        <w:pStyle w:val="StandardWeb"/>
      </w:pPr>
      <w:r>
        <w:t xml:space="preserve">Feldversuche im Rahmen des FRZK werfen nicht nur methodische, sondern auch grundlegende ethische und soziale Fragen auf. Da funktionale Modelle stets mit strukturellen Zuweisungen operieren, erzeugen sie nicht nur Erkenntnisse – sie </w:t>
      </w:r>
      <w:r w:rsidRPr="001C3289">
        <w:rPr>
          <w:rStyle w:val="Fett"/>
        </w:rPr>
        <w:t>konstituieren Realität</w:t>
      </w:r>
      <w:r>
        <w:t>. Diese Strukturmacht bedarf einer expliziten Reflexion:</w:t>
      </w:r>
    </w:p>
    <w:p w14:paraId="2B91B165" w14:textId="77777777" w:rsidR="006463F2" w:rsidRDefault="006463F2" w:rsidP="006463F2">
      <w:pPr>
        <w:pStyle w:val="StandardWeb"/>
        <w:numPr>
          <w:ilvl w:val="0"/>
          <w:numId w:val="11"/>
        </w:numPr>
      </w:pPr>
      <w:r w:rsidRPr="001C3289">
        <w:rPr>
          <w:rStyle w:val="Fett"/>
        </w:rPr>
        <w:t>Ethische Verantwortung der Strukturgeber:</w:t>
      </w:r>
      <w:r>
        <w:br/>
        <w:t>Wer Feldfunktionen definiert, entscheidet mit, welche Wirklichkeitsdimensionen sichtbar oder unsichtbar werden. Das betrifft nicht nur technische Systeme (z. B. KI), sondern auch didaktische oder soziale Felder. Die normative Qualität liegt also nicht in der Handlung selbst, sondern in ihrer Modellierungsgrundlage [52].</w:t>
      </w:r>
    </w:p>
    <w:p w14:paraId="0F4F4137" w14:textId="77777777" w:rsidR="006463F2" w:rsidRDefault="006463F2" w:rsidP="006463F2">
      <w:pPr>
        <w:pStyle w:val="StandardWeb"/>
        <w:numPr>
          <w:ilvl w:val="0"/>
          <w:numId w:val="11"/>
        </w:numPr>
      </w:pPr>
      <w:r w:rsidRPr="001C3289">
        <w:rPr>
          <w:rStyle w:val="Fett"/>
        </w:rPr>
        <w:t>Soziale Eingebundenheit der Beobachtung:</w:t>
      </w:r>
      <w:r>
        <w:br/>
        <w:t xml:space="preserve">Da jeder Beobachter selbst Teil des Zuweisungssystems ist, muss Feldforschung als </w:t>
      </w:r>
      <w:r>
        <w:rPr>
          <w:rStyle w:val="Hervorhebung"/>
        </w:rPr>
        <w:t>reflexiver Akt</w:t>
      </w:r>
      <w:r>
        <w:t xml:space="preserve"> begriffen werden. „Neutralität“ ist im FRZK nicht möglich – wohl aber Transparenz und systemische Selbstbeobachtung (z. B. durch Forschertagebücher, Diskursanalyse oder kollaborative Validierung) [53].</w:t>
      </w:r>
    </w:p>
    <w:p w14:paraId="6E85A66E" w14:textId="77777777" w:rsidR="006463F2" w:rsidRDefault="006463F2" w:rsidP="006463F2">
      <w:pPr>
        <w:pStyle w:val="StandardWeb"/>
        <w:numPr>
          <w:ilvl w:val="0"/>
          <w:numId w:val="11"/>
        </w:numPr>
      </w:pPr>
      <w:r w:rsidRPr="001C3289">
        <w:rPr>
          <w:rStyle w:val="Fett"/>
        </w:rPr>
        <w:t>Methodische Offenheit statt Design-Fixierung:</w:t>
      </w:r>
      <w:r>
        <w:br/>
        <w:t xml:space="preserve">Feldversuche im FRZK sind </w:t>
      </w:r>
      <w:r>
        <w:rPr>
          <w:rStyle w:val="Hervorhebung"/>
        </w:rPr>
        <w:t>nicht replizierbar</w:t>
      </w:r>
      <w:r>
        <w:t xml:space="preserve"> im klassischen Sinn – sie leben von iterativer Kontextanpassung. Statt Generalisierbarkeit zählt die Rekonstruktionsfähigkeit funktionaler Muster. Daher müssen Forschungsmethoden flexibel, reflexiv und rekonfigurierbar sein [54].</w:t>
      </w:r>
    </w:p>
    <w:p w14:paraId="184EC6CB" w14:textId="77777777" w:rsidR="006463F2" w:rsidRDefault="006463F2" w:rsidP="006463F2">
      <w:pPr>
        <w:pStyle w:val="StandardWeb"/>
      </w:pPr>
      <w:r>
        <w:t xml:space="preserve">Diese Einsichten führen zu einem erweiterten Verständnis wissenschaftlicher Verantwortung. Im FRZK werden Forschende nicht zu Messenden, sondern zu </w:t>
      </w:r>
      <w:r>
        <w:rPr>
          <w:rStyle w:val="Hervorhebung"/>
        </w:rPr>
        <w:t>Strukturierenden</w:t>
      </w:r>
      <w:r>
        <w:t xml:space="preserve"> – und damit zu Teilhabenden an dem, was sie untersuchen. Die epistemische Macht der Zuweisung ist zugleich eine ethische Aufgabe:</w:t>
      </w:r>
    </w:p>
    <w:p w14:paraId="212D24E7" w14:textId="77777777" w:rsidR="006463F2" w:rsidRDefault="006463F2" w:rsidP="006463F2">
      <w:pPr>
        <w:pStyle w:val="StandardWeb"/>
      </w:pPr>
      <w:r>
        <w:t>„Forschung erzeugt nicht Wissen über die Welt, sondern Entwürfe, wie Welt als Struktur denkbar wird.“ [55]</w:t>
      </w:r>
    </w:p>
    <w:p w14:paraId="5BED6C83" w14:textId="77777777" w:rsidR="006463F2" w:rsidRDefault="00BD2758" w:rsidP="006463F2">
      <w:r>
        <w:pict w14:anchorId="120C9BEE">
          <v:rect id="_x0000_i1033" style="width:0;height:1.5pt" o:hralign="center" o:hrstd="t" o:hr="t" fillcolor="#a0a0a0" stroked="f"/>
        </w:pict>
      </w:r>
    </w:p>
    <w:p w14:paraId="3E11174E" w14:textId="77777777" w:rsidR="006463F2" w:rsidRDefault="006463F2" w:rsidP="006463F2">
      <w:pPr>
        <w:pStyle w:val="berschrift2"/>
      </w:pPr>
      <w:r>
        <w:t>5.5 Erwartete Ergebnisse und mögliche Erkenntnisse</w:t>
      </w:r>
    </w:p>
    <w:p w14:paraId="30B7D24B" w14:textId="77777777" w:rsidR="006463F2" w:rsidRDefault="006463F2" w:rsidP="006463F2">
      <w:pPr>
        <w:pStyle w:val="berschrift3"/>
      </w:pPr>
      <w:r>
        <w:t>5.5.1 Erwartbare Bestätigungen und Widerlegungen funktionaler Modellhypothesen</w:t>
      </w:r>
    </w:p>
    <w:p w14:paraId="170B619D" w14:textId="77777777" w:rsidR="006463F2" w:rsidRDefault="006463F2" w:rsidP="006463F2">
      <w:pPr>
        <w:pStyle w:val="StandardWeb"/>
      </w:pPr>
      <w:r>
        <w:t xml:space="preserve">Im Sinne des FRZK ist empirische Überprüfung nicht als klassischer Wahrheitsnachweis zu verstehen, sondern als </w:t>
      </w:r>
      <w:r>
        <w:rPr>
          <w:rStyle w:val="Hervorhebung"/>
        </w:rPr>
        <w:t>Validierung relationaler Strukturkohärenz</w:t>
      </w:r>
      <w:r>
        <w:t>, die in funktionalen Kontexten rekonstruierbar wird. „Beweis“ im FRZK heißt: Beobachtbare Prozesse bestätigen, dass Zuweisungen systematisch, rekonstruierbar und konsistent konfiguriert sind – ohne externe Referenzinstanz [37].</w:t>
      </w:r>
    </w:p>
    <w:p w14:paraId="2AAC79C3" w14:textId="77777777" w:rsidR="006463F2" w:rsidRDefault="006463F2" w:rsidP="006463F2">
      <w:pPr>
        <w:pStyle w:val="StandardWeb"/>
      </w:pPr>
      <w:r>
        <w:t>Im Kontext praktischer Anwendungsforschung ergeben sich drei zentrale Erwartungstypen:</w:t>
      </w:r>
    </w:p>
    <w:p w14:paraId="35C7EA62" w14:textId="77777777" w:rsidR="006463F2" w:rsidRDefault="006463F2" w:rsidP="006463F2">
      <w:pPr>
        <w:pStyle w:val="StandardWeb"/>
      </w:pPr>
      <w:r w:rsidRPr="001C3289">
        <w:rPr>
          <w:rStyle w:val="Fett"/>
        </w:rPr>
        <w:t>(1) Strukturelle Konsistenz in didaktischen Settings:</w:t>
      </w:r>
      <w:r>
        <w:br/>
        <w:t>In Design-Based-Research-Ansätzen zeigen sich stabile, rekonstruierbare Muster in der Struktur von Lernumgebungen, etwa durch die wiederholbare Wirkung spezifischer Aufgabenformate, zeitlicher Strukturierungen oder Medienkonfigurationen [38][39]. Derartige Regularitäten sprechen für eine funktionale Gültigkeit der zugrunde liegenden Modellarchitektur.</w:t>
      </w:r>
    </w:p>
    <w:p w14:paraId="51778273" w14:textId="638FED23" w:rsidR="006463F2" w:rsidRDefault="006463F2" w:rsidP="000C55CF">
      <w:r w:rsidRPr="001C3289">
        <w:rPr>
          <w:rStyle w:val="Fett"/>
          <w:rFonts w:eastAsia="Times New Roman"/>
        </w:rPr>
        <w:t>(2) Emergenz in simulationsbasierten Testumgebungen:</w:t>
      </w:r>
      <w:r>
        <w:br/>
        <w:t>Multiagentensysteme (z. B. NetLogo-Umgebungen) ermöglichen es, Akteur-Funktionen als Steuerlogiken zu implementieren. Wenn z. B. ein Agent A durch Zuweisung M(</w:t>
      </w:r>
      <w:proofErr w:type="gramStart"/>
      <w:r>
        <w:t>A,Ψ</w:t>
      </w:r>
      <w:proofErr w:type="gramEnd"/>
      <w:r>
        <w:t>,x,y,z,t) adaptive Interaktionsmuster erzeugt, lässt sich empirisch zeigen, dass bestimmte Relationen (etwa Koordination oder Selbstregulation) systemisch entstehen – nicht aus den Einzelhandlungen heraus, sondern aus ihrer Verknüpfung [40][41].</w:t>
      </w:r>
      <w:r w:rsidR="000C55CF">
        <w:t xml:space="preserve"> Die </w:t>
      </w:r>
      <w:r w:rsidR="000C55CF" w:rsidRPr="000C55CF">
        <w:t xml:space="preserve">in </w:t>
      </w:r>
      <w:r w:rsidR="000C55CF">
        <w:t>„</w:t>
      </w:r>
      <w:r w:rsidR="000C55CF" w:rsidRPr="000C55CF">
        <w:t>Anlage 5.A – Semantische Dichtesimulation</w:t>
      </w:r>
      <w:r w:rsidR="000C55CF">
        <w:t>“ dokumentierte Clusterbildung semantischer Dichte zeigt, wie funktionale Attraktoren emergieren können.</w:t>
      </w:r>
    </w:p>
    <w:p w14:paraId="70D44F3D" w14:textId="77777777" w:rsidR="006463F2" w:rsidRDefault="006463F2" w:rsidP="006463F2">
      <w:pPr>
        <w:pStyle w:val="StandardWeb"/>
      </w:pPr>
      <w:r w:rsidRPr="001C3289">
        <w:rPr>
          <w:rStyle w:val="Fett"/>
        </w:rPr>
        <w:t>(3) Bedeutungskonvergenz in kommunikativen Kontexten:</w:t>
      </w:r>
      <w:r>
        <w:br/>
        <w:t>In der qualitativen Unterrichtsforschung oder Interviewanalyse zeigen sich stabile Bedeutungsbildungsprozesse, die nicht durch Begriffsdefinitionen, sondern durch situative Zuweisungen (Kontext, Betonung, Rolle, Handlungsperspektive) entstehen [42]. Diese Ergebnisse stützen die zentrale Annahme des FRZK, dass Bedeutung nicht an Subjekte oder Inhalte gebunden ist, sondern aus relationaler Positionierung emergiert.</w:t>
      </w:r>
    </w:p>
    <w:p w14:paraId="1BF0D2B8" w14:textId="77777777" w:rsidR="006463F2" w:rsidRDefault="006463F2" w:rsidP="006463F2">
      <w:pPr>
        <w:pStyle w:val="StandardWeb"/>
      </w:pPr>
      <w:r>
        <w:t xml:space="preserve">Widerlegungen im klassischen Sinne sind innerhalb funktionaler Modelle nur begrenzt denkbar. Da das FRZK keinen Objektbezug postuliert, ist kein Außensystem verfügbar, mit dem sich Aussagen als „falsch“ verifizieren lassen. Dennoch gibt es relevante Kriterien für </w:t>
      </w:r>
      <w:r w:rsidRPr="001C3289">
        <w:rPr>
          <w:rStyle w:val="Fett"/>
        </w:rPr>
        <w:t>funktionale Widerlegbarkeit</w:t>
      </w:r>
      <w:r>
        <w:t>:</w:t>
      </w:r>
    </w:p>
    <w:p w14:paraId="00D0A48E" w14:textId="77777777" w:rsidR="006463F2" w:rsidRDefault="006463F2" w:rsidP="006463F2">
      <w:pPr>
        <w:pStyle w:val="StandardWeb"/>
        <w:numPr>
          <w:ilvl w:val="0"/>
          <w:numId w:val="7"/>
        </w:numPr>
      </w:pPr>
      <w:r w:rsidRPr="001C3289">
        <w:rPr>
          <w:rStyle w:val="Fett"/>
        </w:rPr>
        <w:t>Inkohärenz:</w:t>
      </w:r>
      <w:r>
        <w:t xml:space="preserve"> Wenn ein Zuweisungssystem intern widersprüchlich ist – z. B. wenn ψ-Operatoren in M(</w:t>
      </w:r>
      <w:proofErr w:type="gramStart"/>
      <w:r>
        <w:t>A,Ψ</w:t>
      </w:r>
      <w:proofErr w:type="gramEnd"/>
      <w:r>
        <w:t>,x,y,z,t) unvereinbare Kontexte erzeugen.</w:t>
      </w:r>
    </w:p>
    <w:p w14:paraId="5F45888B" w14:textId="77777777" w:rsidR="006463F2" w:rsidRDefault="006463F2" w:rsidP="006463F2">
      <w:pPr>
        <w:pStyle w:val="StandardWeb"/>
        <w:numPr>
          <w:ilvl w:val="0"/>
          <w:numId w:val="7"/>
        </w:numPr>
      </w:pPr>
      <w:r w:rsidRPr="001C3289">
        <w:rPr>
          <w:rStyle w:val="Fett"/>
        </w:rPr>
        <w:t>Strukturversagen:</w:t>
      </w:r>
      <w:r>
        <w:t xml:space="preserve"> Wenn kein Zusammenhang zwischen eingesetzten Zuweisungen und beobachtbaren Systemverhalten rekonstruierbar ist.</w:t>
      </w:r>
    </w:p>
    <w:p w14:paraId="099415BE" w14:textId="77777777" w:rsidR="006463F2" w:rsidRDefault="006463F2" w:rsidP="006463F2">
      <w:pPr>
        <w:pStyle w:val="StandardWeb"/>
        <w:numPr>
          <w:ilvl w:val="0"/>
          <w:numId w:val="7"/>
        </w:numPr>
      </w:pPr>
      <w:r w:rsidRPr="001C3289">
        <w:rPr>
          <w:rStyle w:val="Fett"/>
        </w:rPr>
        <w:t>Redundanz oder Trivialität:</w:t>
      </w:r>
      <w:r>
        <w:t xml:space="preserve"> Wenn funktionale Zuweisungen zu beliebigen Ergebnissen führen oder keine Emergenz erzeugen.</w:t>
      </w:r>
    </w:p>
    <w:p w14:paraId="1112BF6A" w14:textId="77777777" w:rsidR="006463F2" w:rsidRDefault="006463F2" w:rsidP="006463F2">
      <w:pPr>
        <w:pStyle w:val="StandardWeb"/>
      </w:pPr>
      <w:r>
        <w:t>„Fehlschläge funktionaler Modelle sind keine Negationen, sondern Indikatoren systemischer Nichtanschlussfähigkeit – und damit Hinweise auf notwendige Modellrevisionen.“ [43]</w:t>
      </w:r>
    </w:p>
    <w:p w14:paraId="1746117D" w14:textId="77777777" w:rsidR="006463F2" w:rsidRDefault="006463F2" w:rsidP="006463F2">
      <w:pPr>
        <w:pStyle w:val="berschrift3"/>
      </w:pPr>
      <w:r>
        <w:t>5.5.2 Hinweise auf Modellanpassungen oder Weiterentwicklungen</w:t>
      </w:r>
    </w:p>
    <w:p w14:paraId="7619A2ED" w14:textId="77777777" w:rsidR="006463F2" w:rsidRDefault="006463F2" w:rsidP="006463F2">
      <w:pPr>
        <w:pStyle w:val="StandardWeb"/>
      </w:pPr>
      <w:r>
        <w:t xml:space="preserve">Funktionale Modelle zeichnen sich nicht durch Endgültigkeit aus, sondern durch </w:t>
      </w:r>
      <w:r>
        <w:rPr>
          <w:rStyle w:val="Hervorhebung"/>
        </w:rPr>
        <w:t>modellinterne Lernfähigkeit</w:t>
      </w:r>
      <w:r>
        <w:t>. Jede Anwendung des FRZK kann daher zur Erkenntnis über seine eigene Struktur führen. Drei paradigmatische Adaptionsformen zeichnen sich ab:</w:t>
      </w:r>
    </w:p>
    <w:p w14:paraId="508C58FB" w14:textId="77777777" w:rsidR="006463F2" w:rsidRDefault="006463F2" w:rsidP="006463F2">
      <w:pPr>
        <w:pStyle w:val="StandardWeb"/>
      </w:pPr>
      <w:r w:rsidRPr="001C3289">
        <w:rPr>
          <w:rStyle w:val="Fett"/>
        </w:rPr>
        <w:t>(1) Parametrische Optimierung der Meta-Funktion:</w:t>
      </w:r>
      <w:r>
        <w:br/>
        <w:t>In zahlreichen agentenbasierten Modellen zeigen sich die ψ-Komponenten (Interpretationsrahmen) als hochsensibel. Kleine Veränderungen – etwa im relationalen Kontext oder in der Raumzeitkoordinatierung – führen zu völlig neuen emergenten Strukturen. Diese Sensitivität erlaubt einerseits Differenzierung, erfordert andererseits präzise empirische Rückkopplung [40].</w:t>
      </w:r>
    </w:p>
    <w:p w14:paraId="333E6AD4" w14:textId="77777777" w:rsidR="006463F2" w:rsidRDefault="006463F2" w:rsidP="006463F2">
      <w:pPr>
        <w:pStyle w:val="StandardWeb"/>
      </w:pPr>
      <w:r w:rsidRPr="001C3289">
        <w:rPr>
          <w:rStyle w:val="Fett"/>
        </w:rPr>
        <w:t>(2) Domänenspezifische Modellvarianten:</w:t>
      </w:r>
      <w:r>
        <w:br/>
        <w:t>In medizinischen Entscheidungsprozessen hat sich gezeigt, dass Akteur-Objekt-Relationen nicht tragfähig genug sind. Stattdessen wurden feldbasierte Zuweisungssysteme modelliert, bei denen die Handlungsmacht emergent aus Rollen, Kommunikationsprozessen und zeitlichen Fenstern entsteht – eine Funktionalität, die ohne FRZK-Logik nicht abbildbar wäre [44].</w:t>
      </w:r>
    </w:p>
    <w:p w14:paraId="7C951217" w14:textId="77777777" w:rsidR="006463F2" w:rsidRDefault="006463F2" w:rsidP="006463F2">
      <w:pPr>
        <w:pStyle w:val="StandardWeb"/>
      </w:pPr>
      <w:r w:rsidRPr="001C3289">
        <w:rPr>
          <w:rStyle w:val="Fett"/>
        </w:rPr>
        <w:t>(3) Reflexive Metastrukturen im Forschungsprozess:</w:t>
      </w:r>
      <w:r>
        <w:br/>
        <w:t>Forschungsdesigns, die systematisch Meta-Beobachter integrieren – etwa in Form von Forschungstagebüchern, Diskursprotokollen oder automatisierten Reflexionstrackern – erzeugen eine neue Beobachtungsebene. Diese Metazuweisungen können systemisch als Teil des Modells erfasst werden und erhöhen dessen strukturelle Selbstreferenzialität [45].</w:t>
      </w:r>
    </w:p>
    <w:p w14:paraId="7DE3FCB4" w14:textId="77777777" w:rsidR="006463F2" w:rsidRDefault="006463F2" w:rsidP="006463F2">
      <w:pPr>
        <w:pStyle w:val="StandardWeb"/>
      </w:pPr>
      <w:r>
        <w:t xml:space="preserve">Diese Erweiterungen demonstrieren, dass das FRZK nicht als geschlossener Theoriekörper fungiert, sondern als </w:t>
      </w:r>
      <w:r>
        <w:rPr>
          <w:rStyle w:val="Hervorhebung"/>
        </w:rPr>
        <w:t>epistemisches System</w:t>
      </w:r>
      <w:r>
        <w:t>, das durch empirische Praxis permanent weiterentwickelt wird. Seine Beweisbarkeit liegt genau in dieser Rekonfigurierbarkeit: Nur was sich rekonstruieren, modifizieren und anschlussfähig erhalten lässt, gilt als funktional stabil.</w:t>
      </w:r>
    </w:p>
    <w:p w14:paraId="4BEEBA2C" w14:textId="77777777" w:rsidR="006463F2" w:rsidRDefault="00BD2758" w:rsidP="006463F2">
      <w:r>
        <w:pict w14:anchorId="7F1E0775">
          <v:rect id="_x0000_i1034" style="width:0;height:1.5pt" o:hralign="center" o:hrstd="t" o:hr="t" fillcolor="#a0a0a0" stroked="f"/>
        </w:pict>
      </w:r>
    </w:p>
    <w:p w14:paraId="4C425C61" w14:textId="77777777" w:rsidR="00572895" w:rsidRDefault="00572895" w:rsidP="00572895">
      <w:pPr>
        <w:pStyle w:val="berschrift2"/>
      </w:pPr>
      <w:r>
        <w:t>5.6 Regressmodellierung und funktionale Selbstreferenz</w:t>
      </w:r>
    </w:p>
    <w:p w14:paraId="28DEDB98" w14:textId="77777777" w:rsidR="00572895" w:rsidRDefault="00572895" w:rsidP="00572895">
      <w:pPr>
        <w:pStyle w:val="berschrift3"/>
      </w:pPr>
      <w:r>
        <w:t>5.6.1 Regress als erkenntnistheoretische Problemfigur – und seine Umdeutung</w:t>
      </w:r>
    </w:p>
    <w:p w14:paraId="089B0E58" w14:textId="77777777" w:rsidR="00572895" w:rsidRDefault="00572895" w:rsidP="00572895">
      <w:pPr>
        <w:pStyle w:val="StandardWeb"/>
      </w:pPr>
      <w:r>
        <w:t xml:space="preserve">Der sogenannte </w:t>
      </w:r>
      <w:r>
        <w:rPr>
          <w:rStyle w:val="Hervorhebung"/>
        </w:rPr>
        <w:t>infinitive Regress</w:t>
      </w:r>
      <w:r>
        <w:t xml:space="preserve"> bezeichnet eine erkenntnistheoretische Struktur, in der jede Aussage, Beobachtung oder Begründung ihrerseits wieder begründet oder beobachtet werden müsste – potenziell ohne Ende. Klassisch wird dies als Problem angesehen: Entweder führt der Regress zur </w:t>
      </w:r>
      <w:r w:rsidRPr="001C3289">
        <w:rPr>
          <w:rStyle w:val="Fett"/>
        </w:rPr>
        <w:t>dogmatischen Setzung</w:t>
      </w:r>
      <w:r>
        <w:t xml:space="preserve"> (Fundamentalismus), zur </w:t>
      </w:r>
      <w:r w:rsidRPr="001C3289">
        <w:rPr>
          <w:rStyle w:val="Fett"/>
        </w:rPr>
        <w:t>Zirkularität</w:t>
      </w:r>
      <w:r>
        <w:t xml:space="preserve"> (z. B. „Ich glaube, </w:t>
      </w:r>
      <w:proofErr w:type="gramStart"/>
      <w:r>
        <w:t>weil</w:t>
      </w:r>
      <w:proofErr w:type="gramEnd"/>
      <w:r>
        <w:t xml:space="preserve"> ich glaube“) oder zum </w:t>
      </w:r>
      <w:r w:rsidRPr="001C3289">
        <w:rPr>
          <w:rStyle w:val="Fett"/>
        </w:rPr>
        <w:t>epistemischen Stillstand</w:t>
      </w:r>
      <w:r>
        <w:t xml:space="preserve"> (vgl. Floridi, 2011, [63]).</w:t>
      </w:r>
    </w:p>
    <w:p w14:paraId="3F81FB51" w14:textId="77777777" w:rsidR="00572895" w:rsidRDefault="00572895" w:rsidP="00572895">
      <w:pPr>
        <w:pStyle w:val="StandardWeb"/>
      </w:pPr>
      <w:r>
        <w:t xml:space="preserve">Im </w:t>
      </w:r>
      <w:r w:rsidRPr="001C3289">
        <w:rPr>
          <w:rStyle w:val="Fett"/>
        </w:rPr>
        <w:t>Funktionalen Bezugssystem radikal konstruiert (</w:t>
      </w:r>
      <w:r>
        <w:rPr>
          <w:rStyle w:val="Fett"/>
        </w:rPr>
        <w:t>FRZK</w:t>
      </w:r>
      <w:r w:rsidRPr="001C3289">
        <w:rPr>
          <w:rStyle w:val="Fett"/>
        </w:rPr>
        <w:t>)</w:t>
      </w:r>
      <w:r>
        <w:t xml:space="preserve"> wird dieser Infinite Regress jedoch nicht als Scheitern epistemischer Systeme verstanden, sondern als </w:t>
      </w:r>
      <w:r w:rsidRPr="001C3289">
        <w:rPr>
          <w:rStyle w:val="Fett"/>
        </w:rPr>
        <w:t>Strukturprinzip reflexiver Modellbildung</w:t>
      </w:r>
      <w:r>
        <w:t xml:space="preserve">: Jede Beobachtung ist eine funktionale Zuweisung – und jede Beobachtung einer Beobachtung ist eine weitere funktionale Zuweisung höherer Ordnung. Das FRZK interpretiert diese Struktur nicht als Abbruchgrund, sondern als Grundlage für </w:t>
      </w:r>
      <w:r w:rsidRPr="001C3289">
        <w:rPr>
          <w:rStyle w:val="Fett"/>
        </w:rPr>
        <w:t>rekursive Selbstbezüglichkeit</w:t>
      </w:r>
      <w:r>
        <w:t xml:space="preserve"> im erkenntnistheoretischen Raum (vgl. von Foerster, 1984, [72]; Luhmann, 1990, [69]).</w:t>
      </w:r>
    </w:p>
    <w:p w14:paraId="789338DA" w14:textId="77777777" w:rsidR="00572895" w:rsidRDefault="00572895" w:rsidP="00572895">
      <w:pPr>
        <w:pStyle w:val="StandardWeb"/>
      </w:pPr>
      <w:r>
        <w:t>Formal dargestellt, lässt sich der Regress im FRZK als eine Folge von Meta-Funktionen notieren:</w:t>
      </w:r>
    </w:p>
    <w:p w14:paraId="42F8E8A6" w14:textId="77777777" w:rsidR="00572895" w:rsidRDefault="00572895" w:rsidP="00572895">
      <w:r>
        <w:rPr>
          <w:rStyle w:val="katex-mathml"/>
        </w:rPr>
        <w:t>Mn(U)=M(Mn−1(U</w:t>
      </w:r>
      <w:proofErr w:type="gramStart"/>
      <w:r>
        <w:rPr>
          <w:rStyle w:val="katex-mathml"/>
        </w:rPr>
        <w:t>),Ψ</w:t>
      </w:r>
      <w:proofErr w:type="gramEnd"/>
      <w:r>
        <w:rPr>
          <w:rStyle w:val="katex-mathml"/>
        </w:rPr>
        <w:t>n,xn,yn,zn,tn)M_n(U) = M(M_{n-1}(U), \Psi_n, x_n, y_n, z_n, t_n)</w:t>
      </w:r>
      <w:r>
        <w:rPr>
          <w:rStyle w:val="mord"/>
        </w:rPr>
        <w:t>Mn</w:t>
      </w:r>
      <w:r>
        <w:rPr>
          <w:rStyle w:val="vlist-s"/>
        </w:rPr>
        <w:t>​</w:t>
      </w:r>
      <w:r>
        <w:rPr>
          <w:rStyle w:val="mopen"/>
        </w:rPr>
        <w:t>(</w:t>
      </w:r>
      <w:r>
        <w:rPr>
          <w:rStyle w:val="mord"/>
        </w:rPr>
        <w:t>U</w:t>
      </w:r>
      <w:r>
        <w:rPr>
          <w:rStyle w:val="mclose"/>
        </w:rPr>
        <w:t>)</w:t>
      </w:r>
      <w:r>
        <w:rPr>
          <w:rStyle w:val="mrel"/>
        </w:rPr>
        <w:t>=</w:t>
      </w:r>
      <w:r>
        <w:rPr>
          <w:rStyle w:val="mord"/>
        </w:rPr>
        <w:t>M</w:t>
      </w:r>
      <w:r>
        <w:rPr>
          <w:rStyle w:val="mopen"/>
        </w:rPr>
        <w:t>(</w:t>
      </w:r>
      <w:r>
        <w:rPr>
          <w:rStyle w:val="mord"/>
        </w:rPr>
        <w:t>Mn</w:t>
      </w:r>
      <w:r>
        <w:rPr>
          <w:rStyle w:val="mbin"/>
        </w:rPr>
        <w:t>−</w:t>
      </w:r>
      <w:r>
        <w:rPr>
          <w:rStyle w:val="mord"/>
        </w:rPr>
        <w:t>1</w:t>
      </w:r>
      <w:r>
        <w:rPr>
          <w:rStyle w:val="vlist-s"/>
        </w:rPr>
        <w:t>​</w:t>
      </w:r>
      <w:r>
        <w:rPr>
          <w:rStyle w:val="mopen"/>
        </w:rPr>
        <w:t>(</w:t>
      </w:r>
      <w:r>
        <w:rPr>
          <w:rStyle w:val="mord"/>
        </w:rPr>
        <w:t>U</w:t>
      </w:r>
      <w:r>
        <w:rPr>
          <w:rStyle w:val="mclose"/>
        </w:rPr>
        <w:t>)</w:t>
      </w:r>
      <w:r>
        <w:rPr>
          <w:rStyle w:val="mpunct"/>
        </w:rPr>
        <w:t>,</w:t>
      </w:r>
      <w:r>
        <w:rPr>
          <w:rStyle w:val="mord"/>
        </w:rPr>
        <w:t>Ψn</w:t>
      </w:r>
      <w:r>
        <w:rPr>
          <w:rStyle w:val="vlist-s"/>
        </w:rPr>
        <w:t>​</w:t>
      </w:r>
      <w:r>
        <w:rPr>
          <w:rStyle w:val="mpunct"/>
        </w:rPr>
        <w:t>,</w:t>
      </w:r>
      <w:r>
        <w:rPr>
          <w:rStyle w:val="mord"/>
        </w:rPr>
        <w:t>xn</w:t>
      </w:r>
      <w:r>
        <w:rPr>
          <w:rStyle w:val="vlist-s"/>
        </w:rPr>
        <w:t>​</w:t>
      </w:r>
      <w:r>
        <w:rPr>
          <w:rStyle w:val="mpunct"/>
        </w:rPr>
        <w:t>,</w:t>
      </w:r>
      <w:r>
        <w:rPr>
          <w:rStyle w:val="mord"/>
        </w:rPr>
        <w:t>yn</w:t>
      </w:r>
      <w:r>
        <w:rPr>
          <w:rStyle w:val="vlist-s"/>
        </w:rPr>
        <w:t>​</w:t>
      </w:r>
      <w:r>
        <w:rPr>
          <w:rStyle w:val="mpunct"/>
        </w:rPr>
        <w:t>,</w:t>
      </w:r>
      <w:r>
        <w:rPr>
          <w:rStyle w:val="mord"/>
        </w:rPr>
        <w:t>zn</w:t>
      </w:r>
      <w:r>
        <w:rPr>
          <w:rStyle w:val="vlist-s"/>
        </w:rPr>
        <w:t>​</w:t>
      </w:r>
      <w:r>
        <w:rPr>
          <w:rStyle w:val="mpunct"/>
        </w:rPr>
        <w:t>,</w:t>
      </w:r>
      <w:r>
        <w:rPr>
          <w:rStyle w:val="mord"/>
        </w:rPr>
        <w:t>tn</w:t>
      </w:r>
      <w:r>
        <w:rPr>
          <w:rStyle w:val="vlist-s"/>
        </w:rPr>
        <w:t>​</w:t>
      </w:r>
      <w:r>
        <w:rPr>
          <w:rStyle w:val="mclose"/>
        </w:rPr>
        <w:t>)</w:t>
      </w:r>
      <w:r>
        <w:t xml:space="preserve"> </w:t>
      </w:r>
    </w:p>
    <w:p w14:paraId="6202000B" w14:textId="77777777" w:rsidR="00572895" w:rsidRDefault="00572895" w:rsidP="00572895">
      <w:pPr>
        <w:pStyle w:val="StandardWeb"/>
      </w:pPr>
      <w:r>
        <w:t xml:space="preserve">Diese Struktur beschreibt nicht nur „mehr vom Gleichen“, sondern jeweils </w:t>
      </w:r>
      <w:r w:rsidRPr="001C3289">
        <w:rPr>
          <w:rStyle w:val="Fett"/>
        </w:rPr>
        <w:t>qualitativ neue Ordnungen</w:t>
      </w:r>
      <w:r>
        <w:t xml:space="preserve"> der Funktionszuweisung. Mit jedem Schritt steigen Differenzierung, Kontextsensitivität und die Fähigkeit zur Selbstevaluation – die Regressstruktur wird damit zur </w:t>
      </w:r>
      <w:r w:rsidRPr="001C3289">
        <w:rPr>
          <w:rStyle w:val="Fett"/>
        </w:rPr>
        <w:t>epistemischen Produktivkraft</w:t>
      </w:r>
      <w:r>
        <w:t>.</w:t>
      </w:r>
    </w:p>
    <w:p w14:paraId="01C89ABD" w14:textId="77777777" w:rsidR="00572895" w:rsidRDefault="00BD2758" w:rsidP="00572895">
      <w:r>
        <w:pict w14:anchorId="3BF6CE99">
          <v:rect id="_x0000_i1035" style="width:0;height:1.5pt" o:hralign="center" o:hrstd="t" o:hr="t" fillcolor="#a0a0a0" stroked="f"/>
        </w:pict>
      </w:r>
    </w:p>
    <w:p w14:paraId="7A3B610B" w14:textId="77777777" w:rsidR="00572895" w:rsidRDefault="00BD2758" w:rsidP="00572895">
      <w:r>
        <w:pict w14:anchorId="06609781">
          <v:rect id="_x0000_i1036" style="width:0;height:1.5pt" o:hralign="center" o:hrstd="t" o:hr="t" fillcolor="#a0a0a0" stroked="f"/>
        </w:pict>
      </w:r>
    </w:p>
    <w:p w14:paraId="5306CD52" w14:textId="2832B4E7" w:rsidR="00572895" w:rsidRDefault="00572895" w:rsidP="00572895">
      <w:pPr>
        <w:pStyle w:val="berschrift3"/>
      </w:pPr>
      <w:r>
        <w:t>5.6.2 Infinite Regress in Metakognition und Theory of Mind</w:t>
      </w:r>
    </w:p>
    <w:p w14:paraId="46FF930A" w14:textId="77777777" w:rsidR="00572895" w:rsidRDefault="00572895" w:rsidP="00572895">
      <w:pPr>
        <w:pStyle w:val="StandardWeb"/>
      </w:pPr>
      <w:r>
        <w:t xml:space="preserve">Auch in der </w:t>
      </w:r>
      <w:r w:rsidRPr="001C3289">
        <w:rPr>
          <w:rStyle w:val="Fett"/>
        </w:rPr>
        <w:t>kognitionspsychologischen Forschung</w:t>
      </w:r>
      <w:r>
        <w:t xml:space="preserve"> ist der Infinite Regress kein Fremdkörper, sondern Teil funktionaler Theoriebildung. Bereits John Flavell (1979) beschrieb Metakognition als „knowledge about one’s own cognitive processes“ – eine Fähigkeit, die in iterativen Schleifen strukturiert ist (Flavell, 1979, [74]).</w:t>
      </w:r>
    </w:p>
    <w:p w14:paraId="55B8AEB6" w14:textId="77777777" w:rsidR="00572895" w:rsidRDefault="00572895" w:rsidP="00572895">
      <w:pPr>
        <w:pStyle w:val="StandardWeb"/>
      </w:pPr>
      <w:r>
        <w:t xml:space="preserve">In sogenannten </w:t>
      </w:r>
      <w:r>
        <w:rPr>
          <w:rStyle w:val="Hervorhebung"/>
        </w:rPr>
        <w:t>Theory-of-Mind</w:t>
      </w:r>
      <w:r>
        <w:t xml:space="preserve">-Modellen wird angenommen, dass Menschen nicht nur Überzeugungen über die Welt, sondern auch über die Überzeugungen anderer besitzen – und wiederum über deren Überzeugungen. Diese Regressstruktur lässt sich im FRZK als </w:t>
      </w:r>
      <w:r w:rsidRPr="001C3289">
        <w:rPr>
          <w:rStyle w:val="Fett"/>
        </w:rPr>
        <w:t>komplexes Funktionsgeflecht</w:t>
      </w:r>
      <w:r>
        <w:t xml:space="preserve"> darstellen:</w:t>
      </w:r>
    </w:p>
    <w:p w14:paraId="29137248" w14:textId="77777777" w:rsidR="00572895" w:rsidRDefault="00572895" w:rsidP="00572895">
      <w:r>
        <w:rPr>
          <w:rStyle w:val="katex-mathml"/>
        </w:rPr>
        <w:t>M1(A)</w:t>
      </w:r>
      <w:proofErr w:type="gramStart"/>
      <w:r>
        <w:rPr>
          <w:rStyle w:val="katex-mathml"/>
        </w:rPr>
        <w:t>=„</w:t>
      </w:r>
      <w:proofErr w:type="gramEnd"/>
      <w:r>
        <w:rPr>
          <w:rStyle w:val="katex-mathml"/>
        </w:rPr>
        <w:t>Ich denke, dass...“,M2(M1)=„Ich denke, dass du denkst, dass...“,…M_1(A) = \text{„Ich denke, dass...“}, \quad M_2(M_1) = \text{„Ich denke, dass du denkst, dass...“}, \quad \dots</w:t>
      </w:r>
      <w:r>
        <w:rPr>
          <w:rStyle w:val="mord"/>
        </w:rPr>
        <w:t>M1</w:t>
      </w:r>
      <w:r>
        <w:rPr>
          <w:rStyle w:val="vlist-s"/>
        </w:rPr>
        <w:t>​</w:t>
      </w:r>
      <w:r>
        <w:rPr>
          <w:rStyle w:val="mopen"/>
        </w:rPr>
        <w:t>(</w:t>
      </w:r>
      <w:r>
        <w:rPr>
          <w:rStyle w:val="mord"/>
        </w:rPr>
        <w:t>A</w:t>
      </w:r>
      <w:r>
        <w:rPr>
          <w:rStyle w:val="mclose"/>
        </w:rPr>
        <w:t>)</w:t>
      </w:r>
      <w:r>
        <w:rPr>
          <w:rStyle w:val="mrel"/>
        </w:rPr>
        <w:t>=</w:t>
      </w:r>
      <w:r>
        <w:rPr>
          <w:rStyle w:val="mord"/>
        </w:rPr>
        <w:t>„Ich denke, dass...“</w:t>
      </w:r>
      <w:r>
        <w:rPr>
          <w:rStyle w:val="mpunct"/>
        </w:rPr>
        <w:t>,</w:t>
      </w:r>
      <w:r>
        <w:rPr>
          <w:rStyle w:val="mord"/>
        </w:rPr>
        <w:t>M2</w:t>
      </w:r>
      <w:r>
        <w:rPr>
          <w:rStyle w:val="vlist-s"/>
        </w:rPr>
        <w:t>​</w:t>
      </w:r>
      <w:r>
        <w:rPr>
          <w:rStyle w:val="mopen"/>
        </w:rPr>
        <w:t>(</w:t>
      </w:r>
      <w:r>
        <w:rPr>
          <w:rStyle w:val="mord"/>
        </w:rPr>
        <w:t>M1</w:t>
      </w:r>
      <w:r>
        <w:rPr>
          <w:rStyle w:val="vlist-s"/>
        </w:rPr>
        <w:t>​</w:t>
      </w:r>
      <w:r>
        <w:rPr>
          <w:rStyle w:val="mclose"/>
        </w:rPr>
        <w:t>)</w:t>
      </w:r>
      <w:r>
        <w:rPr>
          <w:rStyle w:val="mrel"/>
        </w:rPr>
        <w:t>=</w:t>
      </w:r>
      <w:r>
        <w:rPr>
          <w:rStyle w:val="mord"/>
        </w:rPr>
        <w:t>„Ich denke, dass du denkst, dass...“</w:t>
      </w:r>
      <w:r>
        <w:rPr>
          <w:rStyle w:val="mpunct"/>
        </w:rPr>
        <w:t>,</w:t>
      </w:r>
      <w:r>
        <w:rPr>
          <w:rStyle w:val="minner"/>
        </w:rPr>
        <w:t>…</w:t>
      </w:r>
      <w:r>
        <w:t xml:space="preserve"> </w:t>
      </w:r>
    </w:p>
    <w:p w14:paraId="6A13F8CA" w14:textId="77777777" w:rsidR="00572895" w:rsidRDefault="00572895" w:rsidP="00572895">
      <w:pPr>
        <w:pStyle w:val="StandardWeb"/>
      </w:pPr>
      <w:r>
        <w:t xml:space="preserve">Solche Konstruktionen sind beispielsweise entscheidend für soziales Handeln, narrative Kompetenz und moralische Urteilsbildung (vgl. Varela et al., 1991, [81]). Im FRZK wird diese Struktur nicht nur beschrieben, sondern als </w:t>
      </w:r>
      <w:r w:rsidRPr="001C3289">
        <w:rPr>
          <w:rStyle w:val="Fett"/>
        </w:rPr>
        <w:t>Zuweisungslogik explizit modellierbar</w:t>
      </w:r>
      <w:r>
        <w:t>.</w:t>
      </w:r>
    </w:p>
    <w:p w14:paraId="1B3C45E9" w14:textId="77777777" w:rsidR="00572895" w:rsidRDefault="00BD2758" w:rsidP="00572895">
      <w:r>
        <w:pict w14:anchorId="42A0F420">
          <v:rect id="_x0000_i1037" style="width:0;height:1.5pt" o:hralign="center" o:hrstd="t" o:hr="t" fillcolor="#a0a0a0" stroked="f"/>
        </w:pict>
      </w:r>
    </w:p>
    <w:p w14:paraId="7252BE07" w14:textId="50BCFF0C" w:rsidR="00572895" w:rsidRDefault="00572895" w:rsidP="00572895">
      <w:pPr>
        <w:pStyle w:val="berschrift3"/>
      </w:pPr>
      <w:r>
        <w:t>5.6.3 Regressive Selbstmodellierung in der Künstlichen Intelligenz</w:t>
      </w:r>
    </w:p>
    <w:p w14:paraId="6B511032" w14:textId="77777777" w:rsidR="00572895" w:rsidRDefault="00572895" w:rsidP="00572895">
      <w:pPr>
        <w:pStyle w:val="StandardWeb"/>
      </w:pPr>
      <w:r>
        <w:t xml:space="preserve">In der </w:t>
      </w:r>
      <w:r w:rsidRPr="001C3289">
        <w:rPr>
          <w:rStyle w:val="Fett"/>
        </w:rPr>
        <w:t>Künstlichen Intelligenz</w:t>
      </w:r>
      <w:r>
        <w:t xml:space="preserve"> wird Regressstruktur zunehmend explizit genutzt – etwa in </w:t>
      </w:r>
      <w:r w:rsidRPr="001C3289">
        <w:rPr>
          <w:rStyle w:val="Fett"/>
        </w:rPr>
        <w:t>Meta-Learning</w:t>
      </w:r>
      <w:r>
        <w:t xml:space="preserve">-Systemen, die ihre eigenen Lernprozesse zum Lerngegenstand machen (vgl. Schmidhuber, 2015, [73]; Sutton &amp; Barto, 2018, [75]). Hier lernen Agenten nicht nur „wie“ zu handeln, sondern </w:t>
      </w:r>
      <w:r w:rsidRPr="001C3289">
        <w:rPr>
          <w:rStyle w:val="Fett"/>
        </w:rPr>
        <w:t>wie sie lernen</w:t>
      </w:r>
      <w:r>
        <w:t>, wie sie lernen. Auch hier entsteht ein Regress:</w:t>
      </w:r>
    </w:p>
    <w:p w14:paraId="1FE73F88" w14:textId="77777777" w:rsidR="00572895" w:rsidRDefault="00572895" w:rsidP="00572895">
      <w:r>
        <w:rPr>
          <w:rStyle w:val="katex-error"/>
        </w:rPr>
        <w:t>L_0 = \</w:t>
      </w:r>
      <w:proofErr w:type="gramStart"/>
      <w:r>
        <w:rPr>
          <w:rStyle w:val="katex-error"/>
        </w:rPr>
        <w:t>text{</w:t>
      </w:r>
      <w:proofErr w:type="gramEnd"/>
      <w:r>
        <w:rPr>
          <w:rStyle w:val="katex-error"/>
        </w:rPr>
        <w:t>Policy}, \quad L_1 = \text{Policy über Policies}, \quad L_2 = \text{Adaptives Lernen von L_1}</w:t>
      </w:r>
      <w:r>
        <w:t xml:space="preserve"> </w:t>
      </w:r>
    </w:p>
    <w:p w14:paraId="057D1781" w14:textId="77777777" w:rsidR="00572895" w:rsidRDefault="00572895" w:rsidP="00572895">
      <w:pPr>
        <w:pStyle w:val="StandardWeb"/>
      </w:pPr>
      <w:r>
        <w:t>Im FRZK kann diese Architektur durch verschachtelte Meta-Funktionen modelliert werden, etwa durch:</w:t>
      </w:r>
    </w:p>
    <w:p w14:paraId="2AFB7433" w14:textId="77777777" w:rsidR="00572895" w:rsidRDefault="00572895" w:rsidP="00572895">
      <w:r>
        <w:rPr>
          <w:rStyle w:val="katex-mathml"/>
        </w:rPr>
        <w:t>M3(A)=M(M(M(</w:t>
      </w:r>
      <w:proofErr w:type="gramStart"/>
      <w:r>
        <w:rPr>
          <w:rStyle w:val="katex-mathml"/>
        </w:rPr>
        <w:t>A,Ψ</w:t>
      </w:r>
      <w:proofErr w:type="gramEnd"/>
      <w:r>
        <w:rPr>
          <w:rStyle w:val="katex-mathml"/>
        </w:rPr>
        <w:t>1),Ψ2),Ψ3)M_3(A) = M(M(M(A, \Psi_1), \Psi_2), \Psi_3)</w:t>
      </w:r>
      <w:r>
        <w:rPr>
          <w:rStyle w:val="mord"/>
        </w:rPr>
        <w:t>M3</w:t>
      </w:r>
      <w:r>
        <w:rPr>
          <w:rStyle w:val="vlist-s"/>
        </w:rPr>
        <w:t>​</w:t>
      </w:r>
      <w:r>
        <w:rPr>
          <w:rStyle w:val="mopen"/>
        </w:rPr>
        <w:t>(</w:t>
      </w:r>
      <w:r>
        <w:rPr>
          <w:rStyle w:val="mord"/>
        </w:rPr>
        <w:t>A</w:t>
      </w:r>
      <w:r>
        <w:rPr>
          <w:rStyle w:val="mclose"/>
        </w:rPr>
        <w:t>)</w:t>
      </w:r>
      <w:r>
        <w:rPr>
          <w:rStyle w:val="mrel"/>
        </w:rPr>
        <w:t>=</w:t>
      </w:r>
      <w:r>
        <w:rPr>
          <w:rStyle w:val="mord"/>
        </w:rPr>
        <w:t>M</w:t>
      </w:r>
      <w:r>
        <w:rPr>
          <w:rStyle w:val="mopen"/>
        </w:rPr>
        <w:t>(</w:t>
      </w:r>
      <w:r>
        <w:rPr>
          <w:rStyle w:val="mord"/>
        </w:rPr>
        <w:t>M</w:t>
      </w:r>
      <w:r>
        <w:rPr>
          <w:rStyle w:val="mopen"/>
        </w:rPr>
        <w:t>(</w:t>
      </w:r>
      <w:r>
        <w:rPr>
          <w:rStyle w:val="mord"/>
        </w:rPr>
        <w:t>M</w:t>
      </w:r>
      <w:r>
        <w:rPr>
          <w:rStyle w:val="mopen"/>
        </w:rPr>
        <w:t>(</w:t>
      </w:r>
      <w:r>
        <w:rPr>
          <w:rStyle w:val="mord"/>
        </w:rPr>
        <w:t>A</w:t>
      </w:r>
      <w:r>
        <w:rPr>
          <w:rStyle w:val="mpunct"/>
        </w:rPr>
        <w:t>,</w:t>
      </w:r>
      <w:r>
        <w:rPr>
          <w:rStyle w:val="mord"/>
        </w:rPr>
        <w:t>Ψ1</w:t>
      </w:r>
      <w:r>
        <w:rPr>
          <w:rStyle w:val="vlist-s"/>
        </w:rPr>
        <w:t>​</w:t>
      </w:r>
      <w:r>
        <w:rPr>
          <w:rStyle w:val="mclose"/>
        </w:rPr>
        <w:t>)</w:t>
      </w:r>
      <w:r>
        <w:rPr>
          <w:rStyle w:val="mpunct"/>
        </w:rPr>
        <w:t>,</w:t>
      </w:r>
      <w:r>
        <w:rPr>
          <w:rStyle w:val="mord"/>
        </w:rPr>
        <w:t>Ψ2</w:t>
      </w:r>
      <w:r>
        <w:rPr>
          <w:rStyle w:val="vlist-s"/>
        </w:rPr>
        <w:t>​</w:t>
      </w:r>
      <w:r>
        <w:rPr>
          <w:rStyle w:val="mclose"/>
        </w:rPr>
        <w:t>)</w:t>
      </w:r>
      <w:r>
        <w:rPr>
          <w:rStyle w:val="mpunct"/>
        </w:rPr>
        <w:t>,</w:t>
      </w:r>
      <w:r>
        <w:rPr>
          <w:rStyle w:val="mord"/>
        </w:rPr>
        <w:t>Ψ3</w:t>
      </w:r>
      <w:r>
        <w:rPr>
          <w:rStyle w:val="vlist-s"/>
        </w:rPr>
        <w:t>​</w:t>
      </w:r>
      <w:r>
        <w:rPr>
          <w:rStyle w:val="mclose"/>
        </w:rPr>
        <w:t>)</w:t>
      </w:r>
      <w:r>
        <w:t xml:space="preserve"> </w:t>
      </w:r>
    </w:p>
    <w:p w14:paraId="0BA5952F" w14:textId="77777777" w:rsidR="00572895" w:rsidRDefault="00572895" w:rsidP="00572895">
      <w:pPr>
        <w:pStyle w:val="StandardWeb"/>
      </w:pPr>
      <w:r>
        <w:t xml:space="preserve">Besonders relevant ist dies in selbstanpassenden Agentensystemen, die in offenen Umgebungen operieren und dabei eigene Zielstrukturen dynamisch rekonfigurieren – etwa in robotischen Lernsystemen oder in erklärbaren KI-Architekturen. Der Infinite Regress wird hier zur </w:t>
      </w:r>
      <w:r w:rsidRPr="001C3289">
        <w:rPr>
          <w:rStyle w:val="Fett"/>
        </w:rPr>
        <w:t>architektonischen Notwendigkeit</w:t>
      </w:r>
      <w:r>
        <w:t>, nicht zur Gefahr (vgl. Russell &amp; Norvig, 2010, [80]).</w:t>
      </w:r>
    </w:p>
    <w:p w14:paraId="6A58D894" w14:textId="77777777" w:rsidR="00572895" w:rsidRDefault="00BD2758" w:rsidP="00572895">
      <w:r>
        <w:pict w14:anchorId="33C2354F">
          <v:rect id="_x0000_i1038" style="width:0;height:1.5pt" o:hralign="center" o:hrstd="t" o:hr="t" fillcolor="#a0a0a0" stroked="f"/>
        </w:pict>
      </w:r>
    </w:p>
    <w:p w14:paraId="6D79A1EB" w14:textId="48F443BC" w:rsidR="00572895" w:rsidRDefault="00572895" w:rsidP="00572895">
      <w:pPr>
        <w:pStyle w:val="berschrift3"/>
      </w:pPr>
      <w:r>
        <w:t>5.6.4 Der Infinite Regress als strukturelle Validierungsform</w:t>
      </w:r>
    </w:p>
    <w:p w14:paraId="6E45B3BF" w14:textId="77777777" w:rsidR="00572895" w:rsidRDefault="00572895" w:rsidP="00572895">
      <w:pPr>
        <w:pStyle w:val="StandardWeb"/>
      </w:pPr>
      <w:r>
        <w:t xml:space="preserve">Im FRZK ist der Infinite Regress nicht nur modellierbar – er wird zu einem </w:t>
      </w:r>
      <w:r w:rsidRPr="001C3289">
        <w:rPr>
          <w:rStyle w:val="Fett"/>
        </w:rPr>
        <w:t>Prüfstein epistemischer Validität</w:t>
      </w:r>
      <w:r>
        <w:t xml:space="preserve">. Denn nur Modelle, die ihre eigene Struktur zur Reflexion bringen können, sind </w:t>
      </w:r>
      <w:r w:rsidRPr="001C3289">
        <w:rPr>
          <w:rStyle w:val="Fett"/>
        </w:rPr>
        <w:t>transparente epistemische Systeme</w:t>
      </w:r>
      <w:r>
        <w:t>. Lässt sich ein Modell nicht auf Meta-Ebenen erweitern, bleibt es blind für seine eigenen Bedingungen.</w:t>
      </w:r>
    </w:p>
    <w:p w14:paraId="030D9E80" w14:textId="77777777" w:rsidR="00572895" w:rsidRDefault="00572895" w:rsidP="00572895">
      <w:pPr>
        <w:pStyle w:val="StandardWeb"/>
      </w:pPr>
      <w:r>
        <w:t>„Ein Modell, das seine eigenen Voraussetzungen nicht funktional modellieren kann, bleibt epistemologisch defizitär.“ (Jörissen &amp; Meyer, 2015, [64])</w:t>
      </w:r>
    </w:p>
    <w:p w14:paraId="3C864E92" w14:textId="77777777" w:rsidR="00572895" w:rsidRDefault="00572895" w:rsidP="00572895">
      <w:pPr>
        <w:pStyle w:val="StandardWeb"/>
      </w:pPr>
      <w:r>
        <w:t xml:space="preserve">Der Regress zeigt also nicht die Schwäche, sondern die </w:t>
      </w:r>
      <w:r w:rsidRPr="001C3289">
        <w:rPr>
          <w:rStyle w:val="Fett"/>
        </w:rPr>
        <w:t>reflexive Stärke</w:t>
      </w:r>
      <w:r>
        <w:t xml:space="preserve"> eines Modells an: Es kann sich beobachten, rekonfigurieren, neu strukturieren – </w:t>
      </w:r>
      <w:r w:rsidRPr="001C3289">
        <w:rPr>
          <w:rStyle w:val="Fett"/>
        </w:rPr>
        <w:t>ohne externe Instanz</w:t>
      </w:r>
      <w:r>
        <w:t>. Im FRZK ist dies keine Zusatzfunktion, sondern integraler Bestandteil der Funktionslogik.</w:t>
      </w:r>
    </w:p>
    <w:p w14:paraId="0781081E" w14:textId="77777777" w:rsidR="00572895" w:rsidRDefault="00BD2758" w:rsidP="00572895">
      <w:r>
        <w:pict w14:anchorId="3C83EEB1">
          <v:rect id="_x0000_i1039" style="width:0;height:1.5pt" o:hralign="center" o:hrstd="t" o:hr="t" fillcolor="#a0a0a0" stroked="f"/>
        </w:pict>
      </w:r>
    </w:p>
    <w:p w14:paraId="7C211F8A" w14:textId="77777777" w:rsidR="00572895" w:rsidRDefault="00572895" w:rsidP="00572895">
      <w:pPr>
        <w:pStyle w:val="berschrift3"/>
      </w:pPr>
      <w:r>
        <w:t>Fazit: Regress als Form epistemischer Souveränität</w:t>
      </w:r>
    </w:p>
    <w:p w14:paraId="1DC3FDA0" w14:textId="77777777" w:rsidR="00572895" w:rsidRDefault="00572895" w:rsidP="00572895">
      <w:pPr>
        <w:pStyle w:val="StandardWeb"/>
      </w:pPr>
      <w:r>
        <w:t xml:space="preserve">Im Gegensatz zu klassischen Modellen, in denen der Infinite Regress einen Zusammenbruch epistemischer Ordnung markiert, wird er im FRZK zur </w:t>
      </w:r>
      <w:r w:rsidRPr="001C3289">
        <w:rPr>
          <w:rStyle w:val="Fett"/>
        </w:rPr>
        <w:t>strukturtheoretischen Stärke</w:t>
      </w:r>
      <w:r>
        <w:t xml:space="preserve">. Durch Meta-Funktionen, Beobachtermodellierung, rekursive Zuweisung und kontextuelle Differenzierung wird aus dem Regress eine </w:t>
      </w:r>
      <w:r w:rsidRPr="001C3289">
        <w:rPr>
          <w:rStyle w:val="Fett"/>
        </w:rPr>
        <w:t>emergente Erkenntnisarchitektur</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5"/>
        <w:gridCol w:w="3679"/>
      </w:tblGrid>
      <w:tr w:rsidR="00572895" w14:paraId="7C97ED6C" w14:textId="77777777" w:rsidTr="00992AF9">
        <w:trPr>
          <w:tblHeader/>
          <w:tblCellSpacing w:w="15" w:type="dxa"/>
        </w:trPr>
        <w:tc>
          <w:tcPr>
            <w:tcW w:w="0" w:type="auto"/>
            <w:vAlign w:val="center"/>
            <w:hideMark/>
          </w:tcPr>
          <w:p w14:paraId="02E5ACC9" w14:textId="77777777" w:rsidR="00572895" w:rsidRDefault="00572895" w:rsidP="00992AF9">
            <w:pPr>
              <w:jc w:val="center"/>
              <w:rPr>
                <w:b/>
                <w:bCs/>
              </w:rPr>
            </w:pPr>
            <w:r>
              <w:rPr>
                <w:b/>
                <w:bCs/>
              </w:rPr>
              <w:t>Klassische Sicht</w:t>
            </w:r>
          </w:p>
        </w:tc>
        <w:tc>
          <w:tcPr>
            <w:tcW w:w="0" w:type="auto"/>
            <w:vAlign w:val="center"/>
            <w:hideMark/>
          </w:tcPr>
          <w:p w14:paraId="40223D56" w14:textId="77777777" w:rsidR="00572895" w:rsidRDefault="00572895" w:rsidP="00992AF9">
            <w:pPr>
              <w:jc w:val="center"/>
              <w:rPr>
                <w:b/>
                <w:bCs/>
              </w:rPr>
            </w:pPr>
            <w:r>
              <w:rPr>
                <w:b/>
                <w:bCs/>
              </w:rPr>
              <w:t>FRZK-Perspektive</w:t>
            </w:r>
          </w:p>
        </w:tc>
      </w:tr>
      <w:tr w:rsidR="00572895" w14:paraId="11DEB244" w14:textId="77777777" w:rsidTr="00992AF9">
        <w:trPr>
          <w:tblCellSpacing w:w="15" w:type="dxa"/>
        </w:trPr>
        <w:tc>
          <w:tcPr>
            <w:tcW w:w="0" w:type="auto"/>
            <w:vAlign w:val="center"/>
            <w:hideMark/>
          </w:tcPr>
          <w:p w14:paraId="6B7C4FA1" w14:textId="77777777" w:rsidR="00572895" w:rsidRDefault="00572895" w:rsidP="00992AF9">
            <w:r>
              <w:t>Regress als Abbruch</w:t>
            </w:r>
          </w:p>
        </w:tc>
        <w:tc>
          <w:tcPr>
            <w:tcW w:w="0" w:type="auto"/>
            <w:vAlign w:val="center"/>
            <w:hideMark/>
          </w:tcPr>
          <w:p w14:paraId="1B07B606" w14:textId="77777777" w:rsidR="00572895" w:rsidRDefault="00572895" w:rsidP="00992AF9">
            <w:r>
              <w:t>Regress als funktionale Fortführung</w:t>
            </w:r>
          </w:p>
        </w:tc>
      </w:tr>
      <w:tr w:rsidR="00572895" w14:paraId="01038349" w14:textId="77777777" w:rsidTr="00992AF9">
        <w:trPr>
          <w:tblCellSpacing w:w="15" w:type="dxa"/>
        </w:trPr>
        <w:tc>
          <w:tcPr>
            <w:tcW w:w="0" w:type="auto"/>
            <w:vAlign w:val="center"/>
            <w:hideMark/>
          </w:tcPr>
          <w:p w14:paraId="27698304" w14:textId="77777777" w:rsidR="00572895" w:rsidRDefault="00572895" w:rsidP="00992AF9">
            <w:r>
              <w:t>Selbstbezüglichkeit als Problem</w:t>
            </w:r>
          </w:p>
        </w:tc>
        <w:tc>
          <w:tcPr>
            <w:tcW w:w="0" w:type="auto"/>
            <w:vAlign w:val="center"/>
            <w:hideMark/>
          </w:tcPr>
          <w:p w14:paraId="15D3FFA8" w14:textId="77777777" w:rsidR="00572895" w:rsidRDefault="00572895" w:rsidP="00992AF9">
            <w:r>
              <w:t>Selbstreferenz als Modellbedingung</w:t>
            </w:r>
          </w:p>
        </w:tc>
      </w:tr>
      <w:tr w:rsidR="00572895" w14:paraId="0C3D7813" w14:textId="77777777" w:rsidTr="00992AF9">
        <w:trPr>
          <w:tblCellSpacing w:w="15" w:type="dxa"/>
        </w:trPr>
        <w:tc>
          <w:tcPr>
            <w:tcW w:w="0" w:type="auto"/>
            <w:vAlign w:val="center"/>
            <w:hideMark/>
          </w:tcPr>
          <w:p w14:paraId="7ED04448" w14:textId="77777777" w:rsidR="00572895" w:rsidRDefault="00572895" w:rsidP="00992AF9">
            <w:r>
              <w:t>Beobachterparadox</w:t>
            </w:r>
          </w:p>
        </w:tc>
        <w:tc>
          <w:tcPr>
            <w:tcW w:w="0" w:type="auto"/>
            <w:vAlign w:val="center"/>
            <w:hideMark/>
          </w:tcPr>
          <w:p w14:paraId="16D88A47" w14:textId="77777777" w:rsidR="00572895" w:rsidRDefault="00572895" w:rsidP="00992AF9">
            <w:r>
              <w:t>Beobachter als systeminterner Operator</w:t>
            </w:r>
          </w:p>
        </w:tc>
      </w:tr>
    </w:tbl>
    <w:p w14:paraId="2D341FCF" w14:textId="77777777" w:rsidR="00572895" w:rsidRDefault="00572895" w:rsidP="00572895">
      <w:pPr>
        <w:pStyle w:val="StandardWeb"/>
      </w:pPr>
      <w:r>
        <w:t xml:space="preserve">Das FRZK bietet damit eine </w:t>
      </w:r>
      <w:r w:rsidRPr="001C3289">
        <w:rPr>
          <w:rStyle w:val="Fett"/>
        </w:rPr>
        <w:t>einzigartige epistemische Antwort</w:t>
      </w:r>
      <w:r>
        <w:t xml:space="preserve"> auf das Regressproblem: Statt die Schleife zu kappen, </w:t>
      </w:r>
      <w:r w:rsidRPr="001C3289">
        <w:rPr>
          <w:rStyle w:val="Fett"/>
        </w:rPr>
        <w:t>wird sie modelliert, verschachtelt und fruchtbar gemacht</w:t>
      </w:r>
      <w:r>
        <w:t>. Das eröffnet neue Perspektiven für eine reflexive, dynamische und funktional anschlussfähige Wissenschaftspraxis – insbesondere in komplexen Systemen wie Bildung, KI, Ethik, Semiotik und sozialen Netzwerken.</w:t>
      </w:r>
    </w:p>
    <w:p w14:paraId="43B516CD" w14:textId="77777777" w:rsidR="00572895" w:rsidRDefault="00BD2758" w:rsidP="00572895">
      <w:r>
        <w:pict w14:anchorId="2C68D1B8">
          <v:rect id="_x0000_i1040" style="width:0;height:1.5pt" o:hralign="center" o:hrstd="t" o:hr="t" fillcolor="#a0a0a0" stroked="f"/>
        </w:pict>
      </w:r>
    </w:p>
    <w:p w14:paraId="35B6E4D3" w14:textId="77777777" w:rsidR="00572895" w:rsidRDefault="00572895" w:rsidP="00A166E6">
      <w:pPr>
        <w:pStyle w:val="berschrift2"/>
        <w:rPr>
          <w:sz w:val="48"/>
          <w:szCs w:val="48"/>
          <w:lang w:eastAsia="de-DE"/>
        </w:rPr>
      </w:pPr>
      <w:r>
        <w:rPr>
          <w:rStyle w:val="Fett"/>
          <w:b/>
          <w:bCs w:val="0"/>
        </w:rPr>
        <w:t>5.7 Transfer und disziplinäre Anschlussfähigkeit</w:t>
      </w:r>
    </w:p>
    <w:p w14:paraId="4475448D" w14:textId="77777777" w:rsidR="00572895" w:rsidRDefault="00572895" w:rsidP="00A166E6">
      <w:pPr>
        <w:pStyle w:val="berschrift3"/>
      </w:pPr>
      <w:r>
        <w:rPr>
          <w:rStyle w:val="Fett"/>
          <w:b/>
          <w:bCs w:val="0"/>
        </w:rPr>
        <w:t>5.7.1 Funktionaler Transfer als Beweiskriterium</w:t>
      </w:r>
    </w:p>
    <w:p w14:paraId="61D39D27" w14:textId="77777777" w:rsidR="00572895" w:rsidRDefault="00572895" w:rsidP="00572895">
      <w:pPr>
        <w:pStyle w:val="StandardWeb"/>
      </w:pPr>
      <w:r>
        <w:t xml:space="preserve">Die Anschlussfähigkeit eines Modells an verschiedene disziplinäre Kontexte ist innerhalb des FRZK kein nachträgliches Qualitätsmerkmal, sondern ein integraler Bestandteil seiner Geltung. </w:t>
      </w:r>
      <w:r>
        <w:rPr>
          <w:rStyle w:val="Fett"/>
        </w:rPr>
        <w:t>Transferfähigkeit ist selbst ein Ausdruck funktionaler Kohärenz</w:t>
      </w:r>
      <w:r>
        <w:t>: Nur ein Modell, das seine Strukturprinzipien auf heterogene Systeme anwenden kann, ist strukturell robust genug, um als funktional gültig zu gelten.</w:t>
      </w:r>
    </w:p>
    <w:p w14:paraId="0E40C966" w14:textId="77777777" w:rsidR="00572895" w:rsidRDefault="00572895" w:rsidP="00572895">
      <w:pPr>
        <w:pStyle w:val="StandardWeb"/>
      </w:pPr>
      <w:r>
        <w:t xml:space="preserve">Im Unterschied zur klassischen Anwendbarkeit (im Sinne von Nutzung), meint funktionaler Transfer </w:t>
      </w:r>
      <w:r>
        <w:rPr>
          <w:rStyle w:val="Fett"/>
        </w:rPr>
        <w:t>die Rekonstruierbarkeit zentraler Modelloperationen in andersartigen epistemischen Feldern</w:t>
      </w:r>
      <w:r>
        <w:t>. Gelingt diese Rekonstruktion ohne semantische oder operationale Inkohärenz, gilt das Modell als beweisfähig im Sinne transdisziplinärer Funktionalität.</w:t>
      </w:r>
    </w:p>
    <w:p w14:paraId="667AF491" w14:textId="77777777" w:rsidR="00572895" w:rsidRDefault="00BD2758" w:rsidP="00572895">
      <w:r>
        <w:pict w14:anchorId="329D8E48">
          <v:rect id="_x0000_i1041" style="width:0;height:1.5pt" o:hralign="center" o:hrstd="t" o:hr="t" fillcolor="#a0a0a0" stroked="f"/>
        </w:pict>
      </w:r>
    </w:p>
    <w:p w14:paraId="16054674" w14:textId="77777777" w:rsidR="00572895" w:rsidRDefault="00572895" w:rsidP="00A166E6">
      <w:pPr>
        <w:pStyle w:val="berschrift3"/>
      </w:pPr>
      <w:r>
        <w:rPr>
          <w:rStyle w:val="Fett"/>
          <w:b/>
          <w:bCs w:val="0"/>
        </w:rPr>
        <w:t>5.7.2 Anwendung auf Natur- und Kognitionswissenschaften</w:t>
      </w:r>
    </w:p>
    <w:p w14:paraId="636C9992" w14:textId="77777777" w:rsidR="00572895" w:rsidRDefault="00572895" w:rsidP="00572895">
      <w:pPr>
        <w:pStyle w:val="StandardWeb"/>
      </w:pPr>
      <w:r>
        <w:t xml:space="preserve">Im Bereich der </w:t>
      </w:r>
      <w:r>
        <w:rPr>
          <w:rStyle w:val="Fett"/>
        </w:rPr>
        <w:t>Naturwissenschaften</w:t>
      </w:r>
      <w:r>
        <w:t xml:space="preserve"> – insbesondere Physik und Systembiologie – lassen sich zentrale Strukturmerkmale des FRZK (z. B. initiale Unterscheidung, raumzeitliche Zuweisung, Emergenz durch Funktionsrelation) in gängige Modelle der Feldtheorie, Dynamik und Selbstorganisation überführen. So lassen sich etwa Feldmodelle als Brane-Operationen funktional rekonstruieren, und systembiologische Netzwerke erscheinen als instanziierte Strukturfelder mit rekursiver Metrikbildung.</w:t>
      </w:r>
    </w:p>
    <w:p w14:paraId="584C502D" w14:textId="77777777" w:rsidR="00572895" w:rsidRDefault="00572895" w:rsidP="00572895">
      <w:pPr>
        <w:pStyle w:val="StandardWeb"/>
      </w:pPr>
      <w:r>
        <w:t xml:space="preserve">Im Bereich der </w:t>
      </w:r>
      <w:r>
        <w:rPr>
          <w:rStyle w:val="Fett"/>
        </w:rPr>
        <w:t>Kognitionswissenschaften</w:t>
      </w:r>
      <w:r>
        <w:t xml:space="preserve"> und der </w:t>
      </w:r>
      <w:r>
        <w:rPr>
          <w:rStyle w:val="Fett"/>
        </w:rPr>
        <w:t>künstlichen Intelligenz</w:t>
      </w:r>
      <w:r>
        <w:t xml:space="preserve"> erlaubt das FRZK eine Lesart von lernenden Systemen als </w:t>
      </w:r>
      <w:r>
        <w:rPr>
          <w:rStyle w:val="Fett"/>
        </w:rPr>
        <w:t>selbstreferentiell emergente Strukturen</w:t>
      </w:r>
      <w:r>
        <w:t>. Deep-Learning-Architekturen können dabei als simulierte funktionale Bezugssysteme gelesen werden, bei denen Zuweisungslogiken durch Trainingsprozesse emergieren. Hier erweist sich insbesondere die Regressstruktur des FRZK (vgl. 5.6) als hoch anschlussfähig für Modelle rekursiver Optimierung, wie sie im Reinforcement Learning oder Meta-Learning etabliert sind.</w:t>
      </w:r>
    </w:p>
    <w:p w14:paraId="02ACBBE6" w14:textId="77777777" w:rsidR="00572895" w:rsidRDefault="00BD2758" w:rsidP="00572895">
      <w:r>
        <w:pict w14:anchorId="61681C06">
          <v:rect id="_x0000_i1042" style="width:0;height:1.5pt" o:hralign="center" o:hrstd="t" o:hr="t" fillcolor="#a0a0a0" stroked="f"/>
        </w:pict>
      </w:r>
    </w:p>
    <w:p w14:paraId="5EC4A95B" w14:textId="77777777" w:rsidR="00A166E6" w:rsidRPr="00A166E6" w:rsidRDefault="00A166E6" w:rsidP="00A166E6">
      <w:pPr>
        <w:pStyle w:val="berschrift3"/>
      </w:pPr>
      <w:r w:rsidRPr="00A166E6">
        <w:rPr>
          <w:rStyle w:val="Fett"/>
          <w:b/>
          <w:bCs w:val="0"/>
        </w:rPr>
        <w:t>5.7.3 Transferpotenziale in der Praxis</w:t>
      </w:r>
    </w:p>
    <w:p w14:paraId="39A201BE" w14:textId="77777777" w:rsidR="00A166E6" w:rsidRDefault="00A166E6" w:rsidP="00A166E6">
      <w:pPr>
        <w:pStyle w:val="StandardWeb"/>
      </w:pPr>
      <w:r>
        <w:t xml:space="preserve">Während die theoretische Übertragbarkeit des FRZK auf verschiedene disziplinäre Kontexte im vorangegangenen Abschnitt umrissen wurde, soll im Folgenden die </w:t>
      </w:r>
      <w:r>
        <w:rPr>
          <w:rStyle w:val="Fett"/>
        </w:rPr>
        <w:t>konkrete Anwendbarkeit funktionaler Modellarchitektur in exemplarischen Fachfeldern</w:t>
      </w:r>
      <w:r>
        <w:t xml:space="preserve"> illustriert werden. Diese Fallskizzen dienen als strukturelle Beweisszenarien im Sinne der </w:t>
      </w:r>
      <w:r>
        <w:rPr>
          <w:rStyle w:val="Fett"/>
        </w:rPr>
        <w:t>rekontextualisierbaren Funktionslogik</w:t>
      </w:r>
      <w:r>
        <w:t>.</w:t>
      </w:r>
    </w:p>
    <w:p w14:paraId="1729AF44" w14:textId="77777777" w:rsidR="00A166E6" w:rsidRDefault="00A166E6" w:rsidP="00A166E6">
      <w:pPr>
        <w:pStyle w:val="berschrift4"/>
      </w:pPr>
      <w:r>
        <w:rPr>
          <w:rStyle w:val="Fett"/>
          <w:b w:val="0"/>
          <w:bCs w:val="0"/>
        </w:rPr>
        <w:t>Molekulare Biologie / Genregulation</w:t>
      </w:r>
    </w:p>
    <w:p w14:paraId="353583FE" w14:textId="3991BABA" w:rsidR="00A166E6" w:rsidRDefault="00A166E6" w:rsidP="00A166E6">
      <w:pPr>
        <w:pStyle w:val="StandardWeb"/>
      </w:pPr>
      <w:r>
        <w:t xml:space="preserve">In der molekularen Genetik werden Genexpressionen nicht als binäre Aktivitätszustände, sondern als kontinuierliche Reaktionsmuster innerhalb komplexer </w:t>
      </w:r>
      <w:r>
        <w:rPr>
          <w:rStyle w:val="Fett"/>
        </w:rPr>
        <w:t>Regulationsnetzwerke</w:t>
      </w:r>
      <w:r>
        <w:t xml:space="preserve"> verstanden. Transkriptionsprozesse sind dabei </w:t>
      </w:r>
      <w:r>
        <w:rPr>
          <w:rStyle w:val="Fett"/>
        </w:rPr>
        <w:t>kontextabhängig</w:t>
      </w:r>
      <w:r>
        <w:t xml:space="preserve"> – sie verändern sich in Abhängigkeit von Zelltyp, Stoffwechsellage, Umweltbedingungen. Genau dieser Zusammenhang lässt sich im FRZK durch </w:t>
      </w:r>
      <w:r>
        <w:rPr>
          <w:rStyle w:val="Fett"/>
        </w:rPr>
        <w:t>ψ(</w:t>
      </w:r>
      <w:proofErr w:type="gramStart"/>
      <w:r>
        <w:rPr>
          <w:rStyle w:val="Fett"/>
        </w:rPr>
        <w:t>x,y</w:t>
      </w:r>
      <w:proofErr w:type="gramEnd"/>
      <w:r>
        <w:rPr>
          <w:rStyle w:val="Fett"/>
        </w:rPr>
        <w:t>,z,t)-Feldstrukturen</w:t>
      </w:r>
      <w:r>
        <w:t xml:space="preserve"> modellieren, in denen Zuweisungen nicht statisch, sondern dynamisch-emergent verlaufen. Der funktionale Raum ersetzt dabei die klassische Objektlogik durch eine </w:t>
      </w:r>
      <w:r>
        <w:rPr>
          <w:rStyle w:val="Fett"/>
        </w:rPr>
        <w:t>prozessuale Semantik funktionaler Relationen</w:t>
      </w:r>
      <w:r>
        <w:t xml:space="preserve"> [</w:t>
      </w:r>
      <w:r w:rsidR="00D27A33">
        <w:t>100</w:t>
      </w:r>
      <w:r>
        <w:t>].</w:t>
      </w:r>
    </w:p>
    <w:p w14:paraId="61157B44" w14:textId="77777777" w:rsidR="00A166E6" w:rsidRDefault="00A166E6" w:rsidP="00A166E6">
      <w:pPr>
        <w:pStyle w:val="berschrift4"/>
      </w:pPr>
      <w:r>
        <w:rPr>
          <w:rStyle w:val="Fett"/>
          <w:b w:val="0"/>
          <w:bCs w:val="0"/>
        </w:rPr>
        <w:t>Architektur / Raumplanung</w:t>
      </w:r>
    </w:p>
    <w:p w14:paraId="1026D14C" w14:textId="3F23DF23" w:rsidR="00A166E6" w:rsidRDefault="00A166E6" w:rsidP="00A166E6">
      <w:pPr>
        <w:pStyle w:val="StandardWeb"/>
      </w:pPr>
      <w:r>
        <w:t xml:space="preserve">Auch in der gebauten Umwelt ist Raum kein gegebener Container, sondern ein </w:t>
      </w:r>
      <w:r>
        <w:rPr>
          <w:rStyle w:val="Fett"/>
        </w:rPr>
        <w:t>operativ erzeugter Funktionsraum</w:t>
      </w:r>
      <w:r>
        <w:t xml:space="preserve">. </w:t>
      </w:r>
      <w:proofErr w:type="gramStart"/>
      <w:r>
        <w:t>Architekt:innen</w:t>
      </w:r>
      <w:proofErr w:type="gramEnd"/>
      <w:r>
        <w:t xml:space="preserve"> und Planer:innen operieren mit relationalen Begriffen wie Durchlässigkeit, Sichtachsen, Kommunikationsverdichtung – Begriffe, die </w:t>
      </w:r>
      <w:r>
        <w:rPr>
          <w:rStyle w:val="Fett"/>
        </w:rPr>
        <w:t>erst durch Funktionalisierung im sozialen Kontext Bedeutung gewinnen</w:t>
      </w:r>
      <w:r>
        <w:t>. Im FRZK kann der urbane Raum als ψ-Brane modelliert werden: Bedeutung entsteht durch Zuweisungen (z. B. Aufenthaltsqualität, Orientierung, sozialer Kontakt), nicht durch Substanz. Raumkonfiguration wird damit zum strukturellen Beweisszenario für funktionale Kohärenz [</w:t>
      </w:r>
      <w:r w:rsidR="00D27A33">
        <w:t>101</w:t>
      </w:r>
      <w:r>
        <w:t>].</w:t>
      </w:r>
    </w:p>
    <w:p w14:paraId="3C38122C" w14:textId="77777777" w:rsidR="00A166E6" w:rsidRDefault="00A166E6" w:rsidP="00A166E6">
      <w:pPr>
        <w:pStyle w:val="berschrift4"/>
      </w:pPr>
      <w:r>
        <w:rPr>
          <w:rStyle w:val="Fett"/>
          <w:b w:val="0"/>
          <w:bCs w:val="0"/>
        </w:rPr>
        <w:t>Digitale Medien / Interfacegestaltung</w:t>
      </w:r>
    </w:p>
    <w:p w14:paraId="4E1DF95A" w14:textId="35C88D9D" w:rsidR="00A166E6" w:rsidRDefault="00A166E6" w:rsidP="00A166E6">
      <w:pPr>
        <w:pStyle w:val="StandardWeb"/>
      </w:pPr>
      <w:r>
        <w:t xml:space="preserve">In digitalen Interfaces entstehen semantische Strukturen nicht durch Inhalte, sondern durch </w:t>
      </w:r>
      <w:r>
        <w:rPr>
          <w:rStyle w:val="Fett"/>
        </w:rPr>
        <w:t>algorithmisch erzeugte Sichtbarkeit</w:t>
      </w:r>
      <w:r>
        <w:t xml:space="preserve"> und Interaktion. Ob ein Beitrag, ein Produkt oder eine Nachricht wahrgenommen wird, hängt von seiner </w:t>
      </w:r>
      <w:r>
        <w:rPr>
          <w:rStyle w:val="Fett"/>
        </w:rPr>
        <w:t>Zuweisung zu Wahrnehmungskategorien</w:t>
      </w:r>
      <w:r>
        <w:t xml:space="preserve"> (z. B. Feed-Logik, Tags, Empfehlungsroutinen) ab. Diese Zuweisungen sind im FRZK explizit modellierbar: ψ(</w:t>
      </w:r>
      <w:proofErr w:type="gramStart"/>
      <w:r>
        <w:t>x,y</w:t>
      </w:r>
      <w:proofErr w:type="gramEnd"/>
      <w:r>
        <w:t xml:space="preserve">,t) beschreibt etwa, wie bestimmte Datenpunkte auf eine Zeit-Koordinatenfläche mit Relevanzgrad zugewiesen werden. In einer funktionalen Semantik wird Interface-Nutzung damit selbst zu einem </w:t>
      </w:r>
      <w:r>
        <w:rPr>
          <w:rStyle w:val="Fett"/>
        </w:rPr>
        <w:t>modellierbaren Beweissystem</w:t>
      </w:r>
      <w:r>
        <w:t>, das Emergenz, Aufmerksamkeit und Bedeutung dynamisch koppelt [</w:t>
      </w:r>
      <w:r w:rsidR="00D27A33">
        <w:t>102</w:t>
      </w:r>
      <w:r>
        <w:t>].</w:t>
      </w:r>
    </w:p>
    <w:p w14:paraId="6EF3C397" w14:textId="77777777" w:rsidR="00A166E6" w:rsidRDefault="00A166E6" w:rsidP="00A166E6">
      <w:pPr>
        <w:pStyle w:val="berschrift4"/>
      </w:pPr>
      <w:r>
        <w:rPr>
          <w:rStyle w:val="Fett"/>
          <w:b w:val="0"/>
          <w:bCs w:val="0"/>
        </w:rPr>
        <w:t>Fazit: Funktionale Struktur als Resonanztest</w:t>
      </w:r>
    </w:p>
    <w:p w14:paraId="18A36627" w14:textId="77777777" w:rsidR="00A166E6" w:rsidRDefault="00A166E6" w:rsidP="00A166E6">
      <w:pPr>
        <w:pStyle w:val="StandardWeb"/>
      </w:pPr>
      <w:r>
        <w:t xml:space="preserve">Diese Beispiele zeigen, dass das FRZK </w:t>
      </w:r>
      <w:r>
        <w:rPr>
          <w:rStyle w:val="Fett"/>
        </w:rPr>
        <w:t>nicht durch inhaltliche Übertragbarkeit</w:t>
      </w:r>
      <w:r>
        <w:t xml:space="preserve">, sondern durch </w:t>
      </w:r>
      <w:r>
        <w:rPr>
          <w:rStyle w:val="Fett"/>
        </w:rPr>
        <w:t>strukturelle Reproduzierbarkeit</w:t>
      </w:r>
      <w:r>
        <w:t xml:space="preserve"> seiner Funktionsprinzipien überzeugt. Es </w:t>
      </w:r>
      <w:r>
        <w:rPr>
          <w:rStyle w:val="Fett"/>
        </w:rPr>
        <w:t>besteht seine Beweiskraft</w:t>
      </w:r>
      <w:r>
        <w:t xml:space="preserve">, wenn zentrale Modelloperationen – wie funktionale Zuweisung, Brane-Konstruktion, emergente Metrik – </w:t>
      </w:r>
      <w:r>
        <w:rPr>
          <w:rStyle w:val="Fett"/>
        </w:rPr>
        <w:t>in unterschiedlichsten Kontexten rekonstruierbar</w:t>
      </w:r>
      <w:r>
        <w:t xml:space="preserve"> bleiben, ohne in Inkohärenz zu kippen. Die Transferpotenziale sind damit nicht Zusatz, sondern </w:t>
      </w:r>
      <w:r>
        <w:rPr>
          <w:rStyle w:val="Fett"/>
        </w:rPr>
        <w:t>epistemisches Validierungsinstrument</w:t>
      </w:r>
      <w:r>
        <w:t>.</w:t>
      </w:r>
    </w:p>
    <w:p w14:paraId="42D6A245" w14:textId="29A2642E" w:rsidR="00572895" w:rsidRDefault="00572895" w:rsidP="00A166E6">
      <w:pPr>
        <w:pStyle w:val="berschrift3"/>
      </w:pPr>
      <w:r>
        <w:rPr>
          <w:rStyle w:val="Fett"/>
          <w:b/>
          <w:bCs w:val="0"/>
        </w:rPr>
        <w:t>5.7.</w:t>
      </w:r>
      <w:r w:rsidR="00A166E6">
        <w:rPr>
          <w:rStyle w:val="Fett"/>
          <w:b/>
          <w:bCs w:val="0"/>
        </w:rPr>
        <w:t>4</w:t>
      </w:r>
      <w:r>
        <w:rPr>
          <w:rStyle w:val="Fett"/>
          <w:b/>
          <w:bCs w:val="0"/>
        </w:rPr>
        <w:t xml:space="preserve"> Transfer als Validierung: Das Prinzip struktureller Re-Kontextualisierung</w:t>
      </w:r>
    </w:p>
    <w:p w14:paraId="3F1C0BCE" w14:textId="77777777" w:rsidR="00572895" w:rsidRDefault="00572895" w:rsidP="00572895">
      <w:pPr>
        <w:pStyle w:val="StandardWeb"/>
      </w:pPr>
      <w:r>
        <w:t xml:space="preserve">Der Transfer des FRZK auf unterschiedliche Disziplinen ist kein willkürlicher Akt, sondern ein struktureller Test: </w:t>
      </w:r>
      <w:r>
        <w:rPr>
          <w:rStyle w:val="Fett"/>
        </w:rPr>
        <w:t>Kann ein Modell seine Funktionslogik rekontextualisieren, ohne seine Kohärenz zu verlieren, ist dies ein Beweis seiner strukturellen Validität.</w:t>
      </w:r>
      <w:r>
        <w:t xml:space="preserve"> Der Transfer wirkt so wie eine Art semantischer Stresstest – je mehr funktionale Resonanz erzeugt wird, desto höher die Beweiskraft.</w:t>
      </w:r>
    </w:p>
    <w:p w14:paraId="31FDB667" w14:textId="77777777" w:rsidR="00572895" w:rsidRDefault="00572895" w:rsidP="00572895">
      <w:pPr>
        <w:pStyle w:val="StandardWeb"/>
      </w:pPr>
      <w:r>
        <w:t xml:space="preserve">Transfer ist damit nicht Ergänzung, sondern </w:t>
      </w:r>
      <w:r>
        <w:rPr>
          <w:rStyle w:val="Fett"/>
        </w:rPr>
        <w:t>Teil der Validierungsarchitektur</w:t>
      </w:r>
      <w:r>
        <w:t xml:space="preserve"> des funktionalen Bezugsrahmens. Das FRZK behauptet keine universelle Anwendbarkeit, sondern überprüft sich durch </w:t>
      </w:r>
      <w:r>
        <w:rPr>
          <w:rStyle w:val="Fett"/>
        </w:rPr>
        <w:t>differenzbewusste Kontextualisierung</w:t>
      </w:r>
      <w:r>
        <w:t>.</w:t>
      </w:r>
    </w:p>
    <w:p w14:paraId="04CFD1E5" w14:textId="77777777" w:rsidR="00EF0FD8" w:rsidRDefault="00BD2758" w:rsidP="00EF0FD8">
      <w:r>
        <w:pict w14:anchorId="2F656516">
          <v:rect id="_x0000_i1043" style="width:0;height:1.5pt" o:hralign="center" o:hrstd="t" o:hr="t" fillcolor="#a0a0a0" stroked="f"/>
        </w:pict>
      </w:r>
    </w:p>
    <w:p w14:paraId="01E407A0" w14:textId="77777777" w:rsidR="00875D6D" w:rsidRDefault="00875D6D" w:rsidP="000C55CF">
      <w:pPr>
        <w:pStyle w:val="berschrift2"/>
        <w:rPr>
          <w:sz w:val="48"/>
          <w:szCs w:val="48"/>
          <w:lang w:eastAsia="de-DE"/>
        </w:rPr>
      </w:pPr>
      <w:r>
        <w:rPr>
          <w:rStyle w:val="Fett"/>
          <w:b/>
          <w:bCs w:val="0"/>
        </w:rPr>
        <w:t>5.8 Beobachtung und epistemische Verantwortung</w:t>
      </w:r>
    </w:p>
    <w:p w14:paraId="24052545" w14:textId="77777777" w:rsidR="00875D6D" w:rsidRDefault="00875D6D" w:rsidP="000C55CF">
      <w:pPr>
        <w:pStyle w:val="berschrift3"/>
      </w:pPr>
      <w:r>
        <w:rPr>
          <w:rStyle w:val="Fett"/>
          <w:b/>
          <w:bCs w:val="0"/>
        </w:rPr>
        <w:t>5.8.1 Beobachterstatus im Funktionalen Bezugssystem</w:t>
      </w:r>
    </w:p>
    <w:p w14:paraId="74739EFC" w14:textId="77777777" w:rsidR="00875D6D" w:rsidRDefault="00875D6D" w:rsidP="00875D6D">
      <w:pPr>
        <w:pStyle w:val="StandardWeb"/>
      </w:pPr>
      <w:r>
        <w:t xml:space="preserve">Im Rahmen des FRZK ist der Beobachter nicht externer Diagnostiker einer feststehenden Realität, sondern integraler Teil jener funktionalen Strukturen, die Wirklichkeit erzeugen. Das heißt: Beobachtung erzeugt Realität nicht im Sinne eines subjektiven Eindrucks, sondern im Sinne eines </w:t>
      </w:r>
      <w:r>
        <w:rPr>
          <w:rStyle w:val="Fett"/>
        </w:rPr>
        <w:t>funktionalen Selektionsakts</w:t>
      </w:r>
      <w:r>
        <w:t>, der Zuweisungen generiert und Differenzen stabilisiert.</w:t>
      </w:r>
    </w:p>
    <w:p w14:paraId="12A70F01" w14:textId="77777777" w:rsidR="00875D6D" w:rsidRDefault="00875D6D" w:rsidP="00875D6D">
      <w:pPr>
        <w:pStyle w:val="StandardWeb"/>
      </w:pPr>
      <w:r>
        <w:rPr>
          <w:rStyle w:val="Fett"/>
        </w:rPr>
        <w:t>„Der Beobachter ist nicht in der Welt – sondern die Welt in ihm als Funktion von Unterscheidung.“</w:t>
      </w:r>
      <w:r>
        <w:t xml:space="preserve"> [35]</w:t>
      </w:r>
    </w:p>
    <w:p w14:paraId="2DF74ABE" w14:textId="77777777" w:rsidR="00875D6D" w:rsidRDefault="00875D6D" w:rsidP="00875D6D">
      <w:pPr>
        <w:pStyle w:val="StandardWeb"/>
      </w:pPr>
      <w:r>
        <w:t>Diese Perspektive hebt das FRZK deutlich vom klassischen Wissenschaftsverständnis ab, in dem Beobachterneutralität als Ideal galt. Im funktionalen Modell wird der Beobachter selbst zum Teil des Beweises – insofern sein Beobachtungsmodus (z. B. kategorial, relational, reflexiv) darüber entscheidet, welche Emergenzen als kohärent und gültig erscheinen [28].</w:t>
      </w:r>
    </w:p>
    <w:p w14:paraId="02FB2967" w14:textId="77777777" w:rsidR="00875D6D" w:rsidRDefault="00BD2758" w:rsidP="00875D6D">
      <w:r>
        <w:pict w14:anchorId="477EFAE9">
          <v:rect id="_x0000_i1044" style="width:0;height:1.5pt" o:hralign="center" o:hrstd="t" o:hr="t" fillcolor="#a0a0a0" stroked="f"/>
        </w:pict>
      </w:r>
    </w:p>
    <w:p w14:paraId="787007BE" w14:textId="77777777" w:rsidR="00875D6D" w:rsidRDefault="00875D6D" w:rsidP="000C55CF">
      <w:pPr>
        <w:pStyle w:val="berschrift3"/>
      </w:pPr>
      <w:r>
        <w:rPr>
          <w:rStyle w:val="Fett"/>
          <w:b/>
          <w:bCs w:val="0"/>
        </w:rPr>
        <w:t>5.8.2 Formen der Beobachtung und deren Folgen</w:t>
      </w:r>
    </w:p>
    <w:p w14:paraId="7CE5EE1F" w14:textId="77777777" w:rsidR="00875D6D" w:rsidRDefault="00875D6D" w:rsidP="00875D6D">
      <w:pPr>
        <w:pStyle w:val="StandardWeb"/>
      </w:pPr>
      <w:r>
        <w:t xml:space="preserve">Innerhalb des FRZK lassen sich </w:t>
      </w:r>
      <w:r>
        <w:rPr>
          <w:rStyle w:val="Fett"/>
        </w:rPr>
        <w:t>verschiedene Typen epistemischer Beobachtung</w:t>
      </w:r>
      <w:r>
        <w:t xml:space="preserve"> unterscheiden: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4318"/>
        <w:gridCol w:w="2778"/>
      </w:tblGrid>
      <w:tr w:rsidR="00875D6D" w14:paraId="7ACFD2AF" w14:textId="77777777" w:rsidTr="00875D6D">
        <w:trPr>
          <w:tblHeader/>
          <w:tblCellSpacing w:w="15" w:type="dxa"/>
        </w:trPr>
        <w:tc>
          <w:tcPr>
            <w:tcW w:w="0" w:type="auto"/>
            <w:vAlign w:val="center"/>
            <w:hideMark/>
          </w:tcPr>
          <w:p w14:paraId="1BED13F9" w14:textId="77777777" w:rsidR="00875D6D" w:rsidRDefault="00875D6D">
            <w:pPr>
              <w:jc w:val="center"/>
              <w:rPr>
                <w:b/>
                <w:bCs/>
              </w:rPr>
            </w:pPr>
            <w:r>
              <w:rPr>
                <w:b/>
                <w:bCs/>
              </w:rPr>
              <w:t>Beobachtungsform</w:t>
            </w:r>
          </w:p>
        </w:tc>
        <w:tc>
          <w:tcPr>
            <w:tcW w:w="0" w:type="auto"/>
            <w:vAlign w:val="center"/>
            <w:hideMark/>
          </w:tcPr>
          <w:p w14:paraId="712402E8" w14:textId="77777777" w:rsidR="00875D6D" w:rsidRDefault="00875D6D">
            <w:pPr>
              <w:jc w:val="center"/>
              <w:rPr>
                <w:b/>
                <w:bCs/>
              </w:rPr>
            </w:pPr>
            <w:r>
              <w:rPr>
                <w:b/>
                <w:bCs/>
              </w:rPr>
              <w:t>Beschreibung</w:t>
            </w:r>
          </w:p>
        </w:tc>
        <w:tc>
          <w:tcPr>
            <w:tcW w:w="0" w:type="auto"/>
            <w:vAlign w:val="center"/>
            <w:hideMark/>
          </w:tcPr>
          <w:p w14:paraId="0D907B1D" w14:textId="77777777" w:rsidR="00875D6D" w:rsidRDefault="00875D6D">
            <w:pPr>
              <w:jc w:val="center"/>
              <w:rPr>
                <w:b/>
                <w:bCs/>
              </w:rPr>
            </w:pPr>
            <w:r>
              <w:rPr>
                <w:b/>
                <w:bCs/>
              </w:rPr>
              <w:t>Wirkung im FRZK</w:t>
            </w:r>
          </w:p>
        </w:tc>
      </w:tr>
      <w:tr w:rsidR="00875D6D" w14:paraId="2D20DD88" w14:textId="77777777" w:rsidTr="00875D6D">
        <w:trPr>
          <w:tblCellSpacing w:w="15" w:type="dxa"/>
        </w:trPr>
        <w:tc>
          <w:tcPr>
            <w:tcW w:w="0" w:type="auto"/>
            <w:vAlign w:val="center"/>
            <w:hideMark/>
          </w:tcPr>
          <w:p w14:paraId="11D28AE6" w14:textId="77777777" w:rsidR="00875D6D" w:rsidRDefault="00875D6D">
            <w:r>
              <w:rPr>
                <w:rStyle w:val="Fett"/>
              </w:rPr>
              <w:t>Erste Ordnung</w:t>
            </w:r>
          </w:p>
        </w:tc>
        <w:tc>
          <w:tcPr>
            <w:tcW w:w="0" w:type="auto"/>
            <w:vAlign w:val="center"/>
            <w:hideMark/>
          </w:tcPr>
          <w:p w14:paraId="55274ED4" w14:textId="77777777" w:rsidR="00875D6D" w:rsidRDefault="00875D6D">
            <w:r>
              <w:t>Fokus auf beobachtetes Phänomen („Was ist da?“)</w:t>
            </w:r>
          </w:p>
        </w:tc>
        <w:tc>
          <w:tcPr>
            <w:tcW w:w="0" w:type="auto"/>
            <w:vAlign w:val="center"/>
            <w:hideMark/>
          </w:tcPr>
          <w:p w14:paraId="6007FA79" w14:textId="77777777" w:rsidR="00875D6D" w:rsidRDefault="00875D6D">
            <w:r>
              <w:t>Konstruiert funktionale Zuweisungssysteme</w:t>
            </w:r>
          </w:p>
        </w:tc>
      </w:tr>
      <w:tr w:rsidR="00875D6D" w14:paraId="5A5A11E2" w14:textId="77777777" w:rsidTr="00875D6D">
        <w:trPr>
          <w:tblCellSpacing w:w="15" w:type="dxa"/>
        </w:trPr>
        <w:tc>
          <w:tcPr>
            <w:tcW w:w="0" w:type="auto"/>
            <w:vAlign w:val="center"/>
            <w:hideMark/>
          </w:tcPr>
          <w:p w14:paraId="60DF819F" w14:textId="77777777" w:rsidR="00875D6D" w:rsidRDefault="00875D6D">
            <w:r>
              <w:rPr>
                <w:rStyle w:val="Fett"/>
              </w:rPr>
              <w:t>Zweite Ordnung</w:t>
            </w:r>
          </w:p>
        </w:tc>
        <w:tc>
          <w:tcPr>
            <w:tcW w:w="0" w:type="auto"/>
            <w:vAlign w:val="center"/>
            <w:hideMark/>
          </w:tcPr>
          <w:p w14:paraId="797C9B15" w14:textId="77777777" w:rsidR="00875D6D" w:rsidRDefault="00875D6D">
            <w:r>
              <w:t>Fokus auf die eigenen Beobachtungsbedingungen („Wie sehe ich das?“)</w:t>
            </w:r>
          </w:p>
        </w:tc>
        <w:tc>
          <w:tcPr>
            <w:tcW w:w="0" w:type="auto"/>
            <w:vAlign w:val="center"/>
            <w:hideMark/>
          </w:tcPr>
          <w:p w14:paraId="3C566B2B" w14:textId="77777777" w:rsidR="00875D6D" w:rsidRDefault="00875D6D">
            <w:r>
              <w:t>Erzeugt Meta-Funktionen, rekursive Re-Strukturierung</w:t>
            </w:r>
          </w:p>
        </w:tc>
      </w:tr>
      <w:tr w:rsidR="00875D6D" w14:paraId="46B28201" w14:textId="77777777" w:rsidTr="00875D6D">
        <w:trPr>
          <w:tblCellSpacing w:w="15" w:type="dxa"/>
        </w:trPr>
        <w:tc>
          <w:tcPr>
            <w:tcW w:w="0" w:type="auto"/>
            <w:vAlign w:val="center"/>
            <w:hideMark/>
          </w:tcPr>
          <w:p w14:paraId="4C6CECF5" w14:textId="77777777" w:rsidR="00875D6D" w:rsidRDefault="00875D6D">
            <w:r>
              <w:rPr>
                <w:rStyle w:val="Fett"/>
              </w:rPr>
              <w:t>Dritte Ordnung</w:t>
            </w:r>
            <w:r>
              <w:t xml:space="preserve"> </w:t>
            </w:r>
            <w:r>
              <w:rPr>
                <w:rStyle w:val="Hervorhebung"/>
              </w:rPr>
              <w:t>(optional)</w:t>
            </w:r>
          </w:p>
        </w:tc>
        <w:tc>
          <w:tcPr>
            <w:tcW w:w="0" w:type="auto"/>
            <w:vAlign w:val="center"/>
            <w:hideMark/>
          </w:tcPr>
          <w:p w14:paraId="09CB5563" w14:textId="77777777" w:rsidR="00875D6D" w:rsidRDefault="00875D6D">
            <w:r>
              <w:t>Beobachtung anderer Beobachterbeobachtung („Wie erzeugt ein System Beobachtungsroutinen?“)</w:t>
            </w:r>
          </w:p>
        </w:tc>
        <w:tc>
          <w:tcPr>
            <w:tcW w:w="0" w:type="auto"/>
            <w:vAlign w:val="center"/>
            <w:hideMark/>
          </w:tcPr>
          <w:p w14:paraId="58977D65" w14:textId="77777777" w:rsidR="00875D6D" w:rsidRDefault="00875D6D">
            <w:r>
              <w:t>Ermöglicht Diskursanalyse, soziokulturelle Reflexion [94]</w:t>
            </w:r>
          </w:p>
        </w:tc>
      </w:tr>
    </w:tbl>
    <w:p w14:paraId="493232EF" w14:textId="77777777" w:rsidR="00875D6D" w:rsidRDefault="00875D6D" w:rsidP="00875D6D">
      <w:pPr>
        <w:pStyle w:val="StandardWeb"/>
      </w:pPr>
      <w:r>
        <w:t>Diese Ebenen sind keine abstrakten Denkfiguren, sondern prägen methodische und ethische Entscheidungen: Wer etwa eine Feldstudie durchführt, muss entscheiden, auf welcher Ordnungsebene er/sie beobachtet – und welchen Weltbegriff damit erzeugt [36].</w:t>
      </w:r>
    </w:p>
    <w:p w14:paraId="25D8DB1C" w14:textId="77777777" w:rsidR="00875D6D" w:rsidRDefault="00BD2758" w:rsidP="00875D6D">
      <w:r>
        <w:pict w14:anchorId="6D6CA8C3">
          <v:rect id="_x0000_i1045" style="width:0;height:1.5pt" o:hralign="center" o:hrstd="t" o:hr="t" fillcolor="#a0a0a0" stroked="f"/>
        </w:pict>
      </w:r>
    </w:p>
    <w:p w14:paraId="0B5A8450" w14:textId="77777777" w:rsidR="00875D6D" w:rsidRDefault="00875D6D" w:rsidP="000C55CF">
      <w:pPr>
        <w:pStyle w:val="berschrift3"/>
      </w:pPr>
      <w:r>
        <w:rPr>
          <w:rStyle w:val="Fett"/>
          <w:b/>
          <w:bCs w:val="0"/>
        </w:rPr>
        <w:t>5.8.3 Epistemische Verantwortung im funktionalen Beweis</w:t>
      </w:r>
    </w:p>
    <w:p w14:paraId="2A929AF3" w14:textId="77777777" w:rsidR="00875D6D" w:rsidRDefault="00875D6D" w:rsidP="00875D6D">
      <w:pPr>
        <w:pStyle w:val="StandardWeb"/>
      </w:pPr>
      <w:r>
        <w:t xml:space="preserve">Da der Beweis im FRZK </w:t>
      </w:r>
      <w:r>
        <w:rPr>
          <w:rStyle w:val="Fett"/>
        </w:rPr>
        <w:t>nicht korrespondenzlogisch</w:t>
      </w:r>
      <w:r>
        <w:t xml:space="preserve">, sondern </w:t>
      </w:r>
      <w:r>
        <w:rPr>
          <w:rStyle w:val="Fett"/>
        </w:rPr>
        <w:t>funktional-kohärent</w:t>
      </w:r>
      <w:r>
        <w:t xml:space="preserve"> erzeugt wird, ergibt sich eine grundlegende Verantwortung: Diejenige, die beobachtet, </w:t>
      </w:r>
      <w:r>
        <w:rPr>
          <w:rStyle w:val="Fett"/>
        </w:rPr>
        <w:t>ist mitverantwortlich für die emergenten Strukturen</w:t>
      </w:r>
      <w:r>
        <w:t>, die dadurch erzeugt oder ausgeschlossen werden [29].</w:t>
      </w:r>
    </w:p>
    <w:p w14:paraId="554F245B" w14:textId="77777777" w:rsidR="00875D6D" w:rsidRDefault="00875D6D" w:rsidP="00875D6D">
      <w:pPr>
        <w:pStyle w:val="StandardWeb"/>
      </w:pPr>
      <w:r>
        <w:t>Das bedeutet:</w:t>
      </w:r>
    </w:p>
    <w:p w14:paraId="5832AD38" w14:textId="77777777" w:rsidR="00875D6D" w:rsidRDefault="00875D6D" w:rsidP="00875D6D">
      <w:pPr>
        <w:pStyle w:val="StandardWeb"/>
        <w:numPr>
          <w:ilvl w:val="0"/>
          <w:numId w:val="20"/>
        </w:numPr>
      </w:pPr>
      <w:r>
        <w:t>Es gibt keine „unschuldige Beobachtung“ [95],</w:t>
      </w:r>
    </w:p>
    <w:p w14:paraId="2B2C2858" w14:textId="77777777" w:rsidR="00875D6D" w:rsidRDefault="00875D6D" w:rsidP="00875D6D">
      <w:pPr>
        <w:pStyle w:val="StandardWeb"/>
        <w:numPr>
          <w:ilvl w:val="0"/>
          <w:numId w:val="20"/>
        </w:numPr>
      </w:pPr>
      <w:r>
        <w:t>Modellarchitekturen sind nicht neutral,</w:t>
      </w:r>
    </w:p>
    <w:p w14:paraId="58147A21" w14:textId="77777777" w:rsidR="00875D6D" w:rsidRDefault="00875D6D" w:rsidP="00875D6D">
      <w:pPr>
        <w:pStyle w:val="StandardWeb"/>
        <w:numPr>
          <w:ilvl w:val="0"/>
          <w:numId w:val="20"/>
        </w:numPr>
      </w:pPr>
      <w:r>
        <w:t xml:space="preserve">Jede Form der Strukturierung ist auch eine Form der </w:t>
      </w:r>
      <w:r>
        <w:rPr>
          <w:rStyle w:val="Fett"/>
        </w:rPr>
        <w:t>epistemischen Intervention</w:t>
      </w:r>
      <w:r>
        <w:t xml:space="preserve"> [30].</w:t>
      </w:r>
    </w:p>
    <w:p w14:paraId="249E2CBD" w14:textId="77777777" w:rsidR="00875D6D" w:rsidRDefault="00875D6D" w:rsidP="00875D6D">
      <w:pPr>
        <w:pStyle w:val="StandardWeb"/>
      </w:pPr>
      <w:r>
        <w:t xml:space="preserve">Diese Verantwortung ist nicht moralisch (im Sinne individueller Schuld), sondern </w:t>
      </w:r>
      <w:r>
        <w:rPr>
          <w:rStyle w:val="Fett"/>
        </w:rPr>
        <w:t>systemisch</w:t>
      </w:r>
      <w:r>
        <w:t>: Wer modelliert, erzeugt Bedingungen epistemischer Geltung und kultureller Wirksamkeit [31].</w:t>
      </w:r>
    </w:p>
    <w:p w14:paraId="632725F3" w14:textId="77777777" w:rsidR="00875D6D" w:rsidRDefault="00BD2758" w:rsidP="00875D6D">
      <w:r>
        <w:pict w14:anchorId="7C934529">
          <v:rect id="_x0000_i1046" style="width:0;height:1.5pt" o:hralign="center" o:hrstd="t" o:hr="t" fillcolor="#a0a0a0" stroked="f"/>
        </w:pict>
      </w:r>
    </w:p>
    <w:p w14:paraId="6FE7CC91" w14:textId="77777777" w:rsidR="00875D6D" w:rsidRPr="000C55CF" w:rsidRDefault="00875D6D" w:rsidP="000C55CF">
      <w:pPr>
        <w:pStyle w:val="berschrift3"/>
      </w:pPr>
      <w:r w:rsidRPr="000C55CF">
        <w:rPr>
          <w:rStyle w:val="Fett"/>
          <w:b/>
          <w:bCs w:val="0"/>
        </w:rPr>
        <w:t>5.8.4 Beobachtbarkeit als Kriterium für Beweisarchitektur</w:t>
      </w:r>
    </w:p>
    <w:p w14:paraId="2A9FC918" w14:textId="77777777" w:rsidR="00875D6D" w:rsidRDefault="00875D6D" w:rsidP="00875D6D">
      <w:pPr>
        <w:pStyle w:val="StandardWeb"/>
      </w:pPr>
      <w:r>
        <w:t xml:space="preserve">Innerhalb des FRZK wird nicht primär „Beobachtetes“ als Beweisgrundlage herangezogen, sondern die </w:t>
      </w:r>
      <w:r>
        <w:rPr>
          <w:rStyle w:val="Fett"/>
        </w:rPr>
        <w:t>Beobachtbarkeit funktionaler Relationen</w:t>
      </w:r>
      <w:r>
        <w:t>. Ein funktionaler Beweis ist dann stark, wenn er:</w:t>
      </w:r>
    </w:p>
    <w:p w14:paraId="4EF25F48" w14:textId="77777777" w:rsidR="00875D6D" w:rsidRDefault="00875D6D" w:rsidP="00875D6D">
      <w:pPr>
        <w:pStyle w:val="StandardWeb"/>
        <w:numPr>
          <w:ilvl w:val="0"/>
          <w:numId w:val="21"/>
        </w:numPr>
      </w:pPr>
      <w:r>
        <w:t>rekursiv beobachtbar bleibt,</w:t>
      </w:r>
    </w:p>
    <w:p w14:paraId="433E2486" w14:textId="77777777" w:rsidR="00875D6D" w:rsidRDefault="00875D6D" w:rsidP="00875D6D">
      <w:pPr>
        <w:pStyle w:val="StandardWeb"/>
        <w:numPr>
          <w:ilvl w:val="0"/>
          <w:numId w:val="21"/>
        </w:numPr>
      </w:pPr>
      <w:r>
        <w:t>seine eigenen Bedingungen reflexiv zugänglich macht,</w:t>
      </w:r>
    </w:p>
    <w:p w14:paraId="420BFA94" w14:textId="77777777" w:rsidR="00875D6D" w:rsidRDefault="00875D6D" w:rsidP="00875D6D">
      <w:pPr>
        <w:pStyle w:val="StandardWeb"/>
        <w:numPr>
          <w:ilvl w:val="0"/>
          <w:numId w:val="21"/>
        </w:numPr>
      </w:pPr>
      <w:r>
        <w:t>alternative Zuweisungslogiken simulieren kann [37].</w:t>
      </w:r>
    </w:p>
    <w:p w14:paraId="6098C7B2" w14:textId="77777777" w:rsidR="00875D6D" w:rsidRDefault="00875D6D" w:rsidP="00875D6D">
      <w:pPr>
        <w:pStyle w:val="StandardWeb"/>
      </w:pPr>
      <w:r>
        <w:rPr>
          <w:rStyle w:val="Fett"/>
        </w:rPr>
        <w:t>„Ein Modell, das seine eigene Beobachtbarkeit nicht darstellt, ist kein funktionaler Beweis, sondern eine Behauptung mit Stilmitteln.“</w:t>
      </w:r>
      <w:r>
        <w:t xml:space="preserve"> [35]</w:t>
      </w:r>
    </w:p>
    <w:p w14:paraId="6031DFE3" w14:textId="77777777" w:rsidR="00875D6D" w:rsidRDefault="00BD2758" w:rsidP="00875D6D">
      <w:r>
        <w:pict w14:anchorId="38D12DB5">
          <v:rect id="_x0000_i1047" style="width:0;height:1.5pt" o:hralign="center" o:hrstd="t" o:hr="t" fillcolor="#a0a0a0" stroked="f"/>
        </w:pict>
      </w:r>
    </w:p>
    <w:p w14:paraId="7466FAB4" w14:textId="77777777" w:rsidR="00875D6D" w:rsidRDefault="00875D6D" w:rsidP="000C55CF">
      <w:pPr>
        <w:pStyle w:val="berschrift3"/>
      </w:pPr>
      <w:r>
        <w:rPr>
          <w:rStyle w:val="Fett"/>
          <w:b/>
          <w:bCs w:val="0"/>
        </w:rPr>
        <w:t>5.8.5 Ethische Rahmung: Verantwortung für Zuweisung</w:t>
      </w:r>
    </w:p>
    <w:p w14:paraId="2DACB32B" w14:textId="77777777" w:rsidR="00875D6D" w:rsidRDefault="00875D6D" w:rsidP="00875D6D">
      <w:pPr>
        <w:pStyle w:val="StandardWeb"/>
      </w:pPr>
      <w:r>
        <w:t xml:space="preserve">Die Zuweisung im FRZK ist keine neutrale Operation, sondern ein </w:t>
      </w:r>
      <w:r>
        <w:rPr>
          <w:rStyle w:val="Fett"/>
        </w:rPr>
        <w:t>entscheidender Akt epistemischer Gestaltung</w:t>
      </w:r>
      <w:r>
        <w:t xml:space="preserve">. Daher fordert das Modell eine neue Forschungsethik, die nicht in Regeln, sondern in </w:t>
      </w:r>
      <w:r>
        <w:rPr>
          <w:rStyle w:val="Fett"/>
        </w:rPr>
        <w:t>Reflexionskompetenz</w:t>
      </w:r>
      <w:r>
        <w:t xml:space="preserve"> besteht:</w:t>
      </w:r>
    </w:p>
    <w:p w14:paraId="55624220" w14:textId="77777777" w:rsidR="00875D6D" w:rsidRDefault="00875D6D" w:rsidP="00875D6D">
      <w:pPr>
        <w:pStyle w:val="StandardWeb"/>
        <w:numPr>
          <w:ilvl w:val="0"/>
          <w:numId w:val="22"/>
        </w:numPr>
      </w:pPr>
      <w:r>
        <w:t xml:space="preserve">Forschung muss </w:t>
      </w:r>
      <w:r>
        <w:rPr>
          <w:rStyle w:val="Fett"/>
        </w:rPr>
        <w:t>ihre eigene Geltungslogik offenlegen</w:t>
      </w:r>
      <w:r>
        <w:t xml:space="preserve"> [96],</w:t>
      </w:r>
    </w:p>
    <w:p w14:paraId="358FA6BC" w14:textId="77777777" w:rsidR="00875D6D" w:rsidRDefault="00875D6D" w:rsidP="00875D6D">
      <w:pPr>
        <w:pStyle w:val="StandardWeb"/>
        <w:numPr>
          <w:ilvl w:val="0"/>
          <w:numId w:val="22"/>
        </w:numPr>
      </w:pPr>
      <w:r>
        <w:t xml:space="preserve">Wissenschaftliche Autorität entsteht durch </w:t>
      </w:r>
      <w:r>
        <w:rPr>
          <w:rStyle w:val="Fett"/>
        </w:rPr>
        <w:t>transparente Beobachtungsbedingungen</w:t>
      </w:r>
      <w:r>
        <w:t xml:space="preserve"> [97],</w:t>
      </w:r>
    </w:p>
    <w:p w14:paraId="62FC3D5B" w14:textId="77777777" w:rsidR="00875D6D" w:rsidRDefault="00875D6D" w:rsidP="00875D6D">
      <w:pPr>
        <w:pStyle w:val="StandardWeb"/>
        <w:numPr>
          <w:ilvl w:val="0"/>
          <w:numId w:val="22"/>
        </w:numPr>
      </w:pPr>
      <w:r>
        <w:t xml:space="preserve">Verantwortung zeigt sich in der Fähigkeit, </w:t>
      </w:r>
      <w:r>
        <w:rPr>
          <w:rStyle w:val="Fett"/>
        </w:rPr>
        <w:t>systematisch mit Unsicherheit, Unbestimmtheit und Emergenz umzugehen</w:t>
      </w:r>
      <w:r>
        <w:t xml:space="preserve"> [98].</w:t>
      </w:r>
    </w:p>
    <w:p w14:paraId="01CABBB5" w14:textId="77777777" w:rsidR="00875D6D" w:rsidRDefault="00875D6D" w:rsidP="00875D6D">
      <w:pPr>
        <w:pStyle w:val="StandardWeb"/>
      </w:pPr>
      <w:r>
        <w:t>Damit wird Forschung selbst zum Teil des Systems, das sie zu beschreiben vorgibt – und der Beweis nicht zur Feststellung, sondern zur Einladung zur Partizipation an einem kohärenten Denkraum.</w:t>
      </w:r>
    </w:p>
    <w:p w14:paraId="598FB497" w14:textId="77777777" w:rsidR="00875D6D" w:rsidRDefault="00BD2758" w:rsidP="00875D6D">
      <w:r>
        <w:pict w14:anchorId="4BD33D50">
          <v:rect id="_x0000_i1048" style="width:0;height:1.5pt" o:hralign="center" o:hrstd="t" o:hr="t" fillcolor="#a0a0a0" stroked="f"/>
        </w:pict>
      </w:r>
    </w:p>
    <w:p w14:paraId="790FFAA4" w14:textId="77777777" w:rsidR="00875D6D" w:rsidRDefault="00875D6D" w:rsidP="000C55CF">
      <w:pPr>
        <w:pStyle w:val="berschrift3"/>
      </w:pPr>
      <w:r>
        <w:rPr>
          <w:rStyle w:val="Fett"/>
          <w:b/>
          <w:bCs w:val="0"/>
        </w:rPr>
        <w:t>5.8.6 Ausblick: Der ethisch informierte Beweis</w:t>
      </w:r>
    </w:p>
    <w:p w14:paraId="750F6B19" w14:textId="77777777" w:rsidR="00875D6D" w:rsidRDefault="00875D6D" w:rsidP="00875D6D">
      <w:pPr>
        <w:pStyle w:val="StandardWeb"/>
      </w:pPr>
      <w:r>
        <w:t xml:space="preserve">Die logische Konsequenz dieser Perspektive ist die Notwendigkeit eines </w:t>
      </w:r>
      <w:r>
        <w:rPr>
          <w:rStyle w:val="Fett"/>
        </w:rPr>
        <w:t>ethisch informierten Beweises</w:t>
      </w:r>
      <w:r>
        <w:t>: Nicht im Sinne moralischer Appelle, sondern als Struktur, die Beobachtung, Zuweisung und Reflexion untrennbar integriert.</w:t>
      </w:r>
    </w:p>
    <w:p w14:paraId="6B8C924B" w14:textId="77777777" w:rsidR="00875D6D" w:rsidRDefault="00875D6D" w:rsidP="00875D6D">
      <w:pPr>
        <w:pStyle w:val="StandardWeb"/>
      </w:pPr>
      <w:r>
        <w:rPr>
          <w:rStyle w:val="Fett"/>
        </w:rPr>
        <w:t>„Ein funktionaler Beweis ist dann stark, wenn er nicht nur logisch konsistent, sondern auch beobachtbar, offen und verantwortlich konstruiert ist.“</w:t>
      </w:r>
      <w:r>
        <w:t xml:space="preserve"> [99]</w:t>
      </w:r>
    </w:p>
    <w:p w14:paraId="0AD53CF6" w14:textId="77777777" w:rsidR="00875D6D" w:rsidRDefault="00875D6D" w:rsidP="00875D6D">
      <w:pPr>
        <w:pStyle w:val="StandardWeb"/>
      </w:pPr>
      <w:r>
        <w:t xml:space="preserve">In dieser Perspektive wird das FRZK nicht nur zum Modell epistemischer Architektur, sondern auch zum </w:t>
      </w:r>
      <w:r>
        <w:rPr>
          <w:rStyle w:val="Fett"/>
        </w:rPr>
        <w:t>Modell forschungsethischer Selbstorganisation</w:t>
      </w:r>
      <w:r>
        <w:t>.</w:t>
      </w:r>
    </w:p>
    <w:p w14:paraId="2C0AFC00" w14:textId="77777777" w:rsidR="00EF0FD8" w:rsidRDefault="00BD2758" w:rsidP="00EF0FD8">
      <w:r>
        <w:pict w14:anchorId="5FE3CF69">
          <v:rect id="_x0000_i1049" style="width:0;height:1.5pt" o:hralign="center" o:hrstd="t" o:hr="t" fillcolor="#a0a0a0" stroked="f"/>
        </w:pict>
      </w:r>
    </w:p>
    <w:p w14:paraId="77A7708C" w14:textId="77777777" w:rsidR="0097375A" w:rsidRDefault="0097375A" w:rsidP="000C55CF">
      <w:pPr>
        <w:pStyle w:val="berschrift2"/>
        <w:rPr>
          <w:sz w:val="48"/>
          <w:szCs w:val="48"/>
          <w:lang w:eastAsia="de-DE"/>
        </w:rPr>
      </w:pPr>
      <w:r>
        <w:rPr>
          <w:rStyle w:val="Fett"/>
          <w:b/>
          <w:bCs w:val="0"/>
        </w:rPr>
        <w:t>5.9 Zusammenfassung und Forschungsperspektiven</w:t>
      </w:r>
    </w:p>
    <w:p w14:paraId="6D95B387" w14:textId="77777777" w:rsidR="0097375A" w:rsidRDefault="0097375A" w:rsidP="000C55CF">
      <w:pPr>
        <w:pStyle w:val="berschrift3"/>
      </w:pPr>
      <w:r>
        <w:rPr>
          <w:rStyle w:val="Fett"/>
          <w:b/>
          <w:bCs w:val="0"/>
        </w:rPr>
        <w:t>5.9.1 Rückblick: Funktionale Geltung statt klassischer Verifikation</w:t>
      </w:r>
    </w:p>
    <w:p w14:paraId="231527DF" w14:textId="77777777" w:rsidR="0097375A" w:rsidRDefault="0097375A" w:rsidP="00D74403">
      <w:r>
        <w:t xml:space="preserve">Mit der Entwicklung und schrittweisen Erarbeitung des FRZK in den vorangehenden Abschnitten wurde gezeigt, dass „Beweis“ im funktionalen Paradigma nicht als objektivierende Verifikation, sondern als </w:t>
      </w:r>
      <w:r>
        <w:rPr>
          <w:rStyle w:val="Fett"/>
        </w:rPr>
        <w:t>emergente Kohärenzstruktur innerhalb eines dynamischen Bezugssystems</w:t>
      </w:r>
      <w:r>
        <w:t xml:space="preserve"> zu verstehen ist. Statt auf externale Korrespondenz setzt das FRZK auf </w:t>
      </w:r>
      <w:r>
        <w:rPr>
          <w:rStyle w:val="Fett"/>
        </w:rPr>
        <w:t>interne Stimmigkeit, reflexive Rückführbarkeit, Transferierbarkeit und rekontextualisierbare Strukturfunktionen</w:t>
      </w:r>
      <w:r>
        <w:t>.</w:t>
      </w:r>
    </w:p>
    <w:p w14:paraId="7DA76A27" w14:textId="77777777" w:rsidR="0097375A" w:rsidRDefault="0097375A" w:rsidP="00D74403">
      <w:r>
        <w:t>Dabei hat sich eine Mehrdimensionalität funktionaler Geltung herausgebildet:</w:t>
      </w:r>
    </w:p>
    <w:p w14:paraId="1AA059B3" w14:textId="77777777" w:rsidR="0097375A" w:rsidRDefault="0097375A" w:rsidP="00D74403">
      <w:pPr>
        <w:pStyle w:val="Aufzhlung"/>
      </w:pPr>
      <w:r>
        <w:rPr>
          <w:rStyle w:val="Fett"/>
        </w:rPr>
        <w:t>Theoretisch</w:t>
      </w:r>
      <w:r>
        <w:t>: durch den Bruch mit dem Substanzparadigma hin zu morphischer Semantik und Beobachtung zweiter Ordnung [28][35],</w:t>
      </w:r>
    </w:p>
    <w:p w14:paraId="149DE180" w14:textId="77777777" w:rsidR="0097375A" w:rsidRDefault="0097375A" w:rsidP="00D74403">
      <w:pPr>
        <w:pStyle w:val="Aufzhlung"/>
      </w:pPr>
      <w:r>
        <w:rPr>
          <w:rStyle w:val="Fett"/>
        </w:rPr>
        <w:t>Methodisch</w:t>
      </w:r>
      <w:r>
        <w:t>: durch designorientierte, rekursive, reflexive Zugänge im Feld und in der Modellbildung [21][45],</w:t>
      </w:r>
    </w:p>
    <w:p w14:paraId="07E0AB31" w14:textId="56B5FBC6" w:rsidR="0097375A" w:rsidRDefault="0097375A" w:rsidP="00D74403">
      <w:pPr>
        <w:pStyle w:val="Aufzhlung"/>
      </w:pPr>
      <w:r>
        <w:rPr>
          <w:rStyle w:val="Fett"/>
        </w:rPr>
        <w:t>Praktisch</w:t>
      </w:r>
      <w:r>
        <w:t>: durch die Möglichkeit, funktionale Modelloperationen auf unterschiedliche System- und Diskursräume zu übertragen [100][101][102],</w:t>
      </w:r>
    </w:p>
    <w:p w14:paraId="51143969" w14:textId="77777777" w:rsidR="0097375A" w:rsidRDefault="0097375A" w:rsidP="00D74403">
      <w:pPr>
        <w:pStyle w:val="Aufzhlung"/>
      </w:pPr>
      <w:r>
        <w:rPr>
          <w:rStyle w:val="Fett"/>
        </w:rPr>
        <w:t>Ethisch</w:t>
      </w:r>
      <w:r>
        <w:t>: durch die Verantwortung für die erzeugten Zuweisungsstrukturen, die Beobachtbarkeit der eigenen Modellbedingungen und die partizipative Geltungsarchitektur [95][96].</w:t>
      </w:r>
    </w:p>
    <w:p w14:paraId="0FEB5D58" w14:textId="77777777" w:rsidR="0097375A" w:rsidRDefault="00BD2758" w:rsidP="0097375A">
      <w:r>
        <w:pict w14:anchorId="36161CCA">
          <v:rect id="_x0000_i1050" style="width:0;height:1.5pt" o:hralign="center" o:hrstd="t" o:hr="t" fillcolor="#a0a0a0" stroked="f"/>
        </w:pict>
      </w:r>
    </w:p>
    <w:p w14:paraId="5368B788" w14:textId="77777777" w:rsidR="0097375A" w:rsidRDefault="0097375A" w:rsidP="000C55CF">
      <w:pPr>
        <w:pStyle w:val="berschrift3"/>
      </w:pPr>
      <w:r>
        <w:rPr>
          <w:rStyle w:val="Fett"/>
          <w:b/>
          <w:bCs w:val="0"/>
        </w:rPr>
        <w:t>5.9.2 Das FRZK als epistemisches Modell offener Selbststrukturierung</w:t>
      </w:r>
    </w:p>
    <w:p w14:paraId="7355CFF1" w14:textId="77777777" w:rsidR="0097375A" w:rsidRDefault="0097375A" w:rsidP="00D74403">
      <w:r>
        <w:t xml:space="preserve">Das Funktionale Raum-Zeit-Kohärenzsystem ist </w:t>
      </w:r>
      <w:r>
        <w:rPr>
          <w:rStyle w:val="Fett"/>
        </w:rPr>
        <w:t>keine Totaltheorie</w:t>
      </w:r>
      <w:r>
        <w:t>, sondern ein offenes Strukturmodell, das seine eigene Geltungsbedingung in Form rekursiver Zuweisung modelliert. Das bedeutet:</w:t>
      </w:r>
    </w:p>
    <w:p w14:paraId="3E175433" w14:textId="77777777" w:rsidR="0097375A" w:rsidRDefault="0097375A" w:rsidP="00D74403">
      <w:pPr>
        <w:pStyle w:val="Aufzhlung"/>
      </w:pPr>
      <w:r>
        <w:t>Es verzichtet auf final definierte Axiome,</w:t>
      </w:r>
    </w:p>
    <w:p w14:paraId="200607EA" w14:textId="77777777" w:rsidR="0097375A" w:rsidRDefault="0097375A" w:rsidP="00D74403">
      <w:pPr>
        <w:pStyle w:val="Aufzhlung"/>
      </w:pPr>
      <w:r>
        <w:t xml:space="preserve">Es strukturiert sich </w:t>
      </w:r>
      <w:r>
        <w:rPr>
          <w:rStyle w:val="Fett"/>
        </w:rPr>
        <w:t>aus sich selbst heraus</w:t>
      </w:r>
      <w:r>
        <w:t xml:space="preserve"> durch beobachtergebundene Funktionalisierung,</w:t>
      </w:r>
    </w:p>
    <w:p w14:paraId="226A5841" w14:textId="77777777" w:rsidR="0097375A" w:rsidRDefault="0097375A" w:rsidP="00D74403">
      <w:pPr>
        <w:pStyle w:val="Aufzhlung"/>
      </w:pPr>
      <w:r>
        <w:t xml:space="preserve">Es ist </w:t>
      </w:r>
      <w:r>
        <w:rPr>
          <w:rStyle w:val="Fett"/>
        </w:rPr>
        <w:t>anschlussfähig</w:t>
      </w:r>
      <w:r>
        <w:t xml:space="preserve"> an unterschiedlichste Denk-, Disziplin- und Handlungssysteme.</w:t>
      </w:r>
    </w:p>
    <w:p w14:paraId="64C86A96" w14:textId="77777777" w:rsidR="0097375A" w:rsidRDefault="0097375A" w:rsidP="00D74403">
      <w:r>
        <w:t xml:space="preserve">Damit bietet das FRZK eine </w:t>
      </w:r>
      <w:r>
        <w:rPr>
          <w:rStyle w:val="Fett"/>
        </w:rPr>
        <w:t>epistemologische Alternative</w:t>
      </w:r>
      <w:r>
        <w:t xml:space="preserve"> zu Modellen, die auf Objektivität, Messbarkeit oder Repräsentation setzen. Seine Beweiskraft liegt </w:t>
      </w:r>
      <w:r>
        <w:rPr>
          <w:rStyle w:val="Fett"/>
        </w:rPr>
        <w:t>nicht im Nachweis einer Wahrheit</w:t>
      </w:r>
      <w:r>
        <w:t xml:space="preserve">, sondern in der </w:t>
      </w:r>
      <w:r>
        <w:rPr>
          <w:rStyle w:val="Fett"/>
        </w:rPr>
        <w:t>Stabilität rekursiv funktionaler Emergenzen</w:t>
      </w:r>
      <w:r>
        <w:t>.</w:t>
      </w:r>
    </w:p>
    <w:p w14:paraId="77ADE670" w14:textId="77777777" w:rsidR="0097375A" w:rsidRDefault="00BD2758" w:rsidP="0097375A">
      <w:r>
        <w:pict w14:anchorId="095B308D">
          <v:rect id="_x0000_i1051" style="width:0;height:1.5pt" o:hralign="center" o:hrstd="t" o:hr="t" fillcolor="#a0a0a0" stroked="f"/>
        </w:pict>
      </w:r>
    </w:p>
    <w:p w14:paraId="656E50BE" w14:textId="77777777" w:rsidR="0097375A" w:rsidRDefault="0097375A" w:rsidP="000C55CF">
      <w:pPr>
        <w:pStyle w:val="berschrift3"/>
      </w:pPr>
      <w:r>
        <w:rPr>
          <w:rStyle w:val="Fett"/>
          <w:b/>
          <w:bCs w:val="0"/>
        </w:rPr>
        <w:t>5.9.3 Perspektiven zukünftiger Forschung</w:t>
      </w:r>
    </w:p>
    <w:p w14:paraId="541C852E" w14:textId="77777777" w:rsidR="0097375A" w:rsidRDefault="0097375A" w:rsidP="00D74403">
      <w:r>
        <w:t>Die bisherigen Ergebnisse eröffnen systematisch ausbaufähige Forschungslinien. Dazu gehören insbesondere:</w:t>
      </w:r>
    </w:p>
    <w:p w14:paraId="652E0EB9" w14:textId="77777777" w:rsidR="0097375A" w:rsidRDefault="0097375A" w:rsidP="000C55CF">
      <w:pPr>
        <w:pStyle w:val="berschrift4"/>
      </w:pPr>
      <w:r>
        <w:t xml:space="preserve">a) </w:t>
      </w:r>
      <w:r>
        <w:rPr>
          <w:rStyle w:val="Fett"/>
          <w:b w:val="0"/>
          <w:bCs w:val="0"/>
        </w:rPr>
        <w:t>Empirische Validierungsszenarien</w:t>
      </w:r>
    </w:p>
    <w:p w14:paraId="32F7C751" w14:textId="77777777" w:rsidR="0097375A" w:rsidRDefault="0097375A" w:rsidP="00D74403">
      <w:pPr>
        <w:pStyle w:val="Aufzhlung"/>
      </w:pPr>
      <w:r>
        <w:t xml:space="preserve">Weiterentwicklung und systematische Evaluation von </w:t>
      </w:r>
      <w:r>
        <w:rPr>
          <w:rStyle w:val="Fett"/>
        </w:rPr>
        <w:t>Design-Based-Research-Settings</w:t>
      </w:r>
      <w:r>
        <w:t xml:space="preserve"> im Bildungsbereich, in KI-Systemen, in sozialen Interaktionen.</w:t>
      </w:r>
    </w:p>
    <w:p w14:paraId="66A64EC8" w14:textId="77777777" w:rsidR="0097375A" w:rsidRDefault="0097375A" w:rsidP="00D74403">
      <w:pPr>
        <w:pStyle w:val="Aufzhlung"/>
      </w:pPr>
      <w:r>
        <w:rPr>
          <w:rStyle w:val="Fett"/>
        </w:rPr>
        <w:t>Messbarmachung emergenter Strukturen</w:t>
      </w:r>
      <w:r>
        <w:t xml:space="preserve"> durch Diskursanalyse, agentenbasierte Modellierung oder Feedback-Loops.</w:t>
      </w:r>
    </w:p>
    <w:p w14:paraId="15293F20" w14:textId="77777777" w:rsidR="0097375A" w:rsidRDefault="0097375A" w:rsidP="000C55CF">
      <w:pPr>
        <w:pStyle w:val="berschrift4"/>
      </w:pPr>
      <w:r>
        <w:t xml:space="preserve">b) </w:t>
      </w:r>
      <w:r>
        <w:rPr>
          <w:rStyle w:val="Fett"/>
          <w:b w:val="0"/>
          <w:bCs w:val="0"/>
        </w:rPr>
        <w:t>Simulation und algorithmische Modellierung</w:t>
      </w:r>
    </w:p>
    <w:p w14:paraId="6A677AC0" w14:textId="77777777" w:rsidR="0097375A" w:rsidRDefault="0097375A" w:rsidP="00D74403">
      <w:pPr>
        <w:pStyle w:val="Aufzhlung"/>
      </w:pPr>
      <w:r>
        <w:rPr>
          <w:rStyle w:val="Fett"/>
        </w:rPr>
        <w:t>Simulationsarchitekturen</w:t>
      </w:r>
      <w:r>
        <w:t>, in denen FRZK-Prinzipien als Basis für künstliche Meta-Systeme fungieren (z. B. Zuweisungslogiken ψ(</w:t>
      </w:r>
      <w:proofErr w:type="gramStart"/>
      <w:r>
        <w:t>x,y</w:t>
      </w:r>
      <w:proofErr w:type="gramEnd"/>
      <w:r>
        <w:t>,t) als dynamische Steuerungsmechanismen).</w:t>
      </w:r>
    </w:p>
    <w:p w14:paraId="1EDD0692" w14:textId="77777777" w:rsidR="0097375A" w:rsidRDefault="0097375A" w:rsidP="00D74403">
      <w:pPr>
        <w:pStyle w:val="Aufzhlung"/>
      </w:pPr>
      <w:r>
        <w:t xml:space="preserve">Verbindung zur </w:t>
      </w:r>
      <w:r>
        <w:rPr>
          <w:rStyle w:val="Fett"/>
        </w:rPr>
        <w:t>Meta-Learning-Forschung</w:t>
      </w:r>
      <w:r>
        <w:t xml:space="preserve"> und adaptiver Modellbildung.</w:t>
      </w:r>
    </w:p>
    <w:p w14:paraId="2051DB51" w14:textId="77777777" w:rsidR="0097375A" w:rsidRDefault="0097375A" w:rsidP="000C55CF">
      <w:pPr>
        <w:pStyle w:val="berschrift4"/>
      </w:pPr>
      <w:r>
        <w:t xml:space="preserve">c) </w:t>
      </w:r>
      <w:r>
        <w:rPr>
          <w:rStyle w:val="Fett"/>
          <w:b w:val="0"/>
          <w:bCs w:val="0"/>
        </w:rPr>
        <w:t>Didaktische und ästhetische Umsetzungen</w:t>
      </w:r>
    </w:p>
    <w:p w14:paraId="7F5788D1" w14:textId="77777777" w:rsidR="0097375A" w:rsidRDefault="0097375A" w:rsidP="00D74403">
      <w:pPr>
        <w:pStyle w:val="Aufzhlung"/>
      </w:pPr>
      <w:r>
        <w:t xml:space="preserve">Entwicklung </w:t>
      </w:r>
      <w:r>
        <w:rPr>
          <w:rStyle w:val="Fett"/>
        </w:rPr>
        <w:t>epistemisch offener Lernformate</w:t>
      </w:r>
      <w:r>
        <w:t>, die das FRZK in didaktische Praktiken überführen.</w:t>
      </w:r>
    </w:p>
    <w:p w14:paraId="5C28A453" w14:textId="77777777" w:rsidR="0097375A" w:rsidRDefault="0097375A" w:rsidP="00D74403">
      <w:pPr>
        <w:pStyle w:val="Aufzhlung"/>
      </w:pPr>
      <w:r>
        <w:t xml:space="preserve">Erforschung von </w:t>
      </w:r>
      <w:r>
        <w:rPr>
          <w:rStyle w:val="Fett"/>
        </w:rPr>
        <w:t>Gestaltungsräumen</w:t>
      </w:r>
      <w:r>
        <w:t xml:space="preserve"> (in Interface Design, Raumsoziologie, Kultursemiotik), die auf dynamischer Funktionszuweisung beruhen.</w:t>
      </w:r>
    </w:p>
    <w:p w14:paraId="1E34DB4C" w14:textId="77777777" w:rsidR="0097375A" w:rsidRDefault="0097375A" w:rsidP="000C55CF">
      <w:pPr>
        <w:pStyle w:val="berschrift4"/>
      </w:pPr>
      <w:r>
        <w:t xml:space="preserve">d) </w:t>
      </w:r>
      <w:r>
        <w:rPr>
          <w:rStyle w:val="Fett"/>
          <w:b w:val="0"/>
          <w:bCs w:val="0"/>
        </w:rPr>
        <w:t>Ethik epistemischer Architektur</w:t>
      </w:r>
    </w:p>
    <w:p w14:paraId="6CCDAF99" w14:textId="77777777" w:rsidR="0097375A" w:rsidRDefault="0097375A" w:rsidP="00D74403">
      <w:pPr>
        <w:pStyle w:val="Aufzhlung"/>
      </w:pPr>
      <w:r>
        <w:t xml:space="preserve">Weiterführung der Überlegungen aus 5.8: </w:t>
      </w:r>
      <w:r>
        <w:rPr>
          <w:rStyle w:val="Fett"/>
        </w:rPr>
        <w:t>Wie entstehen Geltung und Verantwortung im Modell selbst?</w:t>
      </w:r>
    </w:p>
    <w:p w14:paraId="29D67B3E" w14:textId="77777777" w:rsidR="0097375A" w:rsidRDefault="0097375A" w:rsidP="00D74403">
      <w:pPr>
        <w:pStyle w:val="Aufzhlung"/>
      </w:pPr>
      <w:r>
        <w:t>Analyse der gesellschaftlichen Relevanz funktional erzeugter Wirklichkeitsräume – z. B. in Medien, Politik, Algorithmen.</w:t>
      </w:r>
    </w:p>
    <w:p w14:paraId="2442BA57" w14:textId="77777777" w:rsidR="0097375A" w:rsidRDefault="00BD2758" w:rsidP="0097375A">
      <w:r>
        <w:pict w14:anchorId="0A62496C">
          <v:rect id="_x0000_i1052" style="width:0;height:1.5pt" o:hralign="center" o:hrstd="t" o:hr="t" fillcolor="#a0a0a0" stroked="f"/>
        </w:pict>
      </w:r>
    </w:p>
    <w:p w14:paraId="2EF353A7" w14:textId="77777777" w:rsidR="0097375A" w:rsidRDefault="0097375A" w:rsidP="000C55CF">
      <w:pPr>
        <w:pStyle w:val="berschrift3"/>
      </w:pPr>
      <w:r>
        <w:rPr>
          <w:rStyle w:val="Fett"/>
          <w:b/>
          <w:bCs w:val="0"/>
        </w:rPr>
        <w:t>5.9.4 Abschließende Überlegungen</w:t>
      </w:r>
    </w:p>
    <w:p w14:paraId="47DD0269" w14:textId="77777777" w:rsidR="0097375A" w:rsidRDefault="0097375A" w:rsidP="00D74403">
      <w:r>
        <w:t xml:space="preserve">Das FRZK hat sich als </w:t>
      </w:r>
      <w:r>
        <w:rPr>
          <w:rStyle w:val="Fett"/>
        </w:rPr>
        <w:t>struktur- und reflexionsfähiges Modell epistemischer Orientierung</w:t>
      </w:r>
      <w:r>
        <w:t xml:space="preserve"> erwiesen. Es beweist sich nicht durch Abbildung, sondern durch seine </w:t>
      </w:r>
      <w:r>
        <w:rPr>
          <w:rStyle w:val="Fett"/>
        </w:rPr>
        <w:t>Fähigkeit zur Selbstorganisation, Reorganisation und Anschlussfähigkeit</w:t>
      </w:r>
      <w:r>
        <w:t xml:space="preserve">. In diesem Sinne ersetzt es </w:t>
      </w:r>
      <w:r>
        <w:rPr>
          <w:rStyle w:val="Fett"/>
        </w:rPr>
        <w:t>klassische Wahrheitsansprüche</w:t>
      </w:r>
      <w:r>
        <w:t xml:space="preserve"> durch eine dynamische Logik der Beobachtbarkeit, Verantwortbarkeit und funktionalen Geltung.</w:t>
      </w:r>
    </w:p>
    <w:p w14:paraId="04B260B2" w14:textId="77777777" w:rsidR="0097375A" w:rsidRDefault="0097375A" w:rsidP="00D74403">
      <w:r>
        <w:rPr>
          <w:rStyle w:val="Fett"/>
        </w:rPr>
        <w:t>Beweis im FRZK bedeutet: Das, was sich selbst rekonstruieren, kontextualisieren und transferieren kann – ohne Inkohärenz –, hat Geltung.</w:t>
      </w:r>
    </w:p>
    <w:p w14:paraId="4A344B61" w14:textId="77777777" w:rsidR="0097375A" w:rsidRDefault="0097375A" w:rsidP="00D74403">
      <w:r>
        <w:t xml:space="preserve">Die weitere Forschung steht nun vor der Aufgabe, dieses Denkmodell </w:t>
      </w:r>
      <w:r>
        <w:rPr>
          <w:rStyle w:val="Fett"/>
        </w:rPr>
        <w:t>in konkrete, gesellschaftlich, technologisch und erkenntniskritisch relevante Kontexte zu überführen</w:t>
      </w:r>
      <w:r>
        <w:t>. Das Kapitel endet nicht mit einer Konklusion, sondern mit einer Einladung: zur weiteren Bewegung in einem funktionalen Raum epistemischer Kohärenz.</w:t>
      </w:r>
    </w:p>
    <w:p w14:paraId="5010FD76" w14:textId="77777777" w:rsidR="001C3289" w:rsidRDefault="00BD2758" w:rsidP="001C3289">
      <w:r>
        <w:pict w14:anchorId="4E6FDB83">
          <v:rect id="_x0000_i1053" style="width:0;height:1.5pt" o:hralign="center" o:hrstd="t" o:hr="t" fillcolor="#a0a0a0" stroked="f"/>
        </w:pict>
      </w:r>
    </w:p>
    <w:p w14:paraId="590AE894" w14:textId="706F7A26" w:rsidR="001E21D6" w:rsidRDefault="001E21D6" w:rsidP="00060CD3">
      <w:pPr>
        <w:pStyle w:val="berschrift2"/>
      </w:pPr>
      <w:r>
        <w:rPr>
          <w:rStyle w:val="Fett"/>
          <w:bCs w:val="0"/>
        </w:rPr>
        <w:t>Literaturverzeichnis zu Kapitel 5</w:t>
      </w:r>
    </w:p>
    <w:p w14:paraId="12894CD6" w14:textId="77777777" w:rsidR="001E21D6" w:rsidRDefault="001E21D6" w:rsidP="001E21D6">
      <w:pPr>
        <w:pStyle w:val="StandardWeb"/>
      </w:pPr>
      <w:r>
        <w:t xml:space="preserve">[1] Suppes, P. (1972). </w:t>
      </w:r>
      <w:r>
        <w:rPr>
          <w:rStyle w:val="Hervorhebung"/>
        </w:rPr>
        <w:t>Axiomatic Set Theory</w:t>
      </w:r>
      <w:r>
        <w:t>. Dover Publications.</w:t>
      </w:r>
      <w:r>
        <w:br/>
        <w:t xml:space="preserve">[2] Carnap, R. (1928). </w:t>
      </w:r>
      <w:r>
        <w:rPr>
          <w:rStyle w:val="Hervorhebung"/>
        </w:rPr>
        <w:t>Der logische Aufbau der Welt</w:t>
      </w:r>
      <w:r>
        <w:t xml:space="preserve">. </w:t>
      </w:r>
      <w:proofErr w:type="gramStart"/>
      <w:r>
        <w:t>Meiner Verlag</w:t>
      </w:r>
      <w:proofErr w:type="gramEnd"/>
      <w:r>
        <w:t>.</w:t>
      </w:r>
      <w:r>
        <w:br/>
        <w:t xml:space="preserve">[3] Baez, J., &amp; Stay, M. (2010). Physics, Topology, Logic and Computation: A Rosetta Stone. In: Coecke (Ed.), </w:t>
      </w:r>
      <w:r>
        <w:rPr>
          <w:rStyle w:val="Hervorhebung"/>
        </w:rPr>
        <w:t>New Structures for Physics</w:t>
      </w:r>
      <w:r>
        <w:t>. Springer, S. 117.</w:t>
      </w:r>
      <w:r>
        <w:br/>
        <w:t xml:space="preserve">[4] von Glasersfeld, E. (1995). </w:t>
      </w:r>
      <w:r>
        <w:rPr>
          <w:rStyle w:val="Hervorhebung"/>
        </w:rPr>
        <w:t>Radical Constructivism: A Way of Knowing and Learning</w:t>
      </w:r>
      <w:r>
        <w:t>. Falmer Press.</w:t>
      </w:r>
      <w:r>
        <w:br/>
        <w:t xml:space="preserve">[5] Penrose, R. (2004). </w:t>
      </w:r>
      <w:r>
        <w:rPr>
          <w:rStyle w:val="Hervorhebung"/>
        </w:rPr>
        <w:t>The Road to Reality: A Complete Guide to the Laws of the Universe</w:t>
      </w:r>
      <w:r>
        <w:t>. Jonathan Cape.</w:t>
      </w:r>
      <w:r>
        <w:br/>
        <w:t xml:space="preserve">[6] Bohr, N. (1987). </w:t>
      </w:r>
      <w:r>
        <w:rPr>
          <w:rStyle w:val="Hervorhebung"/>
        </w:rPr>
        <w:t>Atomic Physics and Human Knowledge</w:t>
      </w:r>
      <w:r>
        <w:t>. Woodbridge: Ox Bow Press.</w:t>
      </w:r>
      <w:r>
        <w:br/>
        <w:t xml:space="preserve">[7] Krantz, D. H. et al. (1971). </w:t>
      </w:r>
      <w:r>
        <w:rPr>
          <w:rStyle w:val="Hervorhebung"/>
        </w:rPr>
        <w:t>Foundations of Measurement</w:t>
      </w:r>
      <w:r>
        <w:t>. Academic Press, Vol. I.</w:t>
      </w:r>
      <w:r>
        <w:br/>
        <w:t xml:space="preserve">[8] Heelan, P. (1983). </w:t>
      </w:r>
      <w:r>
        <w:rPr>
          <w:rStyle w:val="Hervorhebung"/>
        </w:rPr>
        <w:t>Perception and the Physical World: Psychological and Philosophical Issues in Perception</w:t>
      </w:r>
      <w:r>
        <w:t>. Purdue University Press.</w:t>
      </w:r>
    </w:p>
    <w:p w14:paraId="5E066662" w14:textId="77777777" w:rsidR="001E21D6" w:rsidRPr="00AF6107" w:rsidRDefault="001E21D6" w:rsidP="001E21D6">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[9] von Glasersfeld, E. (1995). </w:t>
      </w:r>
      <w:r w:rsidRPr="00AF6107">
        <w:rPr>
          <w:rFonts w:ascii="Times New Roman" w:eastAsia="Times New Roman" w:hAnsi="Times New Roman"/>
          <w:i/>
          <w:iCs/>
          <w:sz w:val="24"/>
          <w:szCs w:val="24"/>
          <w:lang w:eastAsia="de-DE"/>
        </w:rPr>
        <w:t>Radical Constructivism: A Way of Knowing and Learning</w:t>
      </w:r>
      <w:r w:rsidRPr="00AF6107">
        <w:rPr>
          <w:rFonts w:ascii="Times New Roman" w:eastAsia="Times New Roman" w:hAnsi="Times New Roman"/>
          <w:sz w:val="24"/>
          <w:szCs w:val="24"/>
          <w:lang w:eastAsia="de-DE"/>
        </w:rPr>
        <w:t>. Falmer Press.</w:t>
      </w:r>
      <w:r w:rsidRPr="00AF6107">
        <w:rPr>
          <w:rFonts w:ascii="Times New Roman" w:eastAsia="Times New Roman" w:hAnsi="Times New Roman"/>
          <w:sz w:val="24"/>
          <w:szCs w:val="24"/>
          <w:lang w:eastAsia="de-DE"/>
        </w:rPr>
        <w:br/>
        <w:t xml:space="preserve">[10] Baez, J., &amp; Stay, M. (2010). Physics, Topology, Logic and Computation: A Rosetta Stone. In: Coecke (Ed.), </w:t>
      </w:r>
      <w:r w:rsidRPr="00AF6107">
        <w:rPr>
          <w:rFonts w:ascii="Times New Roman" w:eastAsia="Times New Roman" w:hAnsi="Times New Roman"/>
          <w:i/>
          <w:iCs/>
          <w:sz w:val="24"/>
          <w:szCs w:val="24"/>
          <w:lang w:eastAsia="de-DE"/>
        </w:rPr>
        <w:t>New Structures for Physics</w:t>
      </w:r>
      <w:r w:rsidRPr="00AF6107">
        <w:rPr>
          <w:rFonts w:ascii="Times New Roman" w:eastAsia="Times New Roman" w:hAnsi="Times New Roman"/>
          <w:sz w:val="24"/>
          <w:szCs w:val="24"/>
          <w:lang w:eastAsia="de-DE"/>
        </w:rPr>
        <w:t>. Springer, S. 117.</w:t>
      </w:r>
      <w:r w:rsidRPr="00AF6107">
        <w:rPr>
          <w:rFonts w:ascii="Times New Roman" w:eastAsia="Times New Roman" w:hAnsi="Times New Roman"/>
          <w:sz w:val="24"/>
          <w:szCs w:val="24"/>
          <w:lang w:eastAsia="de-DE"/>
        </w:rPr>
        <w:br/>
        <w:t xml:space="preserve">[11] Lawvere, F. W., &amp; Schanuel, S. H. (2009). </w:t>
      </w:r>
      <w:r w:rsidRPr="00AF6107">
        <w:rPr>
          <w:rFonts w:ascii="Times New Roman" w:eastAsia="Times New Roman" w:hAnsi="Times New Roman"/>
          <w:i/>
          <w:iCs/>
          <w:sz w:val="24"/>
          <w:szCs w:val="24"/>
          <w:lang w:eastAsia="de-DE"/>
        </w:rPr>
        <w:t>Conceptual Mathematics: A First Introduction to Categories</w:t>
      </w:r>
      <w:r w:rsidRPr="00AF6107">
        <w:rPr>
          <w:rFonts w:ascii="Times New Roman" w:eastAsia="Times New Roman" w:hAnsi="Times New Roman"/>
          <w:sz w:val="24"/>
          <w:szCs w:val="24"/>
          <w:lang w:eastAsia="de-DE"/>
        </w:rPr>
        <w:t>. Cambridge University Press.</w:t>
      </w:r>
      <w:r w:rsidRPr="00AF6107">
        <w:rPr>
          <w:rFonts w:ascii="Times New Roman" w:eastAsia="Times New Roman" w:hAnsi="Times New Roman"/>
          <w:sz w:val="24"/>
          <w:szCs w:val="24"/>
          <w:lang w:eastAsia="de-DE"/>
        </w:rPr>
        <w:br/>
        <w:t xml:space="preserve">[12] von Foerster, H. (1984). </w:t>
      </w:r>
      <w:r w:rsidRPr="00AF6107">
        <w:rPr>
          <w:rFonts w:ascii="Times New Roman" w:eastAsia="Times New Roman" w:hAnsi="Times New Roman"/>
          <w:i/>
          <w:iCs/>
          <w:sz w:val="24"/>
          <w:szCs w:val="24"/>
          <w:lang w:eastAsia="de-DE"/>
        </w:rPr>
        <w:t>Observing Systems</w:t>
      </w:r>
      <w:r w:rsidRPr="00AF6107">
        <w:rPr>
          <w:rFonts w:ascii="Times New Roman" w:eastAsia="Times New Roman" w:hAnsi="Times New Roman"/>
          <w:sz w:val="24"/>
          <w:szCs w:val="24"/>
          <w:lang w:eastAsia="de-DE"/>
        </w:rPr>
        <w:t>. Intersystems Publications.</w:t>
      </w:r>
    </w:p>
    <w:p w14:paraId="4CBFD860" w14:textId="77777777" w:rsidR="001E21D6" w:rsidRPr="00AF6107" w:rsidRDefault="001E21D6" w:rsidP="001E21D6">
      <w:pPr>
        <w:spacing w:before="100" w:beforeAutospacing="1" w:after="100" w:afterAutospacing="1" w:line="240" w:lineRule="auto"/>
        <w:rPr>
          <w:rFonts w:ascii="Times New Roman" w:eastAsia="Times New Roman" w:hAnsi="Times New Roman"/>
          <w:sz w:val="24"/>
          <w:szCs w:val="24"/>
          <w:lang w:eastAsia="de-DE"/>
        </w:rPr>
      </w:pPr>
      <w:r w:rsidRPr="00AF6107">
        <w:rPr>
          <w:rFonts w:ascii="Times New Roman" w:eastAsia="Times New Roman" w:hAnsi="Times New Roman"/>
          <w:sz w:val="24"/>
          <w:szCs w:val="24"/>
          <w:lang w:eastAsia="de-DE"/>
        </w:rPr>
        <w:t xml:space="preserve">[13] Stegmüller, W. (1986). </w:t>
      </w:r>
      <w:r w:rsidRPr="00AF6107">
        <w:rPr>
          <w:rFonts w:ascii="Times New Roman" w:eastAsia="Times New Roman" w:hAnsi="Times New Roman"/>
          <w:i/>
          <w:iCs/>
          <w:sz w:val="24"/>
          <w:szCs w:val="24"/>
          <w:lang w:eastAsia="de-DE"/>
        </w:rPr>
        <w:t>The Structuralist View of Theories</w:t>
      </w:r>
      <w:r w:rsidRPr="00AF6107">
        <w:rPr>
          <w:rFonts w:ascii="Times New Roman" w:eastAsia="Times New Roman" w:hAnsi="Times New Roman"/>
          <w:sz w:val="24"/>
          <w:szCs w:val="24"/>
          <w:lang w:eastAsia="de-DE"/>
        </w:rPr>
        <w:t>. Springer.</w:t>
      </w:r>
      <w:r w:rsidRPr="00AF6107">
        <w:rPr>
          <w:rFonts w:ascii="Times New Roman" w:eastAsia="Times New Roman" w:hAnsi="Times New Roman"/>
          <w:sz w:val="24"/>
          <w:szCs w:val="24"/>
          <w:lang w:eastAsia="de-DE"/>
        </w:rPr>
        <w:br/>
        <w:t xml:space="preserve">[14] Kuhn, T. S. (1962). </w:t>
      </w:r>
      <w:r w:rsidRPr="00AF6107">
        <w:rPr>
          <w:rFonts w:ascii="Times New Roman" w:eastAsia="Times New Roman" w:hAnsi="Times New Roman"/>
          <w:i/>
          <w:iCs/>
          <w:sz w:val="24"/>
          <w:szCs w:val="24"/>
          <w:lang w:eastAsia="de-DE"/>
        </w:rPr>
        <w:t>The Structure of Scientific Revolutions</w:t>
      </w:r>
      <w:r w:rsidRPr="00AF6107">
        <w:rPr>
          <w:rFonts w:ascii="Times New Roman" w:eastAsia="Times New Roman" w:hAnsi="Times New Roman"/>
          <w:sz w:val="24"/>
          <w:szCs w:val="24"/>
          <w:lang w:eastAsia="de-DE"/>
        </w:rPr>
        <w:t>. University of Chicago Press.</w:t>
      </w:r>
      <w:r w:rsidRPr="00AF6107">
        <w:rPr>
          <w:rFonts w:ascii="Times New Roman" w:eastAsia="Times New Roman" w:hAnsi="Times New Roman"/>
          <w:sz w:val="24"/>
          <w:szCs w:val="24"/>
          <w:lang w:eastAsia="de-DE"/>
        </w:rPr>
        <w:br/>
        <w:t xml:space="preserve">[15] Flick, U. (2019). </w:t>
      </w:r>
      <w:r w:rsidRPr="00AF6107">
        <w:rPr>
          <w:rFonts w:ascii="Times New Roman" w:eastAsia="Times New Roman" w:hAnsi="Times New Roman"/>
          <w:i/>
          <w:iCs/>
          <w:sz w:val="24"/>
          <w:szCs w:val="24"/>
          <w:lang w:eastAsia="de-DE"/>
        </w:rPr>
        <w:t>Qualitative Sozialforschung</w:t>
      </w:r>
      <w:r w:rsidRPr="00AF6107">
        <w:rPr>
          <w:rFonts w:ascii="Times New Roman" w:eastAsia="Times New Roman" w:hAnsi="Times New Roman"/>
          <w:sz w:val="24"/>
          <w:szCs w:val="24"/>
          <w:lang w:eastAsia="de-DE"/>
        </w:rPr>
        <w:t>. Rowohlt.</w:t>
      </w:r>
      <w:r w:rsidRPr="00AF6107">
        <w:rPr>
          <w:rFonts w:ascii="Times New Roman" w:eastAsia="Times New Roman" w:hAnsi="Times New Roman"/>
          <w:sz w:val="24"/>
          <w:szCs w:val="24"/>
          <w:lang w:eastAsia="de-DE"/>
        </w:rPr>
        <w:br/>
        <w:t xml:space="preserve">[16] Bourdieu, P. (1992). </w:t>
      </w:r>
      <w:r w:rsidRPr="00AF6107">
        <w:rPr>
          <w:rFonts w:ascii="Times New Roman" w:eastAsia="Times New Roman" w:hAnsi="Times New Roman"/>
          <w:i/>
          <w:iCs/>
          <w:sz w:val="24"/>
          <w:szCs w:val="24"/>
          <w:lang w:eastAsia="de-DE"/>
        </w:rPr>
        <w:t>Die verborgenen Mechanismen der Macht</w:t>
      </w:r>
      <w:r w:rsidRPr="00AF6107">
        <w:rPr>
          <w:rFonts w:ascii="Times New Roman" w:eastAsia="Times New Roman" w:hAnsi="Times New Roman"/>
          <w:sz w:val="24"/>
          <w:szCs w:val="24"/>
          <w:lang w:eastAsia="de-DE"/>
        </w:rPr>
        <w:t>. VSA Verlag.</w:t>
      </w:r>
      <w:r w:rsidRPr="00AF6107">
        <w:rPr>
          <w:rFonts w:ascii="Times New Roman" w:eastAsia="Times New Roman" w:hAnsi="Times New Roman"/>
          <w:sz w:val="24"/>
          <w:szCs w:val="24"/>
          <w:lang w:eastAsia="de-DE"/>
        </w:rPr>
        <w:br/>
        <w:t xml:space="preserve">[17] Luhmann, N. (1990). </w:t>
      </w:r>
      <w:r w:rsidRPr="00AF6107">
        <w:rPr>
          <w:rFonts w:ascii="Times New Roman" w:eastAsia="Times New Roman" w:hAnsi="Times New Roman"/>
          <w:i/>
          <w:iCs/>
          <w:sz w:val="24"/>
          <w:szCs w:val="24"/>
          <w:lang w:eastAsia="de-DE"/>
        </w:rPr>
        <w:t>Die Wissenschaft der Gesellschaft</w:t>
      </w:r>
      <w:r w:rsidRPr="00AF6107">
        <w:rPr>
          <w:rFonts w:ascii="Times New Roman" w:eastAsia="Times New Roman" w:hAnsi="Times New Roman"/>
          <w:sz w:val="24"/>
          <w:szCs w:val="24"/>
          <w:lang w:eastAsia="de-DE"/>
        </w:rPr>
        <w:t>. Suhrkamp.</w:t>
      </w:r>
      <w:r w:rsidRPr="00AF6107">
        <w:rPr>
          <w:rFonts w:ascii="Times New Roman" w:eastAsia="Times New Roman" w:hAnsi="Times New Roman"/>
          <w:sz w:val="24"/>
          <w:szCs w:val="24"/>
          <w:lang w:eastAsia="de-DE"/>
        </w:rPr>
        <w:br/>
        <w:t xml:space="preserve">[18] Jörissen, B., &amp; Meyer, T. (2015). Epistemologien des Designs. In: </w:t>
      </w:r>
      <w:r w:rsidRPr="00AF6107">
        <w:rPr>
          <w:rFonts w:ascii="Times New Roman" w:eastAsia="Times New Roman" w:hAnsi="Times New Roman"/>
          <w:i/>
          <w:iCs/>
          <w:sz w:val="24"/>
          <w:szCs w:val="24"/>
          <w:lang w:eastAsia="de-DE"/>
        </w:rPr>
        <w:t>Zeitschrift für Erziehungswissenschaft</w:t>
      </w:r>
      <w:r w:rsidRPr="00AF6107">
        <w:rPr>
          <w:rFonts w:ascii="Times New Roman" w:eastAsia="Times New Roman" w:hAnsi="Times New Roman"/>
          <w:sz w:val="24"/>
          <w:szCs w:val="24"/>
          <w:lang w:eastAsia="de-DE"/>
        </w:rPr>
        <w:t>, 18(4), 733–752.</w:t>
      </w:r>
      <w:r w:rsidRPr="00AF6107">
        <w:rPr>
          <w:rFonts w:ascii="Times New Roman" w:eastAsia="Times New Roman" w:hAnsi="Times New Roman"/>
          <w:sz w:val="24"/>
          <w:szCs w:val="24"/>
          <w:lang w:eastAsia="de-DE"/>
        </w:rPr>
        <w:br/>
        <w:t xml:space="preserve">[19] Reinmann, G. (2012). Offenheit als didaktisches Prinzip. In: </w:t>
      </w:r>
      <w:r w:rsidRPr="00AF6107">
        <w:rPr>
          <w:rFonts w:ascii="Times New Roman" w:eastAsia="Times New Roman" w:hAnsi="Times New Roman"/>
          <w:i/>
          <w:iCs/>
          <w:sz w:val="24"/>
          <w:szCs w:val="24"/>
          <w:lang w:eastAsia="de-DE"/>
        </w:rPr>
        <w:t>Zeitschrift für Hochschulentwicklung</w:t>
      </w:r>
      <w:r w:rsidRPr="00AF6107">
        <w:rPr>
          <w:rFonts w:ascii="Times New Roman" w:eastAsia="Times New Roman" w:hAnsi="Times New Roman"/>
          <w:sz w:val="24"/>
          <w:szCs w:val="24"/>
          <w:lang w:eastAsia="de-DE"/>
        </w:rPr>
        <w:t>, 7(1), 1–19.</w:t>
      </w:r>
    </w:p>
    <w:p w14:paraId="165C2480" w14:textId="77777777" w:rsidR="001E21D6" w:rsidRDefault="001E21D6" w:rsidP="001E21D6">
      <w:pPr>
        <w:pStyle w:val="StandardWeb"/>
      </w:pPr>
      <w:r>
        <w:t xml:space="preserve">[20] Suppes, P. (1972). </w:t>
      </w:r>
      <w:r>
        <w:rPr>
          <w:rStyle w:val="Hervorhebung"/>
        </w:rPr>
        <w:t>Axiomatic Set Theory</w:t>
      </w:r>
      <w:r>
        <w:t>. Dover Publications.</w:t>
      </w:r>
      <w:r>
        <w:br/>
        <w:t xml:space="preserve">[21] Baez, J., &amp; Stay, M. (2010). </w:t>
      </w:r>
      <w:r>
        <w:rPr>
          <w:rStyle w:val="Hervorhebung"/>
        </w:rPr>
        <w:t>Physics, Topology, Logic and Computation: A Rosetta Stone</w:t>
      </w:r>
      <w:r>
        <w:t xml:space="preserve">. In: Coecke (Ed.), </w:t>
      </w:r>
      <w:r>
        <w:rPr>
          <w:rStyle w:val="Hervorhebung"/>
        </w:rPr>
        <w:t>New Structures for Physics</w:t>
      </w:r>
      <w:r>
        <w:t>, Springer, S. 117.</w:t>
      </w:r>
      <w:r>
        <w:br/>
        <w:t xml:space="preserve">[22] Rovelli, C. (2004). </w:t>
      </w:r>
      <w:r>
        <w:rPr>
          <w:rStyle w:val="Hervorhebung"/>
        </w:rPr>
        <w:t>Quantum Gravity</w:t>
      </w:r>
      <w:r>
        <w:t>. Cambridge University Press.</w:t>
      </w:r>
      <w:r>
        <w:br/>
        <w:t xml:space="preserve">[23] Penrose, R. (2004). </w:t>
      </w:r>
      <w:r>
        <w:rPr>
          <w:rStyle w:val="Hervorhebung"/>
        </w:rPr>
        <w:t>The Road to Reality</w:t>
      </w:r>
      <w:r>
        <w:t>. Jonathan Cape.</w:t>
      </w:r>
      <w:r>
        <w:br/>
        <w:t xml:space="preserve">[24] Sutton, R. S., &amp; Barto, A. G. (2018). </w:t>
      </w:r>
      <w:r>
        <w:rPr>
          <w:rStyle w:val="Hervorhebung"/>
        </w:rPr>
        <w:t>Reinforcement Learning: An Introduction</w:t>
      </w:r>
      <w:r>
        <w:t>. MIT Press.</w:t>
      </w:r>
      <w:r>
        <w:br/>
        <w:t xml:space="preserve">[25] Russell, S., &amp; Norvig, P. (2010). </w:t>
      </w:r>
      <w:r>
        <w:rPr>
          <w:rStyle w:val="Hervorhebung"/>
        </w:rPr>
        <w:t>Artificial Intelligence: A Modern Approach</w:t>
      </w:r>
      <w:r>
        <w:t>. Prentice Hall.</w:t>
      </w:r>
      <w:r>
        <w:br/>
        <w:t xml:space="preserve">[26] Schmidhuber, J. (2015). </w:t>
      </w:r>
      <w:r>
        <w:rPr>
          <w:rStyle w:val="Hervorhebung"/>
        </w:rPr>
        <w:t>Deep Learning in Neural Networks: An Overview</w:t>
      </w:r>
      <w:r>
        <w:t>. Neural Networks.</w:t>
      </w:r>
      <w:r>
        <w:br/>
        <w:t xml:space="preserve">[27] Tulodziecki, G., Herzig, B., &amp; Blömeke, S. (2022). </w:t>
      </w:r>
      <w:r>
        <w:rPr>
          <w:rStyle w:val="Hervorhebung"/>
        </w:rPr>
        <w:t>Didaktik – Grundlagen und Perspektiven</w:t>
      </w:r>
      <w:r>
        <w:t>. Klinkhardt.</w:t>
      </w:r>
      <w:r>
        <w:br/>
        <w:t xml:space="preserve">[28] Reinmann, G. (2012). </w:t>
      </w:r>
      <w:r>
        <w:rPr>
          <w:rStyle w:val="Hervorhebung"/>
        </w:rPr>
        <w:t>Offenheit als didaktisches Prinzip</w:t>
      </w:r>
      <w:r>
        <w:t>. ZFHE, 7(1), 1–19.</w:t>
      </w:r>
      <w:r>
        <w:br/>
        <w:t xml:space="preserve">[29] Flandin, S., &amp; Lefrançois, L. (2020). </w:t>
      </w:r>
      <w:r>
        <w:rPr>
          <w:rStyle w:val="Hervorhebung"/>
        </w:rPr>
        <w:t>Emergent Learning Environments and the Role of Teachers as Designers</w:t>
      </w:r>
      <w:r>
        <w:t>. Educational Action Research, 28(1), 9–26.</w:t>
      </w:r>
      <w:r>
        <w:br/>
        <w:t xml:space="preserve">[30] Luhmann, N. (1990). </w:t>
      </w:r>
      <w:r>
        <w:rPr>
          <w:rStyle w:val="Hervorhebung"/>
        </w:rPr>
        <w:t>Die Wissenschaft der Gesellschaft</w:t>
      </w:r>
      <w:r>
        <w:t>. Suhrkamp.</w:t>
      </w:r>
      <w:r>
        <w:br/>
        <w:t xml:space="preserve">[31] von Foerster, H. (1984). </w:t>
      </w:r>
      <w:r>
        <w:rPr>
          <w:rStyle w:val="Hervorhebung"/>
        </w:rPr>
        <w:t>Observing Systems</w:t>
      </w:r>
      <w:r>
        <w:t>. Intersystems Publications.</w:t>
      </w:r>
      <w:r>
        <w:br/>
        <w:t xml:space="preserve">[32] Epstein, J. M., &amp; Axtell, R. (1996). </w:t>
      </w:r>
      <w:r>
        <w:rPr>
          <w:rStyle w:val="Hervorhebung"/>
        </w:rPr>
        <w:t>Growing Artificial Societies</w:t>
      </w:r>
      <w:r>
        <w:t>. MIT Press.</w:t>
      </w:r>
      <w:r>
        <w:br/>
        <w:t xml:space="preserve">[33] Baur, N., &amp; Ernst, S. (2011). </w:t>
      </w:r>
      <w:r>
        <w:rPr>
          <w:rStyle w:val="Hervorhebung"/>
        </w:rPr>
        <w:t>Netzwerkanalyse</w:t>
      </w:r>
      <w:r>
        <w:t>. Springer VS.</w:t>
      </w:r>
      <w:r>
        <w:br/>
        <w:t xml:space="preserve">[34] Flick, U. (2019). </w:t>
      </w:r>
      <w:r>
        <w:rPr>
          <w:rStyle w:val="Hervorhebung"/>
        </w:rPr>
        <w:t>Qualitative Sozialforschung</w:t>
      </w:r>
      <w:r>
        <w:t>. Rowohlt.</w:t>
      </w:r>
      <w:r>
        <w:br/>
        <w:t xml:space="preserve">[35] Dohn, N. B. (2018). </w:t>
      </w:r>
      <w:r>
        <w:rPr>
          <w:rStyle w:val="Hervorhebung"/>
        </w:rPr>
        <w:t>Design for Learning in a Multimodal Environment</w:t>
      </w:r>
      <w:r>
        <w:t>. Routledge.</w:t>
      </w:r>
      <w:r>
        <w:br/>
        <w:t xml:space="preserve">[36] Jörissen, B., &amp; Meyer, T. (2015). </w:t>
      </w:r>
      <w:r>
        <w:rPr>
          <w:rStyle w:val="Hervorhebung"/>
        </w:rPr>
        <w:t>Epistemologien des Designs</w:t>
      </w:r>
      <w:r>
        <w:t>. ZfE, 18(4), 733–752.</w:t>
      </w:r>
    </w:p>
    <w:p w14:paraId="74A11715" w14:textId="77777777" w:rsidR="001E21D6" w:rsidRDefault="001E21D6" w:rsidP="001E21D6">
      <w:pPr>
        <w:pStyle w:val="StandardWeb"/>
      </w:pPr>
      <w:r>
        <w:t xml:space="preserve">[37] Reinmann, G., &amp; Meyer, T. (2022). </w:t>
      </w:r>
      <w:r>
        <w:rPr>
          <w:rStyle w:val="Hervorhebung"/>
        </w:rPr>
        <w:t>Didaktisches Design und epistemische Reflexion: Ansätze des funktionalen Denkens in Bildungsprozessen</w:t>
      </w:r>
      <w:r>
        <w:t>. In: Reflexive Praxisforschung. Springer.</w:t>
      </w:r>
      <w:r>
        <w:br/>
        <w:t xml:space="preserve">[38] Flandin, S., &amp; Lefrançois, L. (2020). </w:t>
      </w:r>
      <w:r>
        <w:rPr>
          <w:rStyle w:val="Hervorhebung"/>
        </w:rPr>
        <w:t>Emergent Learning Environments and the Role of Teachers as Designers</w:t>
      </w:r>
      <w:r>
        <w:t>. Educational Action Research, 28(1), 9–26.</w:t>
      </w:r>
      <w:r>
        <w:br/>
        <w:t xml:space="preserve">[39] Epstein, J. M., &amp; Axtell, R. (1996). </w:t>
      </w:r>
      <w:r>
        <w:rPr>
          <w:rStyle w:val="Hervorhebung"/>
        </w:rPr>
        <w:t>Growing Artificial Societies: Social Science from the Bottom Up</w:t>
      </w:r>
      <w:r>
        <w:t>. MIT Press.</w:t>
      </w:r>
      <w:r>
        <w:br/>
        <w:t xml:space="preserve">[40] Sutton, R. S., &amp; Barto, A. G. (2018). </w:t>
      </w:r>
      <w:r>
        <w:rPr>
          <w:rStyle w:val="Hervorhebung"/>
        </w:rPr>
        <w:t>Reinforcement Learning: An Introduction</w:t>
      </w:r>
      <w:r>
        <w:t>. MIT Press.</w:t>
      </w:r>
      <w:r>
        <w:br/>
        <w:t xml:space="preserve">[41] von Glasersfeld, E. (1995). </w:t>
      </w:r>
      <w:r>
        <w:rPr>
          <w:rStyle w:val="Hervorhebung"/>
        </w:rPr>
        <w:t>Radical Constructivism: A Way of Knowing and Learning</w:t>
      </w:r>
      <w:r>
        <w:t>. Falmer Press.</w:t>
      </w:r>
      <w:r>
        <w:br/>
        <w:t xml:space="preserve">[42] Flick, U. (2019). </w:t>
      </w:r>
      <w:r>
        <w:rPr>
          <w:rStyle w:val="Hervorhebung"/>
        </w:rPr>
        <w:t>Qualitative Sozialforschung: Eine Einführung</w:t>
      </w:r>
      <w:r>
        <w:t>. Rowohlt.</w:t>
      </w:r>
      <w:r>
        <w:br/>
        <w:t xml:space="preserve">[43] Foerster, H. von (1984). </w:t>
      </w:r>
      <w:r>
        <w:rPr>
          <w:rStyle w:val="Hervorhebung"/>
        </w:rPr>
        <w:t>Observing Systems</w:t>
      </w:r>
      <w:r>
        <w:t>. Intersystems Publications.</w:t>
      </w:r>
      <w:r>
        <w:br/>
        <w:t xml:space="preserve">[44] Luhmann, N. (1990). </w:t>
      </w:r>
      <w:r>
        <w:rPr>
          <w:rStyle w:val="Hervorhebung"/>
        </w:rPr>
        <w:t>Die Wissenschaft der Gesellschaft</w:t>
      </w:r>
      <w:r>
        <w:t>. Suhrkamp.</w:t>
      </w:r>
      <w:r>
        <w:br/>
        <w:t xml:space="preserve">[45] Jörissen, B., &amp; Meyer, T. (2015). </w:t>
      </w:r>
      <w:r>
        <w:rPr>
          <w:rStyle w:val="Hervorhebung"/>
        </w:rPr>
        <w:t>Epistemologien des Designs – zur Theorie didaktischer Modellierung</w:t>
      </w:r>
      <w:r>
        <w:t>. In: Zeitschrift für Erziehungswissenschaft, 18(4), 733–752.</w:t>
      </w:r>
      <w:r>
        <w:br/>
        <w:t xml:space="preserve">[46] Schmidhuber, J. (2015). </w:t>
      </w:r>
      <w:r>
        <w:rPr>
          <w:rStyle w:val="Hervorhebung"/>
        </w:rPr>
        <w:t>Deep Learning in Neural Networks: An Overview</w:t>
      </w:r>
      <w:r>
        <w:t>. Neural Networks.</w:t>
      </w:r>
      <w:r>
        <w:br/>
        <w:t xml:space="preserve">[47] Noble, D. (2006). </w:t>
      </w:r>
      <w:r>
        <w:rPr>
          <w:rStyle w:val="Hervorhebung"/>
        </w:rPr>
        <w:t>The Music of Life: Biology beyond the Genome</w:t>
      </w:r>
      <w:r>
        <w:t>. Oxford University Press.</w:t>
      </w:r>
    </w:p>
    <w:p w14:paraId="00D38995" w14:textId="77777777" w:rsidR="001E21D6" w:rsidRDefault="001E21D6" w:rsidP="001E21D6">
      <w:pPr>
        <w:pStyle w:val="StandardWeb"/>
      </w:pPr>
      <w:r>
        <w:t xml:space="preserve">[48] Flick, U. (2019). </w:t>
      </w:r>
      <w:r>
        <w:rPr>
          <w:rStyle w:val="Hervorhebung"/>
        </w:rPr>
        <w:t>Qualitative Sozialforschung: Eine Einführung</w:t>
      </w:r>
      <w:r>
        <w:t>. Rowohlt.</w:t>
      </w:r>
      <w:r>
        <w:br/>
        <w:t xml:space="preserve">[49] Reinmann, G. (2012). </w:t>
      </w:r>
      <w:r>
        <w:rPr>
          <w:rStyle w:val="Hervorhebung"/>
        </w:rPr>
        <w:t>Offenheit als didaktisches Prinzip</w:t>
      </w:r>
      <w:r>
        <w:t xml:space="preserve">. In: </w:t>
      </w:r>
      <w:r>
        <w:rPr>
          <w:rStyle w:val="Hervorhebung"/>
        </w:rPr>
        <w:t>Zeitschrift für Hochschulentwicklung</w:t>
      </w:r>
      <w:r>
        <w:t>, 7(1), 1–19.</w:t>
      </w:r>
      <w:r>
        <w:br/>
        <w:t xml:space="preserve">[50] Luhmann, N. (1990). </w:t>
      </w:r>
      <w:r>
        <w:rPr>
          <w:rStyle w:val="Hervorhebung"/>
        </w:rPr>
        <w:t>Die Wissenschaft der Gesellschaft</w:t>
      </w:r>
      <w:r>
        <w:t>. Suhrkamp.</w:t>
      </w:r>
      <w:r>
        <w:br/>
        <w:t xml:space="preserve">[51] Tulodziecki, G., Herzig, B., &amp; Blömeke, S. (Hrsg.). (2022). </w:t>
      </w:r>
      <w:r>
        <w:rPr>
          <w:rStyle w:val="Hervorhebung"/>
        </w:rPr>
        <w:t>Didaktik – Grundlagen und Perspektiven</w:t>
      </w:r>
      <w:r>
        <w:t>. Klinkhardt.</w:t>
      </w:r>
      <w:r>
        <w:br/>
        <w:t xml:space="preserve">[52] Floridi, L., &amp; Sanders, J. W. (2004). On the Morality of Artificial Agents. </w:t>
      </w:r>
      <w:r>
        <w:rPr>
          <w:rStyle w:val="Hervorhebung"/>
        </w:rPr>
        <w:t>Minds and Machines</w:t>
      </w:r>
      <w:r>
        <w:t>, 14(3), 349–379.</w:t>
      </w:r>
      <w:r>
        <w:br/>
        <w:t xml:space="preserve">[53] Jörissen, B., &amp; Meyer, T. (2015). </w:t>
      </w:r>
      <w:r>
        <w:rPr>
          <w:rStyle w:val="Hervorhebung"/>
        </w:rPr>
        <w:t>Epistemologien des Designs – Zur Theorie didaktischer Modellierung</w:t>
      </w:r>
      <w:r>
        <w:t xml:space="preserve">. </w:t>
      </w:r>
      <w:r>
        <w:rPr>
          <w:rStyle w:val="Hervorhebung"/>
        </w:rPr>
        <w:t>ZfE</w:t>
      </w:r>
      <w:r>
        <w:t>, 18(4), 733–752.</w:t>
      </w:r>
      <w:r>
        <w:br/>
        <w:t xml:space="preserve">[54] Dohn, N. B. (2018). </w:t>
      </w:r>
      <w:r>
        <w:rPr>
          <w:rStyle w:val="Hervorhebung"/>
        </w:rPr>
        <w:t>Design for Learning in a Multimodal Environment</w:t>
      </w:r>
      <w:r>
        <w:t>. Routledge.</w:t>
      </w:r>
      <w:r>
        <w:br/>
        <w:t xml:space="preserve">[55] von Foerster, H. (1984). </w:t>
      </w:r>
      <w:r>
        <w:rPr>
          <w:rStyle w:val="Hervorhebung"/>
        </w:rPr>
        <w:t>Observing Systems</w:t>
      </w:r>
      <w:r>
        <w:t>. Intersystems Publications.</w:t>
      </w:r>
    </w:p>
    <w:p w14:paraId="2EC6D767" w14:textId="77777777" w:rsidR="001E21D6" w:rsidRDefault="001E21D6" w:rsidP="001E21D6">
      <w:pPr>
        <w:pStyle w:val="StandardWeb"/>
      </w:pPr>
      <w:r>
        <w:t xml:space="preserve">[63] Floridi, L. (2011). </w:t>
      </w:r>
      <w:r>
        <w:rPr>
          <w:rStyle w:val="Hervorhebung"/>
        </w:rPr>
        <w:t>The Philosophy of Information</w:t>
      </w:r>
      <w:r>
        <w:t>. Oxford University Press.</w:t>
      </w:r>
      <w:r>
        <w:br/>
        <w:t xml:space="preserve">[64] Jörissen, B., &amp; Meyer, T. (2015). </w:t>
      </w:r>
      <w:r>
        <w:rPr>
          <w:rStyle w:val="Hervorhebung"/>
        </w:rPr>
        <w:t>Epistemologien des Designs – Zur Theorie didaktischer Modellierung</w:t>
      </w:r>
      <w:r>
        <w:t>. ZfE, 18(4), 733–752.</w:t>
      </w:r>
      <w:r>
        <w:br/>
        <w:t xml:space="preserve">[65] von Glasersfeld, E. (1995). </w:t>
      </w:r>
      <w:r>
        <w:rPr>
          <w:rStyle w:val="Hervorhebung"/>
        </w:rPr>
        <w:t>Radical Constructivism: A Way of Knowing and Learning</w:t>
      </w:r>
      <w:r>
        <w:t>. Falmer Press.</w:t>
      </w:r>
      <w:r>
        <w:br/>
        <w:t xml:space="preserve">[66] Flandin, S., &amp; Lefrançois, L. (2020). </w:t>
      </w:r>
      <w:r>
        <w:rPr>
          <w:rStyle w:val="Hervorhebung"/>
        </w:rPr>
        <w:t>Emergent Learning Environments and the Role of Teachers as Designers</w:t>
      </w:r>
      <w:r>
        <w:t>. Educational Action Research, 28(1), 9–26.</w:t>
      </w:r>
      <w:r>
        <w:br/>
        <w:t xml:space="preserve">[67] Epstein, J. M., &amp; Axtell, R. (1996). </w:t>
      </w:r>
      <w:r>
        <w:rPr>
          <w:rStyle w:val="Hervorhebung"/>
        </w:rPr>
        <w:t>Growing Artificial Societies</w:t>
      </w:r>
      <w:r>
        <w:t>. MIT Press.</w:t>
      </w:r>
      <w:r>
        <w:br/>
        <w:t xml:space="preserve">[68] Newman, M. (2010). </w:t>
      </w:r>
      <w:r>
        <w:rPr>
          <w:rStyle w:val="Hervorhebung"/>
        </w:rPr>
        <w:t>Networks: An Introduction</w:t>
      </w:r>
      <w:r>
        <w:t>. Oxford University Press.</w:t>
      </w:r>
      <w:r>
        <w:br/>
        <w:t xml:space="preserve">[69] Luhmann, N. (1990). </w:t>
      </w:r>
      <w:r>
        <w:rPr>
          <w:rStyle w:val="Hervorhebung"/>
        </w:rPr>
        <w:t>Die Wissenschaft der Gesellschaft</w:t>
      </w:r>
      <w:r>
        <w:t>. Suhrkamp.</w:t>
      </w:r>
      <w:r>
        <w:br/>
        <w:t xml:space="preserve">[70] Lawvere, F. W., &amp; Schanuel, S. H. (2009). </w:t>
      </w:r>
      <w:r>
        <w:rPr>
          <w:rStyle w:val="Hervorhebung"/>
        </w:rPr>
        <w:t>Conceptual Mathematics: A First Introduction to Categories</w:t>
      </w:r>
      <w:r>
        <w:t>. Cambridge University Press.</w:t>
      </w:r>
      <w:r>
        <w:br/>
        <w:t xml:space="preserve">[71] Dohn, N. B. (2018). </w:t>
      </w:r>
      <w:r>
        <w:rPr>
          <w:rStyle w:val="Hervorhebung"/>
        </w:rPr>
        <w:t>Design for Learning in a Multimodal Environment</w:t>
      </w:r>
      <w:r>
        <w:t>. Routledge.</w:t>
      </w:r>
      <w:r>
        <w:br/>
        <w:t xml:space="preserve">[72] Foerster, H. von (1984). </w:t>
      </w:r>
      <w:r>
        <w:rPr>
          <w:rStyle w:val="Hervorhebung"/>
        </w:rPr>
        <w:t>Observing Systems</w:t>
      </w:r>
      <w:r>
        <w:t>. Intersystems Publications.</w:t>
      </w:r>
      <w:r>
        <w:br/>
        <w:t xml:space="preserve">[73] Schmidhuber, J. (2015). </w:t>
      </w:r>
      <w:r>
        <w:rPr>
          <w:rStyle w:val="Hervorhebung"/>
        </w:rPr>
        <w:t>Deep Learning in Neural Networks: An Overview</w:t>
      </w:r>
      <w:r>
        <w:t>. Neural Networks.</w:t>
      </w:r>
      <w:r>
        <w:br/>
        <w:t xml:space="preserve">[74] Varela, F. J., Thompson, E., &amp; Rosch, E. (1991). </w:t>
      </w:r>
      <w:r>
        <w:rPr>
          <w:rStyle w:val="Hervorhebung"/>
        </w:rPr>
        <w:t>The Embodied Mind</w:t>
      </w:r>
      <w:r>
        <w:t>. MIT Press.</w:t>
      </w:r>
      <w:r>
        <w:br/>
        <w:t xml:space="preserve">[75] Sutton, R. S., &amp; Barto, A. G. (2018). </w:t>
      </w:r>
      <w:r>
        <w:rPr>
          <w:rStyle w:val="Hervorhebung"/>
        </w:rPr>
        <w:t>Reinforcement Learning: An Introduction</w:t>
      </w:r>
      <w:r>
        <w:t>. MIT Press.</w:t>
      </w:r>
      <w:r>
        <w:br/>
        <w:t xml:space="preserve">[76] Baez, J., &amp; Stay, M. (2010). </w:t>
      </w:r>
      <w:r>
        <w:rPr>
          <w:rStyle w:val="Hervorhebung"/>
        </w:rPr>
        <w:t>Physics, Topology, Logic and Computation</w:t>
      </w:r>
      <w:r>
        <w:t xml:space="preserve">. In: Coecke (Ed.), </w:t>
      </w:r>
      <w:r>
        <w:rPr>
          <w:rStyle w:val="Hervorhebung"/>
        </w:rPr>
        <w:t>New Structures for Physics</w:t>
      </w:r>
      <w:r>
        <w:t>. Springer.</w:t>
      </w:r>
      <w:r>
        <w:br/>
        <w:t xml:space="preserve">[77] Noble, D. (2006). </w:t>
      </w:r>
      <w:r>
        <w:rPr>
          <w:rStyle w:val="Hervorhebung"/>
        </w:rPr>
        <w:t>The Music of Life: Biology beyond the Genome</w:t>
      </w:r>
      <w:r>
        <w:t>. Oxford University Press.</w:t>
      </w:r>
      <w:r>
        <w:br/>
        <w:t xml:space="preserve">[78] Lefebvre, H. (1991). </w:t>
      </w:r>
      <w:r>
        <w:rPr>
          <w:rStyle w:val="Hervorhebung"/>
        </w:rPr>
        <w:t>The Production of Space</w:t>
      </w:r>
      <w:r>
        <w:t>. Blackwell.</w:t>
      </w:r>
      <w:r>
        <w:br/>
        <w:t xml:space="preserve">[79] Manovich, L. (2001). </w:t>
      </w:r>
      <w:r>
        <w:rPr>
          <w:rStyle w:val="Hervorhebung"/>
        </w:rPr>
        <w:t>The Language of New Media</w:t>
      </w:r>
      <w:r>
        <w:t>. MIT Press.</w:t>
      </w:r>
      <w:r>
        <w:br/>
        <w:t xml:space="preserve">[80] Russell, S., &amp; Norvig, P. (2010). </w:t>
      </w:r>
      <w:r>
        <w:rPr>
          <w:rStyle w:val="Hervorhebung"/>
        </w:rPr>
        <w:t>Artificial Intelligence: A Modern Approach</w:t>
      </w:r>
      <w:r>
        <w:t>. Prentice Hall.</w:t>
      </w:r>
      <w:r>
        <w:br/>
        <w:t xml:space="preserve">[81] Varela, F. J., Thompson, E., &amp; Rosch, E. (1991). </w:t>
      </w:r>
      <w:r>
        <w:rPr>
          <w:rStyle w:val="Hervorhebung"/>
        </w:rPr>
        <w:t>The Embodied Mind</w:t>
      </w:r>
      <w:r>
        <w:t>. MIT Press.</w:t>
      </w:r>
    </w:p>
    <w:p w14:paraId="37636C9D" w14:textId="77777777" w:rsidR="001E21D6" w:rsidRDefault="001E21D6" w:rsidP="001E21D6">
      <w:pPr>
        <w:pStyle w:val="StandardWeb"/>
      </w:pPr>
      <w:r>
        <w:t xml:space="preserve">[63] Floridi, L. (2011). </w:t>
      </w:r>
      <w:r>
        <w:rPr>
          <w:rStyle w:val="Hervorhebung"/>
        </w:rPr>
        <w:t>The Philosophy of Information</w:t>
      </w:r>
      <w:r>
        <w:t>. Oxford University Press.</w:t>
      </w:r>
      <w:r>
        <w:br/>
        <w:t xml:space="preserve">[64] Jörissen, B., &amp; Meyer, T. (2015). </w:t>
      </w:r>
      <w:r>
        <w:rPr>
          <w:rStyle w:val="Hervorhebung"/>
        </w:rPr>
        <w:t>Epistemologien des Designs – Zur Theorie didaktischer Modellierung</w:t>
      </w:r>
      <w:r>
        <w:t>. ZfE, 18(4), 733–752.</w:t>
      </w:r>
      <w:r>
        <w:br/>
        <w:t xml:space="preserve">[69] Luhmann, N. (1990). </w:t>
      </w:r>
      <w:r>
        <w:rPr>
          <w:rStyle w:val="Hervorhebung"/>
        </w:rPr>
        <w:t>Die Wissenschaft der Gesellschaft</w:t>
      </w:r>
      <w:r>
        <w:t>. Suhrkamp.</w:t>
      </w:r>
      <w:r>
        <w:br/>
        <w:t xml:space="preserve">[72] Foerster, H. von (1984). </w:t>
      </w:r>
      <w:r>
        <w:rPr>
          <w:rStyle w:val="Hervorhebung"/>
        </w:rPr>
        <w:t>Observing Systems</w:t>
      </w:r>
      <w:r>
        <w:t>. Intersystems Publications.</w:t>
      </w:r>
      <w:r>
        <w:br/>
        <w:t xml:space="preserve">[73] Schmidhuber, J. (2015). </w:t>
      </w:r>
      <w:r>
        <w:rPr>
          <w:rStyle w:val="Hervorhebung"/>
        </w:rPr>
        <w:t>Deep Learning in Neural Networks: An Overview</w:t>
      </w:r>
      <w:r>
        <w:t>. Neural Networks.</w:t>
      </w:r>
      <w:r>
        <w:br/>
        <w:t xml:space="preserve">[74] Flavell, J. H. (1979). </w:t>
      </w:r>
      <w:r>
        <w:rPr>
          <w:rStyle w:val="Hervorhebung"/>
        </w:rPr>
        <w:t>Metacognition and Cognitive Monitoring</w:t>
      </w:r>
      <w:r>
        <w:t>. American Psychologist, 34(10), 906–911.</w:t>
      </w:r>
      <w:r>
        <w:br/>
        <w:t xml:space="preserve">[75] Sutton, R. S., &amp; Barto, A. G. (2018). </w:t>
      </w:r>
      <w:r>
        <w:rPr>
          <w:rStyle w:val="Hervorhebung"/>
        </w:rPr>
        <w:t>Reinforcement Learning: An Introduction</w:t>
      </w:r>
      <w:r>
        <w:t>. MIT Press.</w:t>
      </w:r>
      <w:r>
        <w:br/>
        <w:t xml:space="preserve">[80] Russell, S., &amp; Norvig, P. (2010). </w:t>
      </w:r>
      <w:r>
        <w:rPr>
          <w:rStyle w:val="Hervorhebung"/>
        </w:rPr>
        <w:t>Artificial Intelligence: A Modern Approach</w:t>
      </w:r>
      <w:r>
        <w:t>. Prentice Hall.</w:t>
      </w:r>
      <w:r>
        <w:br/>
        <w:t xml:space="preserve">[81] Varela, F. J., Thompson, E., &amp; Rosch, E. (1991). </w:t>
      </w:r>
      <w:r>
        <w:rPr>
          <w:rStyle w:val="Hervorhebung"/>
        </w:rPr>
        <w:t>The Embodied Mind: Cognitive Science and Human Experience</w:t>
      </w:r>
      <w:r>
        <w:t>. MIT Press.</w:t>
      </w:r>
      <w:r>
        <w:br/>
        <w:t xml:space="preserve">[37] Reinmann, G., &amp; Meyer, T. (2022). </w:t>
      </w:r>
      <w:r>
        <w:rPr>
          <w:rStyle w:val="Hervorhebung"/>
        </w:rPr>
        <w:t>Didaktisches Design und epistemische Reflexion</w:t>
      </w:r>
      <w:r>
        <w:t xml:space="preserve">. In: </w:t>
      </w:r>
      <w:r>
        <w:rPr>
          <w:rStyle w:val="Hervorhebung"/>
        </w:rPr>
        <w:t>Reflexive Praxisforschung</w:t>
      </w:r>
      <w:r>
        <w:t>. Springer.</w:t>
      </w:r>
    </w:p>
    <w:p w14:paraId="2C29B4EA" w14:textId="217DB5C3" w:rsidR="001C3289" w:rsidRDefault="001C3289" w:rsidP="001C3289">
      <w:pPr>
        <w:pStyle w:val="StandardWeb"/>
      </w:pPr>
      <w:r>
        <w:t xml:space="preserve">[82] Floridi, L. (2011). </w:t>
      </w:r>
      <w:r w:rsidRPr="001C3289">
        <w:rPr>
          <w:rStyle w:val="Hervorhebung"/>
        </w:rPr>
        <w:t>The Philosophy of Information</w:t>
      </w:r>
      <w:r>
        <w:t>. Oxford University Press.</w:t>
      </w:r>
      <w:r>
        <w:br/>
        <w:t xml:space="preserve">[83] von Glasersfeld, E. (1995). </w:t>
      </w:r>
      <w:r w:rsidRPr="001C3289">
        <w:rPr>
          <w:rStyle w:val="Hervorhebung"/>
        </w:rPr>
        <w:t>Radical Constructivism: A Way of Knowing and Learning</w:t>
      </w:r>
      <w:r>
        <w:t>. Falmer Press.</w:t>
      </w:r>
      <w:r>
        <w:br/>
        <w:t xml:space="preserve">[84] Jörissen, B., &amp; Meyer, T. (2015). </w:t>
      </w:r>
      <w:r w:rsidRPr="001C3289">
        <w:rPr>
          <w:rStyle w:val="Hervorhebung"/>
        </w:rPr>
        <w:t>Epistemologien des Designs – Zur Theorie didaktischer Modellierung</w:t>
      </w:r>
      <w:r>
        <w:t>. ZfE, 18(4), 733–752.</w:t>
      </w:r>
      <w:r>
        <w:br/>
        <w:t xml:space="preserve">[85] Reinmann, G., &amp; Meyer, T. (2022). </w:t>
      </w:r>
      <w:r w:rsidRPr="001C3289">
        <w:rPr>
          <w:rStyle w:val="Hervorhebung"/>
        </w:rPr>
        <w:t>Didaktisches Design und epistemische Reflexion</w:t>
      </w:r>
      <w:r>
        <w:t xml:space="preserve">. In: </w:t>
      </w:r>
      <w:r w:rsidRPr="001C3289">
        <w:rPr>
          <w:rStyle w:val="Hervorhebung"/>
        </w:rPr>
        <w:t>Reflexive Praxisforschung</w:t>
      </w:r>
      <w:r>
        <w:t>. Springer.</w:t>
      </w:r>
      <w:r>
        <w:br/>
        <w:t xml:space="preserve">[86] Luhmann, N. (1990). </w:t>
      </w:r>
      <w:r w:rsidRPr="001C3289">
        <w:rPr>
          <w:rStyle w:val="Hervorhebung"/>
        </w:rPr>
        <w:t>Die Wissenschaft der Gesellschaft</w:t>
      </w:r>
      <w:r>
        <w:t>. Suhrkamp.</w:t>
      </w:r>
      <w:r>
        <w:br/>
        <w:t xml:space="preserve">[87] Schmidhuber, J. (2015). </w:t>
      </w:r>
      <w:r w:rsidRPr="001C3289">
        <w:rPr>
          <w:rStyle w:val="Hervorhebung"/>
        </w:rPr>
        <w:t>Deep Learning in Neural Networks: An Overview</w:t>
      </w:r>
      <w:r>
        <w:t>. Neural Networks.</w:t>
      </w:r>
      <w:r>
        <w:br/>
        <w:t xml:space="preserve">[88] Flick, U. (2019). </w:t>
      </w:r>
      <w:r w:rsidRPr="001C3289">
        <w:rPr>
          <w:rStyle w:val="Hervorhebung"/>
        </w:rPr>
        <w:t>Qualitative Sozialforschung</w:t>
      </w:r>
      <w:r>
        <w:t>. Rowohlt.</w:t>
      </w:r>
      <w:r>
        <w:br/>
        <w:t xml:space="preserve">[89] Sutton, R. S., &amp; Barto, A. G. (2018). </w:t>
      </w:r>
      <w:r w:rsidRPr="001C3289">
        <w:rPr>
          <w:rStyle w:val="Hervorhebung"/>
        </w:rPr>
        <w:t>Reinforcement Learning: An Introduction</w:t>
      </w:r>
      <w:r>
        <w:t>. MIT Press.</w:t>
      </w:r>
      <w:r>
        <w:br/>
        <w:t xml:space="preserve">[90] Tulodziecki, G., Herzig, B., &amp; Blömeke, S. (2022). </w:t>
      </w:r>
      <w:r w:rsidRPr="001C3289">
        <w:rPr>
          <w:rStyle w:val="Hervorhebung"/>
        </w:rPr>
        <w:t>Didaktik – Grundlagen und Perspektiven</w:t>
      </w:r>
      <w:r>
        <w:t>. Klinkhardt.</w:t>
      </w:r>
      <w:r>
        <w:br/>
        <w:t xml:space="preserve">[91] Noble, D. (2006). </w:t>
      </w:r>
      <w:r w:rsidRPr="001C3289">
        <w:rPr>
          <w:rStyle w:val="Hervorhebung"/>
        </w:rPr>
        <w:t>The Music of Life: Biology beyond the Genome</w:t>
      </w:r>
      <w:r>
        <w:t>. Oxford University Press.</w:t>
      </w:r>
      <w:r>
        <w:br/>
        <w:t xml:space="preserve">[92] Dohn, N. B. (2018). </w:t>
      </w:r>
      <w:r w:rsidRPr="001C3289">
        <w:rPr>
          <w:rStyle w:val="Hervorhebung"/>
        </w:rPr>
        <w:t>Design for Learning in a Multimodal Environment</w:t>
      </w:r>
      <w:r>
        <w:t>. Routledge.</w:t>
      </w:r>
      <w:r>
        <w:br/>
        <w:t xml:space="preserve">[93] Rovelli, C. (2004). </w:t>
      </w:r>
      <w:r w:rsidRPr="001C3289">
        <w:rPr>
          <w:rStyle w:val="Hervorhebung"/>
        </w:rPr>
        <w:t>Quantum Gravity</w:t>
      </w:r>
      <w:r>
        <w:t>. Cambridge University Press.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1"/>
        <w:gridCol w:w="81"/>
      </w:tblGrid>
      <w:tr w:rsidR="00875D6D" w:rsidRPr="00875D6D" w14:paraId="08867469" w14:textId="77777777" w:rsidTr="00875D6D">
        <w:trPr>
          <w:tblCellSpacing w:w="15" w:type="dxa"/>
        </w:trPr>
        <w:tc>
          <w:tcPr>
            <w:tcW w:w="0" w:type="auto"/>
            <w:vAlign w:val="center"/>
            <w:hideMark/>
          </w:tcPr>
          <w:p w14:paraId="0E57F858"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[94] Baecker, D. (1999). </w:t>
            </w:r>
            <w:r w:rsidRPr="00875D6D">
              <w:rPr>
                <w:rFonts w:ascii="Times New Roman" w:eastAsia="Times New Roman" w:hAnsi="Times New Roman"/>
                <w:i/>
                <w:iCs/>
                <w:sz w:val="24"/>
                <w:szCs w:val="24"/>
                <w:lang w:eastAsia="de-DE"/>
              </w:rPr>
              <w:t>Organisation und Beobachtung</w:t>
            </w:r>
            <w:r w:rsidRPr="00875D6D">
              <w:rPr>
                <w:rFonts w:ascii="Times New Roman" w:eastAsia="Times New Roman" w:hAnsi="Times New Roman"/>
                <w:sz w:val="24"/>
                <w:szCs w:val="24"/>
                <w:lang w:eastAsia="de-DE"/>
              </w:rPr>
              <w:t>. Frankfurt am Main: Suhrkamp.</w:t>
            </w:r>
          </w:p>
        </w:tc>
        <w:tc>
          <w:tcPr>
            <w:tcW w:w="0" w:type="auto"/>
            <w:vAlign w:val="center"/>
            <w:hideMark/>
          </w:tcPr>
          <w:p w14:paraId="5FDEFC6B"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49F56491" w14:textId="77777777" w:rsidTr="00875D6D">
        <w:trPr>
          <w:tblCellSpacing w:w="15" w:type="dxa"/>
        </w:trPr>
        <w:tc>
          <w:tcPr>
            <w:tcW w:w="0" w:type="auto"/>
            <w:vAlign w:val="center"/>
            <w:hideMark/>
          </w:tcPr>
          <w:p w14:paraId="292C83F6"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[95] Floridi, L. (2013). </w:t>
            </w:r>
            <w:r w:rsidRPr="00875D6D">
              <w:rPr>
                <w:rFonts w:ascii="Times New Roman" w:eastAsia="Times New Roman" w:hAnsi="Times New Roman"/>
                <w:i/>
                <w:iCs/>
                <w:sz w:val="24"/>
                <w:szCs w:val="24"/>
                <w:lang w:eastAsia="de-DE"/>
              </w:rPr>
              <w:t>The Ethics of Information</w:t>
            </w:r>
            <w:r w:rsidRPr="00875D6D">
              <w:rPr>
                <w:rFonts w:ascii="Times New Roman" w:eastAsia="Times New Roman" w:hAnsi="Times New Roman"/>
                <w:sz w:val="24"/>
                <w:szCs w:val="24"/>
                <w:lang w:eastAsia="de-DE"/>
              </w:rPr>
              <w:t>. Oxford: Oxford University Press.</w:t>
            </w:r>
          </w:p>
        </w:tc>
        <w:tc>
          <w:tcPr>
            <w:tcW w:w="0" w:type="auto"/>
            <w:vAlign w:val="center"/>
            <w:hideMark/>
          </w:tcPr>
          <w:p w14:paraId="2BCF4777"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519EC3C2" w14:textId="77777777" w:rsidTr="00875D6D">
        <w:trPr>
          <w:tblCellSpacing w:w="15" w:type="dxa"/>
        </w:trPr>
        <w:tc>
          <w:tcPr>
            <w:tcW w:w="0" w:type="auto"/>
            <w:vAlign w:val="center"/>
            <w:hideMark/>
          </w:tcPr>
          <w:p w14:paraId="661FDB53"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[96] Maturana, H. R., &amp; Varela, F. J. (1980). </w:t>
            </w:r>
            <w:r w:rsidRPr="00875D6D">
              <w:rPr>
                <w:rFonts w:ascii="Times New Roman" w:eastAsia="Times New Roman" w:hAnsi="Times New Roman"/>
                <w:i/>
                <w:iCs/>
                <w:sz w:val="24"/>
                <w:szCs w:val="24"/>
                <w:lang w:eastAsia="de-DE"/>
              </w:rPr>
              <w:t>Autopoiesis and Cognition: The Realization of the Living</w:t>
            </w:r>
            <w:r w:rsidRPr="00875D6D">
              <w:rPr>
                <w:rFonts w:ascii="Times New Roman" w:eastAsia="Times New Roman" w:hAnsi="Times New Roman"/>
                <w:sz w:val="24"/>
                <w:szCs w:val="24"/>
                <w:lang w:eastAsia="de-DE"/>
              </w:rPr>
              <w:t>. Dordrecht: Reidel.</w:t>
            </w:r>
          </w:p>
        </w:tc>
        <w:tc>
          <w:tcPr>
            <w:tcW w:w="0" w:type="auto"/>
            <w:vAlign w:val="center"/>
            <w:hideMark/>
          </w:tcPr>
          <w:p w14:paraId="6F2DF862"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0D579191" w14:textId="77777777" w:rsidTr="00875D6D">
        <w:trPr>
          <w:tblCellSpacing w:w="15" w:type="dxa"/>
        </w:trPr>
        <w:tc>
          <w:tcPr>
            <w:tcW w:w="0" w:type="auto"/>
            <w:vAlign w:val="center"/>
            <w:hideMark/>
          </w:tcPr>
          <w:p w14:paraId="52C8C291"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[97] von Foerster, H. (2003). </w:t>
            </w:r>
            <w:r w:rsidRPr="00875D6D">
              <w:rPr>
                <w:rFonts w:ascii="Times New Roman" w:eastAsia="Times New Roman" w:hAnsi="Times New Roman"/>
                <w:i/>
                <w:iCs/>
                <w:sz w:val="24"/>
                <w:szCs w:val="24"/>
                <w:lang w:eastAsia="de-DE"/>
              </w:rPr>
              <w:t>Understanding Understanding: Essays on Cybernetics and Cognition</w:t>
            </w:r>
            <w:r w:rsidRPr="00875D6D">
              <w:rPr>
                <w:rFonts w:ascii="Times New Roman" w:eastAsia="Times New Roman" w:hAnsi="Times New Roman"/>
                <w:sz w:val="24"/>
                <w:szCs w:val="24"/>
                <w:lang w:eastAsia="de-DE"/>
              </w:rPr>
              <w:t>. New York: Springer.</w:t>
            </w:r>
          </w:p>
        </w:tc>
        <w:tc>
          <w:tcPr>
            <w:tcW w:w="0" w:type="auto"/>
            <w:vAlign w:val="center"/>
            <w:hideMark/>
          </w:tcPr>
          <w:p w14:paraId="7ADD0D63"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5CFE0FF8" w14:textId="77777777" w:rsidTr="00875D6D">
        <w:trPr>
          <w:tblCellSpacing w:w="15" w:type="dxa"/>
        </w:trPr>
        <w:tc>
          <w:tcPr>
            <w:tcW w:w="0" w:type="auto"/>
            <w:vAlign w:val="center"/>
            <w:hideMark/>
          </w:tcPr>
          <w:p w14:paraId="7378323A"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 xml:space="preserve">[98] Morin, E. (2005). </w:t>
            </w:r>
            <w:r w:rsidRPr="00875D6D">
              <w:rPr>
                <w:rFonts w:ascii="Times New Roman" w:eastAsia="Times New Roman" w:hAnsi="Times New Roman"/>
                <w:i/>
                <w:iCs/>
                <w:sz w:val="24"/>
                <w:szCs w:val="24"/>
                <w:lang w:eastAsia="de-DE"/>
              </w:rPr>
              <w:t>Die Methode. Band 1–6</w:t>
            </w:r>
            <w:r w:rsidRPr="00875D6D">
              <w:rPr>
                <w:rFonts w:ascii="Times New Roman" w:eastAsia="Times New Roman" w:hAnsi="Times New Roman"/>
                <w:sz w:val="24"/>
                <w:szCs w:val="24"/>
                <w:lang w:eastAsia="de-DE"/>
              </w:rPr>
              <w:t>. Frankfurt: Suhrkamp.</w:t>
            </w:r>
          </w:p>
        </w:tc>
        <w:tc>
          <w:tcPr>
            <w:tcW w:w="0" w:type="auto"/>
            <w:vAlign w:val="center"/>
            <w:hideMark/>
          </w:tcPr>
          <w:p w14:paraId="652BD101" w14:textId="77777777" w:rsidR="00875D6D" w:rsidRPr="00875D6D" w:rsidRDefault="00875D6D" w:rsidP="00875D6D">
            <w:pPr>
              <w:spacing w:after="0" w:line="240" w:lineRule="auto"/>
              <w:rPr>
                <w:rFonts w:ascii="Times New Roman" w:eastAsia="Times New Roman" w:hAnsi="Times New Roman"/>
                <w:sz w:val="24"/>
                <w:szCs w:val="24"/>
                <w:lang w:eastAsia="de-DE"/>
              </w:rPr>
            </w:pPr>
          </w:p>
        </w:tc>
      </w:tr>
      <w:tr w:rsidR="00875D6D" w:rsidRPr="00875D6D" w14:paraId="74A0DBB2" w14:textId="77777777" w:rsidTr="00875D6D">
        <w:trPr>
          <w:tblCellSpacing w:w="15" w:type="dxa"/>
        </w:trPr>
        <w:tc>
          <w:tcPr>
            <w:tcW w:w="0" w:type="auto"/>
            <w:vAlign w:val="center"/>
            <w:hideMark/>
          </w:tcPr>
          <w:p w14:paraId="19B7798F" w14:textId="77777777" w:rsidR="00875D6D" w:rsidRPr="00875D6D" w:rsidRDefault="00875D6D" w:rsidP="00875D6D">
            <w:pPr>
              <w:spacing w:after="0" w:line="240" w:lineRule="auto"/>
              <w:rPr>
                <w:rFonts w:ascii="Times New Roman" w:eastAsia="Times New Roman" w:hAnsi="Times New Roman"/>
                <w:sz w:val="24"/>
                <w:szCs w:val="24"/>
                <w:lang w:eastAsia="de-DE"/>
              </w:rPr>
            </w:pPr>
            <w:r w:rsidRPr="00875D6D">
              <w:rPr>
                <w:rFonts w:ascii="Times New Roman" w:eastAsia="Times New Roman" w:hAnsi="Times New Roman"/>
                <w:sz w:val="24"/>
                <w:szCs w:val="24"/>
                <w:lang w:eastAsia="de-DE"/>
              </w:rPr>
              <w:t>[99] Eigene Synthese auf Basis von [35], [29], [95] und [96].</w:t>
            </w:r>
          </w:p>
        </w:tc>
        <w:tc>
          <w:tcPr>
            <w:tcW w:w="0" w:type="auto"/>
            <w:vAlign w:val="center"/>
            <w:hideMark/>
          </w:tcPr>
          <w:p w14:paraId="2EBF1BF9" w14:textId="77777777" w:rsidR="00875D6D" w:rsidRPr="00875D6D" w:rsidRDefault="00875D6D" w:rsidP="00875D6D">
            <w:pPr>
              <w:spacing w:after="0" w:line="240" w:lineRule="auto"/>
              <w:rPr>
                <w:rFonts w:ascii="Times New Roman" w:eastAsia="Times New Roman" w:hAnsi="Times New Roman"/>
                <w:sz w:val="20"/>
                <w:szCs w:val="20"/>
                <w:lang w:eastAsia="de-DE"/>
              </w:rPr>
            </w:pPr>
          </w:p>
        </w:tc>
      </w:tr>
    </w:tbl>
    <w:p w14:paraId="6EB2BCF9" w14:textId="77777777" w:rsidR="00875D6D" w:rsidRDefault="00875D6D" w:rsidP="001C3289">
      <w:pPr>
        <w:pStyle w:val="StandardWeb"/>
      </w:pPr>
    </w:p>
    <w:tbl>
      <w:tblPr>
        <w:tblW w:w="9406" w:type="dxa"/>
        <w:tblCellSpacing w:w="15" w:type="dxa"/>
        <w:tblCellMar>
          <w:top w:w="15" w:type="dxa"/>
          <w:left w:w="15" w:type="dxa"/>
          <w:bottom w:w="15" w:type="dxa"/>
          <w:right w:w="15" w:type="dxa"/>
        </w:tblCellMar>
        <w:tblLook w:val="04A0" w:firstRow="1" w:lastRow="0" w:firstColumn="1" w:lastColumn="0" w:noHBand="0" w:noVBand="1"/>
      </w:tblPr>
      <w:tblGrid>
        <w:gridCol w:w="595"/>
        <w:gridCol w:w="5149"/>
        <w:gridCol w:w="2676"/>
        <w:gridCol w:w="1264"/>
        <w:gridCol w:w="45"/>
      </w:tblGrid>
      <w:tr w:rsidR="00D27A33" w:rsidRPr="00D27A33" w14:paraId="351AC2E5" w14:textId="77777777" w:rsidTr="0097375A">
        <w:trPr>
          <w:gridAfter w:val="1"/>
          <w:tblCellSpacing w:w="15" w:type="dxa"/>
        </w:trPr>
        <w:tc>
          <w:tcPr>
            <w:tcW w:w="0" w:type="auto"/>
            <w:vAlign w:val="center"/>
            <w:hideMark/>
          </w:tcPr>
          <w:p w14:paraId="3B3D1942" w14:textId="077123A9"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w:t>
            </w:r>
            <w:r>
              <w:rPr>
                <w:rFonts w:ascii="Times New Roman" w:eastAsia="Times New Roman" w:hAnsi="Times New Roman"/>
                <w:sz w:val="24"/>
                <w:szCs w:val="24"/>
                <w:lang w:eastAsia="de-DE"/>
              </w:rPr>
              <w:t>100</w:t>
            </w:r>
            <w:r w:rsidRPr="00D27A33">
              <w:rPr>
                <w:rFonts w:ascii="Times New Roman" w:eastAsia="Times New Roman" w:hAnsi="Times New Roman"/>
                <w:sz w:val="24"/>
                <w:szCs w:val="24"/>
                <w:lang w:eastAsia="de-DE"/>
              </w:rPr>
              <w:t>]</w:t>
            </w:r>
          </w:p>
        </w:tc>
        <w:tc>
          <w:tcPr>
            <w:tcW w:w="0" w:type="auto"/>
            <w:vAlign w:val="center"/>
            <w:hideMark/>
          </w:tcPr>
          <w:p w14:paraId="31FECF72"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 xml:space="preserve">Alon, U. (2006). </w:t>
            </w:r>
            <w:r w:rsidRPr="00D27A33">
              <w:rPr>
                <w:rFonts w:ascii="Times New Roman" w:eastAsia="Times New Roman" w:hAnsi="Times New Roman"/>
                <w:i/>
                <w:iCs/>
                <w:sz w:val="24"/>
                <w:szCs w:val="24"/>
                <w:lang w:eastAsia="de-DE"/>
              </w:rPr>
              <w:t>An Introduction to Systems Biology: Design Principles of Biological Circuits</w:t>
            </w:r>
            <w:r w:rsidRPr="00D27A33">
              <w:rPr>
                <w:rFonts w:ascii="Times New Roman" w:eastAsia="Times New Roman" w:hAnsi="Times New Roman"/>
                <w:sz w:val="24"/>
                <w:szCs w:val="24"/>
                <w:lang w:eastAsia="de-DE"/>
              </w:rPr>
              <w:t>. Boca Raton: Chapman &amp; Hall/CRC.</w:t>
            </w:r>
          </w:p>
        </w:tc>
        <w:tc>
          <w:tcPr>
            <w:tcW w:w="0" w:type="auto"/>
            <w:gridSpan w:val="2"/>
            <w:vAlign w:val="center"/>
            <w:hideMark/>
          </w:tcPr>
          <w:p w14:paraId="1769136C"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Beschreibt kontextabhängige Genexpression und Regulationsnetzwerke – passt zu ψ-Feldern in der Molekularbiologie.</w:t>
            </w:r>
          </w:p>
        </w:tc>
      </w:tr>
      <w:tr w:rsidR="00D27A33" w:rsidRPr="00D27A33" w14:paraId="08EEA7B5" w14:textId="77777777" w:rsidTr="0097375A">
        <w:trPr>
          <w:gridAfter w:val="1"/>
          <w:tblCellSpacing w:w="15" w:type="dxa"/>
        </w:trPr>
        <w:tc>
          <w:tcPr>
            <w:tcW w:w="0" w:type="auto"/>
            <w:vAlign w:val="center"/>
            <w:hideMark/>
          </w:tcPr>
          <w:p w14:paraId="5EB3888E" w14:textId="6B668F3B"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w:t>
            </w:r>
            <w:r>
              <w:rPr>
                <w:rFonts w:ascii="Times New Roman" w:eastAsia="Times New Roman" w:hAnsi="Times New Roman"/>
                <w:sz w:val="24"/>
                <w:szCs w:val="24"/>
                <w:lang w:eastAsia="de-DE"/>
              </w:rPr>
              <w:t>101</w:t>
            </w:r>
            <w:r w:rsidRPr="00D27A33">
              <w:rPr>
                <w:rFonts w:ascii="Times New Roman" w:eastAsia="Times New Roman" w:hAnsi="Times New Roman"/>
                <w:sz w:val="24"/>
                <w:szCs w:val="24"/>
                <w:lang w:eastAsia="de-DE"/>
              </w:rPr>
              <w:t>]</w:t>
            </w:r>
          </w:p>
        </w:tc>
        <w:tc>
          <w:tcPr>
            <w:tcW w:w="0" w:type="auto"/>
            <w:vAlign w:val="center"/>
            <w:hideMark/>
          </w:tcPr>
          <w:p w14:paraId="288AA6B9"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 xml:space="preserve">Hillier, B., &amp; Hanson, J. (1984). </w:t>
            </w:r>
            <w:r w:rsidRPr="00D27A33">
              <w:rPr>
                <w:rFonts w:ascii="Times New Roman" w:eastAsia="Times New Roman" w:hAnsi="Times New Roman"/>
                <w:i/>
                <w:iCs/>
                <w:sz w:val="24"/>
                <w:szCs w:val="24"/>
                <w:lang w:eastAsia="de-DE"/>
              </w:rPr>
              <w:t>The Social Logic of Space</w:t>
            </w:r>
            <w:r w:rsidRPr="00D27A33">
              <w:rPr>
                <w:rFonts w:ascii="Times New Roman" w:eastAsia="Times New Roman" w:hAnsi="Times New Roman"/>
                <w:sz w:val="24"/>
                <w:szCs w:val="24"/>
                <w:lang w:eastAsia="de-DE"/>
              </w:rPr>
              <w:t>. Cambridge: Cambridge University Press.</w:t>
            </w:r>
          </w:p>
        </w:tc>
        <w:tc>
          <w:tcPr>
            <w:tcW w:w="0" w:type="auto"/>
            <w:gridSpan w:val="2"/>
            <w:vAlign w:val="center"/>
            <w:hideMark/>
          </w:tcPr>
          <w:p w14:paraId="6A2AD9B3"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Führt das Konzept von Raum als funktionales, relationales System ein – Grundlage für FRZK-Anwendung in Architektur/Raumplanung.</w:t>
            </w:r>
          </w:p>
        </w:tc>
      </w:tr>
      <w:tr w:rsidR="00D27A33" w:rsidRPr="00D27A33" w14:paraId="6F558048" w14:textId="77777777" w:rsidTr="0097375A">
        <w:trPr>
          <w:gridAfter w:val="1"/>
          <w:tblCellSpacing w:w="15" w:type="dxa"/>
        </w:trPr>
        <w:tc>
          <w:tcPr>
            <w:tcW w:w="0" w:type="auto"/>
            <w:vAlign w:val="center"/>
            <w:hideMark/>
          </w:tcPr>
          <w:p w14:paraId="46A49203" w14:textId="0BE08034"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w:t>
            </w:r>
            <w:r>
              <w:rPr>
                <w:rFonts w:ascii="Times New Roman" w:eastAsia="Times New Roman" w:hAnsi="Times New Roman"/>
                <w:sz w:val="24"/>
                <w:szCs w:val="24"/>
                <w:lang w:eastAsia="de-DE"/>
              </w:rPr>
              <w:t>102</w:t>
            </w:r>
            <w:r w:rsidRPr="00D27A33">
              <w:rPr>
                <w:rFonts w:ascii="Times New Roman" w:eastAsia="Times New Roman" w:hAnsi="Times New Roman"/>
                <w:sz w:val="24"/>
                <w:szCs w:val="24"/>
                <w:lang w:eastAsia="de-DE"/>
              </w:rPr>
              <w:t>]</w:t>
            </w:r>
          </w:p>
        </w:tc>
        <w:tc>
          <w:tcPr>
            <w:tcW w:w="0" w:type="auto"/>
            <w:vAlign w:val="center"/>
            <w:hideMark/>
          </w:tcPr>
          <w:p w14:paraId="32824CF7"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 xml:space="preserve">Bucher, T. (2018). </w:t>
            </w:r>
            <w:r w:rsidRPr="00D27A33">
              <w:rPr>
                <w:rFonts w:ascii="Times New Roman" w:eastAsia="Times New Roman" w:hAnsi="Times New Roman"/>
                <w:i/>
                <w:iCs/>
                <w:sz w:val="24"/>
                <w:szCs w:val="24"/>
                <w:lang w:eastAsia="de-DE"/>
              </w:rPr>
              <w:t>If…Then: Algorithmic Power and Politics</w:t>
            </w:r>
            <w:r w:rsidRPr="00D27A33">
              <w:rPr>
                <w:rFonts w:ascii="Times New Roman" w:eastAsia="Times New Roman" w:hAnsi="Times New Roman"/>
                <w:sz w:val="24"/>
                <w:szCs w:val="24"/>
                <w:lang w:eastAsia="de-DE"/>
              </w:rPr>
              <w:t>. Oxford: Oxford University Press.</w:t>
            </w:r>
          </w:p>
        </w:tc>
        <w:tc>
          <w:tcPr>
            <w:tcW w:w="0" w:type="auto"/>
            <w:gridSpan w:val="2"/>
            <w:vAlign w:val="center"/>
            <w:hideMark/>
          </w:tcPr>
          <w:p w14:paraId="4BCF6B55" w14:textId="77777777" w:rsidR="00D27A33" w:rsidRPr="00D27A33" w:rsidRDefault="00D27A33" w:rsidP="00D27A33">
            <w:pPr>
              <w:spacing w:after="0" w:line="240" w:lineRule="auto"/>
              <w:rPr>
                <w:rFonts w:ascii="Times New Roman" w:eastAsia="Times New Roman" w:hAnsi="Times New Roman"/>
                <w:sz w:val="24"/>
                <w:szCs w:val="24"/>
                <w:lang w:eastAsia="de-DE"/>
              </w:rPr>
            </w:pPr>
            <w:r w:rsidRPr="00D27A33">
              <w:rPr>
                <w:rFonts w:ascii="Times New Roman" w:eastAsia="Times New Roman" w:hAnsi="Times New Roman"/>
                <w:sz w:val="24"/>
                <w:szCs w:val="24"/>
                <w:lang w:eastAsia="de-DE"/>
              </w:rPr>
              <w:t>Analysiert Interface-Strukturen und algorithmische Sichtbarkeitszuweisungen – direkt anschlussfähig an ψ(</w:t>
            </w:r>
            <w:proofErr w:type="gramStart"/>
            <w:r w:rsidRPr="00D27A33">
              <w:rPr>
                <w:rFonts w:ascii="Times New Roman" w:eastAsia="Times New Roman" w:hAnsi="Times New Roman"/>
                <w:sz w:val="24"/>
                <w:szCs w:val="24"/>
                <w:lang w:eastAsia="de-DE"/>
              </w:rPr>
              <w:t>x,y</w:t>
            </w:r>
            <w:proofErr w:type="gramEnd"/>
            <w:r w:rsidRPr="00D27A33">
              <w:rPr>
                <w:rFonts w:ascii="Times New Roman" w:eastAsia="Times New Roman" w:hAnsi="Times New Roman"/>
                <w:sz w:val="24"/>
                <w:szCs w:val="24"/>
                <w:lang w:eastAsia="de-DE"/>
              </w:rPr>
              <w:t>,t)-Felder im digitalen Raum.</w:t>
            </w:r>
          </w:p>
        </w:tc>
      </w:tr>
      <w:tr w:rsidR="0097375A" w:rsidRPr="0097375A" w14:paraId="580C5640" w14:textId="77777777" w:rsidTr="002800F6">
        <w:trPr>
          <w:tblHeader/>
          <w:tblCellSpacing w:w="15" w:type="dxa"/>
        </w:trPr>
        <w:tc>
          <w:tcPr>
            <w:tcW w:w="0" w:type="auto"/>
            <w:gridSpan w:val="3"/>
            <w:vAlign w:val="center"/>
          </w:tcPr>
          <w:p w14:paraId="116BF9C2" w14:textId="389F5F59" w:rsidR="0097375A" w:rsidRPr="0097375A" w:rsidRDefault="0097375A" w:rsidP="0097375A">
            <w:pPr>
              <w:spacing w:after="0" w:line="240" w:lineRule="auto"/>
              <w:jc w:val="center"/>
              <w:rPr>
                <w:rFonts w:ascii="Times New Roman" w:eastAsia="Times New Roman" w:hAnsi="Times New Roman"/>
                <w:b/>
                <w:bCs/>
                <w:sz w:val="24"/>
                <w:szCs w:val="24"/>
                <w:lang w:eastAsia="de-DE"/>
              </w:rPr>
            </w:pPr>
          </w:p>
        </w:tc>
        <w:tc>
          <w:tcPr>
            <w:tcW w:w="0" w:type="auto"/>
            <w:gridSpan w:val="2"/>
            <w:vAlign w:val="center"/>
          </w:tcPr>
          <w:p w14:paraId="765939D3" w14:textId="18315BE7" w:rsidR="0097375A" w:rsidRPr="0097375A" w:rsidRDefault="0097375A" w:rsidP="0097375A">
            <w:pPr>
              <w:spacing w:after="0" w:line="240" w:lineRule="auto"/>
              <w:jc w:val="center"/>
              <w:rPr>
                <w:rFonts w:ascii="Times New Roman" w:eastAsia="Times New Roman" w:hAnsi="Times New Roman"/>
                <w:b/>
                <w:bCs/>
                <w:sz w:val="24"/>
                <w:szCs w:val="24"/>
                <w:lang w:eastAsia="de-DE"/>
              </w:rPr>
            </w:pPr>
          </w:p>
        </w:tc>
      </w:tr>
      <w:tr w:rsidR="0097375A" w:rsidRPr="0097375A" w14:paraId="693F6768" w14:textId="77777777" w:rsidTr="002800F6">
        <w:trPr>
          <w:tblCellSpacing w:w="15" w:type="dxa"/>
        </w:trPr>
        <w:tc>
          <w:tcPr>
            <w:tcW w:w="0" w:type="auto"/>
            <w:gridSpan w:val="3"/>
            <w:vAlign w:val="center"/>
          </w:tcPr>
          <w:p w14:paraId="6C55C62A" w14:textId="535C3ED1" w:rsidR="0097375A" w:rsidRPr="0097375A" w:rsidRDefault="0097375A" w:rsidP="0097375A">
            <w:pPr>
              <w:spacing w:after="0" w:line="240" w:lineRule="auto"/>
              <w:rPr>
                <w:rFonts w:ascii="Times New Roman" w:eastAsia="Times New Roman" w:hAnsi="Times New Roman"/>
                <w:sz w:val="24"/>
                <w:szCs w:val="24"/>
                <w:lang w:eastAsia="de-DE"/>
              </w:rPr>
            </w:pPr>
          </w:p>
        </w:tc>
        <w:tc>
          <w:tcPr>
            <w:tcW w:w="0" w:type="auto"/>
            <w:gridSpan w:val="2"/>
            <w:vAlign w:val="center"/>
          </w:tcPr>
          <w:p w14:paraId="31A02F32" w14:textId="5519A1AD" w:rsidR="0097375A" w:rsidRPr="0097375A" w:rsidRDefault="0097375A" w:rsidP="0097375A">
            <w:pPr>
              <w:spacing w:after="0" w:line="240" w:lineRule="auto"/>
              <w:rPr>
                <w:rFonts w:ascii="Times New Roman" w:eastAsia="Times New Roman" w:hAnsi="Times New Roman"/>
                <w:sz w:val="24"/>
                <w:szCs w:val="24"/>
                <w:lang w:eastAsia="de-DE"/>
              </w:rPr>
            </w:pPr>
          </w:p>
        </w:tc>
      </w:tr>
      <w:tr w:rsidR="0097375A" w:rsidRPr="0097375A" w14:paraId="0F8710E4" w14:textId="77777777" w:rsidTr="002800F6">
        <w:trPr>
          <w:tblCellSpacing w:w="15" w:type="dxa"/>
        </w:trPr>
        <w:tc>
          <w:tcPr>
            <w:tcW w:w="0" w:type="auto"/>
            <w:gridSpan w:val="3"/>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1831"/>
              <w:gridCol w:w="2162"/>
              <w:gridCol w:w="2092"/>
            </w:tblGrid>
            <w:tr w:rsidR="000B1358" w:rsidRPr="000B1358" w14:paraId="5DFB89EE" w14:textId="77777777" w:rsidTr="000B1358">
              <w:trPr>
                <w:tblHeader/>
                <w:tblCellSpacing w:w="15" w:type="dxa"/>
              </w:trPr>
              <w:tc>
                <w:tcPr>
                  <w:tcW w:w="0" w:type="auto"/>
                  <w:vAlign w:val="center"/>
                  <w:hideMark/>
                </w:tcPr>
                <w:p w14:paraId="3655EEF8" w14:textId="77777777" w:rsidR="000B1358" w:rsidRPr="000B1358" w:rsidRDefault="000B1358" w:rsidP="000B1358">
                  <w:pPr>
                    <w:pStyle w:val="Tabelleninhalt"/>
                    <w:rPr>
                      <w:lang w:eastAsia="de-DE"/>
                    </w:rPr>
                  </w:pPr>
                  <w:r w:rsidRPr="000B1358">
                    <w:rPr>
                      <w:lang w:eastAsia="de-DE"/>
                    </w:rPr>
                    <w:t>Textstelle</w:t>
                  </w:r>
                </w:p>
              </w:tc>
              <w:tc>
                <w:tcPr>
                  <w:tcW w:w="0" w:type="auto"/>
                  <w:vAlign w:val="center"/>
                  <w:hideMark/>
                </w:tcPr>
                <w:p w14:paraId="19BD7BA9" w14:textId="77777777" w:rsidR="000B1358" w:rsidRPr="000B1358" w:rsidRDefault="000B1358" w:rsidP="000B1358">
                  <w:pPr>
                    <w:pStyle w:val="Tabelleninhalt"/>
                    <w:rPr>
                      <w:lang w:eastAsia="de-DE"/>
                    </w:rPr>
                  </w:pPr>
                  <w:r w:rsidRPr="000B1358">
                    <w:rPr>
                      <w:lang w:eastAsia="de-DE"/>
                    </w:rPr>
                    <w:t>Bezeichnung</w:t>
                  </w:r>
                </w:p>
              </w:tc>
              <w:tc>
                <w:tcPr>
                  <w:tcW w:w="0" w:type="auto"/>
                  <w:vAlign w:val="center"/>
                  <w:hideMark/>
                </w:tcPr>
                <w:p w14:paraId="153DB486" w14:textId="77777777" w:rsidR="000B1358" w:rsidRPr="000B1358" w:rsidRDefault="000B1358" w:rsidP="000B1358">
                  <w:pPr>
                    <w:pStyle w:val="Tabelleninhalt"/>
                    <w:rPr>
                      <w:lang w:eastAsia="de-DE"/>
                    </w:rPr>
                  </w:pPr>
                  <w:r w:rsidRPr="000B1358">
                    <w:rPr>
                      <w:lang w:eastAsia="de-DE"/>
                    </w:rPr>
                    <w:t>Inhalt</w:t>
                  </w:r>
                </w:p>
              </w:tc>
              <w:tc>
                <w:tcPr>
                  <w:tcW w:w="0" w:type="auto"/>
                  <w:vAlign w:val="center"/>
                  <w:hideMark/>
                </w:tcPr>
                <w:p w14:paraId="7B434002" w14:textId="77777777" w:rsidR="000B1358" w:rsidRPr="000B1358" w:rsidRDefault="000B1358" w:rsidP="000B1358">
                  <w:pPr>
                    <w:pStyle w:val="Tabelleninhalt"/>
                    <w:rPr>
                      <w:lang w:eastAsia="de-DE"/>
                    </w:rPr>
                  </w:pPr>
                  <w:r w:rsidRPr="000B1358">
                    <w:rPr>
                      <w:lang w:eastAsia="de-DE"/>
                    </w:rPr>
                    <w:t>Bemerkungen</w:t>
                  </w:r>
                </w:p>
              </w:tc>
            </w:tr>
            <w:tr w:rsidR="000B1358" w:rsidRPr="000B1358" w14:paraId="09269875" w14:textId="77777777" w:rsidTr="000B1358">
              <w:trPr>
                <w:tblCellSpacing w:w="15" w:type="dxa"/>
              </w:trPr>
              <w:tc>
                <w:tcPr>
                  <w:tcW w:w="0" w:type="auto"/>
                  <w:vAlign w:val="center"/>
                  <w:hideMark/>
                </w:tcPr>
                <w:p w14:paraId="15E75D62" w14:textId="77777777" w:rsidR="000B1358" w:rsidRPr="000B1358" w:rsidRDefault="000B1358" w:rsidP="000B1358">
                  <w:pPr>
                    <w:pStyle w:val="Tabelleninhalt"/>
                    <w:rPr>
                      <w:lang w:eastAsia="de-DE"/>
                    </w:rPr>
                  </w:pPr>
                  <w:r w:rsidRPr="000B1358">
                    <w:rPr>
                      <w:lang w:eastAsia="de-DE"/>
                    </w:rPr>
                    <w:t>5.2.1 Funktionaler Beweis</w:t>
                  </w:r>
                </w:p>
              </w:tc>
              <w:tc>
                <w:tcPr>
                  <w:tcW w:w="0" w:type="auto"/>
                  <w:vAlign w:val="center"/>
                  <w:hideMark/>
                </w:tcPr>
                <w:p w14:paraId="67F63DFC" w14:textId="77777777" w:rsidR="000B1358" w:rsidRPr="000B1358" w:rsidRDefault="000B1358" w:rsidP="000B1358">
                  <w:pPr>
                    <w:pStyle w:val="Tabelleninhalt"/>
                    <w:rPr>
                      <w:lang w:eastAsia="de-DE"/>
                    </w:rPr>
                  </w:pPr>
                  <w:r w:rsidRPr="000B1358">
                    <w:rPr>
                      <w:i/>
                      <w:iCs/>
                      <w:lang w:eastAsia="de-DE"/>
                    </w:rPr>
                    <w:t>Abbildung 5.1: Kriterien funktionaler Geltung im FRZK</w:t>
                  </w:r>
                </w:p>
              </w:tc>
              <w:tc>
                <w:tcPr>
                  <w:tcW w:w="0" w:type="auto"/>
                  <w:vAlign w:val="center"/>
                  <w:hideMark/>
                </w:tcPr>
                <w:p w14:paraId="6CB4CE07" w14:textId="77777777" w:rsidR="000B1358" w:rsidRPr="000B1358" w:rsidRDefault="000B1358" w:rsidP="000B1358">
                  <w:pPr>
                    <w:pStyle w:val="Tabelleninhalt"/>
                    <w:rPr>
                      <w:lang w:eastAsia="de-DE"/>
                    </w:rPr>
                  </w:pPr>
                  <w:r w:rsidRPr="000B1358">
                    <w:rPr>
                      <w:lang w:eastAsia="de-DE"/>
                    </w:rPr>
                    <w:t>Tabellarische oder grafische Darstellung der sechs Kriterien (Transitive Zuweisung, Kontextuelle Rückführbarkeit, …)</w:t>
                  </w:r>
                </w:p>
              </w:tc>
              <w:tc>
                <w:tcPr>
                  <w:tcW w:w="0" w:type="auto"/>
                  <w:vAlign w:val="center"/>
                  <w:hideMark/>
                </w:tcPr>
                <w:p w14:paraId="6F50C871" w14:textId="77777777" w:rsidR="000B1358" w:rsidRPr="000B1358" w:rsidRDefault="000B1358" w:rsidP="000B1358">
                  <w:pPr>
                    <w:pStyle w:val="Tabelleninhalt"/>
                    <w:rPr>
                      <w:lang w:eastAsia="de-DE"/>
                    </w:rPr>
                  </w:pPr>
                  <w:r w:rsidRPr="000B1358">
                    <w:rPr>
                      <w:lang w:eastAsia="de-DE"/>
                    </w:rPr>
                    <w:t>Evtl. als Matrix mit Spalten: Kriterium, Beschreibung, Funktion im Beweisprozess. Kann als farbkodierte Übersicht gestaltet werden.</w:t>
                  </w:r>
                </w:p>
              </w:tc>
            </w:tr>
            <w:tr w:rsidR="000B1358" w:rsidRPr="000B1358" w14:paraId="095CBE0E" w14:textId="77777777" w:rsidTr="000B1358">
              <w:trPr>
                <w:tblCellSpacing w:w="15" w:type="dxa"/>
              </w:trPr>
              <w:tc>
                <w:tcPr>
                  <w:tcW w:w="0" w:type="auto"/>
                  <w:vAlign w:val="center"/>
                  <w:hideMark/>
                </w:tcPr>
                <w:p w14:paraId="28B3684B" w14:textId="77777777" w:rsidR="000B1358" w:rsidRPr="000B1358" w:rsidRDefault="000B1358" w:rsidP="000B1358">
                  <w:pPr>
                    <w:pStyle w:val="Tabelleninhalt"/>
                    <w:rPr>
                      <w:lang w:eastAsia="de-DE"/>
                    </w:rPr>
                  </w:pPr>
                  <w:r w:rsidRPr="000B1358">
                    <w:rPr>
                      <w:lang w:eastAsia="de-DE"/>
                    </w:rPr>
                    <w:t>5.2.2 Zuweisungslogik</w:t>
                  </w:r>
                </w:p>
              </w:tc>
              <w:tc>
                <w:tcPr>
                  <w:tcW w:w="0" w:type="auto"/>
                  <w:vAlign w:val="center"/>
                  <w:hideMark/>
                </w:tcPr>
                <w:p w14:paraId="05B4CA09" w14:textId="77777777" w:rsidR="000B1358" w:rsidRPr="000B1358" w:rsidRDefault="000B1358" w:rsidP="000B1358">
                  <w:pPr>
                    <w:pStyle w:val="Tabelleninhalt"/>
                    <w:rPr>
                      <w:lang w:eastAsia="de-DE"/>
                    </w:rPr>
                  </w:pPr>
                  <w:r w:rsidRPr="000B1358">
                    <w:rPr>
                      <w:i/>
                      <w:iCs/>
                      <w:lang w:eastAsia="de-DE"/>
                    </w:rPr>
                    <w:t>Abbildung 5.2: Morphisches Netz funktionaler Zuweisungen</w:t>
                  </w:r>
                </w:p>
              </w:tc>
              <w:tc>
                <w:tcPr>
                  <w:tcW w:w="0" w:type="auto"/>
                  <w:vAlign w:val="center"/>
                  <w:hideMark/>
                </w:tcPr>
                <w:p w14:paraId="03B76502" w14:textId="77777777" w:rsidR="000B1358" w:rsidRPr="000B1358" w:rsidRDefault="000B1358" w:rsidP="000B1358">
                  <w:pPr>
                    <w:pStyle w:val="Tabelleninhalt"/>
                    <w:rPr>
                      <w:lang w:eastAsia="de-DE"/>
                    </w:rPr>
                  </w:pPr>
                  <w:r w:rsidRPr="000B1358">
                    <w:rPr>
                      <w:lang w:eastAsia="de-DE"/>
                    </w:rPr>
                    <w:t>Netzdiagramm oder Schema zur Darstellung der morphischen Transformationen zwischen Elementen</w:t>
                  </w:r>
                </w:p>
              </w:tc>
              <w:tc>
                <w:tcPr>
                  <w:tcW w:w="0" w:type="auto"/>
                  <w:vAlign w:val="center"/>
                  <w:hideMark/>
                </w:tcPr>
                <w:p w14:paraId="2DAAB7DF" w14:textId="77777777" w:rsidR="000B1358" w:rsidRPr="000B1358" w:rsidRDefault="000B1358" w:rsidP="000B1358">
                  <w:pPr>
                    <w:pStyle w:val="Tabelleninhalt"/>
                    <w:rPr>
                      <w:lang w:eastAsia="de-DE"/>
                    </w:rPr>
                  </w:pPr>
                  <w:r w:rsidRPr="000B1358">
                    <w:rPr>
                      <w:lang w:eastAsia="de-DE"/>
                    </w:rPr>
                    <w:t>Bezug zu Baez’ Zitat („Meaning is a morphism...“); ideal für visuelle Leser.</w:t>
                  </w:r>
                </w:p>
              </w:tc>
            </w:tr>
            <w:tr w:rsidR="000B1358" w:rsidRPr="000B1358" w14:paraId="1BB36413" w14:textId="77777777" w:rsidTr="000B1358">
              <w:trPr>
                <w:tblCellSpacing w:w="15" w:type="dxa"/>
              </w:trPr>
              <w:tc>
                <w:tcPr>
                  <w:tcW w:w="0" w:type="auto"/>
                  <w:vAlign w:val="center"/>
                  <w:hideMark/>
                </w:tcPr>
                <w:p w14:paraId="45F3E2F9" w14:textId="77777777" w:rsidR="000B1358" w:rsidRPr="000B1358" w:rsidRDefault="000B1358" w:rsidP="000B1358">
                  <w:pPr>
                    <w:pStyle w:val="Tabelleninhalt"/>
                    <w:rPr>
                      <w:lang w:eastAsia="de-DE"/>
                    </w:rPr>
                  </w:pPr>
                  <w:r w:rsidRPr="000B1358">
                    <w:rPr>
                      <w:lang w:eastAsia="de-DE"/>
                    </w:rPr>
                    <w:t>5.2.3 Beobachterabhängigkeit</w:t>
                  </w:r>
                </w:p>
              </w:tc>
              <w:tc>
                <w:tcPr>
                  <w:tcW w:w="0" w:type="auto"/>
                  <w:vAlign w:val="center"/>
                  <w:hideMark/>
                </w:tcPr>
                <w:p w14:paraId="385733AA" w14:textId="77777777" w:rsidR="000B1358" w:rsidRPr="000B1358" w:rsidRDefault="000B1358" w:rsidP="000B1358">
                  <w:pPr>
                    <w:pStyle w:val="Tabelleninhalt"/>
                    <w:rPr>
                      <w:lang w:eastAsia="de-DE"/>
                    </w:rPr>
                  </w:pPr>
                  <w:r w:rsidRPr="000B1358">
                    <w:rPr>
                      <w:i/>
                      <w:iCs/>
                      <w:lang w:eastAsia="de-DE"/>
                    </w:rPr>
                    <w:t>Abbildung 5.3: Beobachter als Teil des Modells</w:t>
                  </w:r>
                </w:p>
              </w:tc>
              <w:tc>
                <w:tcPr>
                  <w:tcW w:w="0" w:type="auto"/>
                  <w:vAlign w:val="center"/>
                  <w:hideMark/>
                </w:tcPr>
                <w:p w14:paraId="0465C5FF" w14:textId="77777777" w:rsidR="000B1358" w:rsidRPr="000B1358" w:rsidRDefault="000B1358" w:rsidP="000B1358">
                  <w:pPr>
                    <w:pStyle w:val="Tabelleninhalt"/>
                    <w:rPr>
                      <w:lang w:eastAsia="de-DE"/>
                    </w:rPr>
                  </w:pPr>
                  <w:r w:rsidRPr="000B1358">
                    <w:rPr>
                      <w:lang w:eastAsia="de-DE"/>
                    </w:rPr>
                    <w:t>Reflexives Schema, das den Beobachter als Knoten im Zuweisungssystem zeigt</w:t>
                  </w:r>
                </w:p>
              </w:tc>
              <w:tc>
                <w:tcPr>
                  <w:tcW w:w="0" w:type="auto"/>
                  <w:vAlign w:val="center"/>
                  <w:hideMark/>
                </w:tcPr>
                <w:p w14:paraId="4F6974D1" w14:textId="77777777" w:rsidR="000B1358" w:rsidRPr="000B1358" w:rsidRDefault="000B1358" w:rsidP="000B1358">
                  <w:pPr>
                    <w:pStyle w:val="Tabelleninhalt"/>
                    <w:rPr>
                      <w:lang w:eastAsia="de-DE"/>
                    </w:rPr>
                  </w:pPr>
                  <w:r w:rsidRPr="000B1358">
                    <w:rPr>
                      <w:lang w:eastAsia="de-DE"/>
                    </w:rPr>
                    <w:t>Möglichkeit zur Integration von Selbstbezüglichkeit; fördert Verständnis des epistemischen Modells.</w:t>
                  </w:r>
                </w:p>
              </w:tc>
            </w:tr>
            <w:tr w:rsidR="000B1358" w:rsidRPr="000B1358" w14:paraId="5069911A" w14:textId="77777777" w:rsidTr="000B1358">
              <w:trPr>
                <w:tblCellSpacing w:w="15" w:type="dxa"/>
              </w:trPr>
              <w:tc>
                <w:tcPr>
                  <w:tcW w:w="0" w:type="auto"/>
                  <w:vAlign w:val="center"/>
                  <w:hideMark/>
                </w:tcPr>
                <w:p w14:paraId="4C12E0D4" w14:textId="77777777" w:rsidR="000B1358" w:rsidRPr="000B1358" w:rsidRDefault="000B1358" w:rsidP="000B1358">
                  <w:pPr>
                    <w:pStyle w:val="Tabelleninhalt"/>
                    <w:rPr>
                      <w:lang w:eastAsia="de-DE"/>
                    </w:rPr>
                  </w:pPr>
                  <w:r w:rsidRPr="000B1358">
                    <w:rPr>
                      <w:lang w:eastAsia="de-DE"/>
                    </w:rPr>
                    <w:t>5.3.3 Operationalisierung</w:t>
                  </w:r>
                </w:p>
              </w:tc>
              <w:tc>
                <w:tcPr>
                  <w:tcW w:w="0" w:type="auto"/>
                  <w:vAlign w:val="center"/>
                  <w:hideMark/>
                </w:tcPr>
                <w:p w14:paraId="0B47FA23" w14:textId="77777777" w:rsidR="000B1358" w:rsidRPr="000B1358" w:rsidRDefault="000B1358" w:rsidP="000B1358">
                  <w:pPr>
                    <w:pStyle w:val="Tabelleninhalt"/>
                    <w:rPr>
                      <w:lang w:eastAsia="de-DE"/>
                    </w:rPr>
                  </w:pPr>
                  <w:r w:rsidRPr="000B1358">
                    <w:rPr>
                      <w:i/>
                      <w:iCs/>
                      <w:lang w:eastAsia="de-DE"/>
                    </w:rPr>
                    <w:t>Abbildung 5.4: Vergleich klassischer vs. funktionaler Operationalisierung</w:t>
                  </w:r>
                </w:p>
              </w:tc>
              <w:tc>
                <w:tcPr>
                  <w:tcW w:w="0" w:type="auto"/>
                  <w:vAlign w:val="center"/>
                  <w:hideMark/>
                </w:tcPr>
                <w:p w14:paraId="6353D160" w14:textId="77777777" w:rsidR="000B1358" w:rsidRPr="000B1358" w:rsidRDefault="000B1358" w:rsidP="000B1358">
                  <w:pPr>
                    <w:pStyle w:val="Tabelleninhalt"/>
                    <w:rPr>
                      <w:lang w:eastAsia="de-DE"/>
                    </w:rPr>
                  </w:pPr>
                  <w:r w:rsidRPr="000B1358">
                    <w:rPr>
                      <w:lang w:eastAsia="de-DE"/>
                    </w:rPr>
                    <w:t>Gegenüberstellung klassischer Messansätze (z. B. Variablenmessung) und funktionaler Relationen (z. B. Netzwerke, Kontextverknüpfung)</w:t>
                  </w:r>
                </w:p>
              </w:tc>
              <w:tc>
                <w:tcPr>
                  <w:tcW w:w="0" w:type="auto"/>
                  <w:vAlign w:val="center"/>
                  <w:hideMark/>
                </w:tcPr>
                <w:p w14:paraId="219446B7" w14:textId="77777777" w:rsidR="000B1358" w:rsidRPr="000B1358" w:rsidRDefault="000B1358" w:rsidP="000B1358">
                  <w:pPr>
                    <w:pStyle w:val="Tabelleninhalt"/>
                    <w:rPr>
                      <w:lang w:eastAsia="de-DE"/>
                    </w:rPr>
                  </w:pPr>
                  <w:r w:rsidRPr="000B1358">
                    <w:rPr>
                      <w:lang w:eastAsia="de-DE"/>
                    </w:rPr>
                    <w:t>Gute Gelegenheit für kontrastierende Visualisierung; z. B. in zwei Panels.</w:t>
                  </w:r>
                </w:p>
              </w:tc>
            </w:tr>
            <w:tr w:rsidR="000B1358" w:rsidRPr="000B1358" w14:paraId="53E7B0C8" w14:textId="77777777" w:rsidTr="000B1358">
              <w:trPr>
                <w:tblCellSpacing w:w="15" w:type="dxa"/>
              </w:trPr>
              <w:tc>
                <w:tcPr>
                  <w:tcW w:w="0" w:type="auto"/>
                  <w:vAlign w:val="center"/>
                  <w:hideMark/>
                </w:tcPr>
                <w:p w14:paraId="7CF07C3E" w14:textId="77777777" w:rsidR="000B1358" w:rsidRPr="000B1358" w:rsidRDefault="000B1358" w:rsidP="000B1358">
                  <w:pPr>
                    <w:pStyle w:val="Tabelleninhalt"/>
                    <w:rPr>
                      <w:lang w:eastAsia="de-DE"/>
                    </w:rPr>
                  </w:pPr>
                  <w:r w:rsidRPr="000B1358">
                    <w:rPr>
                      <w:lang w:eastAsia="de-DE"/>
                    </w:rPr>
                    <w:t>5.3.4 Beispielmethoden</w:t>
                  </w:r>
                </w:p>
              </w:tc>
              <w:tc>
                <w:tcPr>
                  <w:tcW w:w="0" w:type="auto"/>
                  <w:vAlign w:val="center"/>
                  <w:hideMark/>
                </w:tcPr>
                <w:p w14:paraId="30DB42A5" w14:textId="77777777" w:rsidR="000B1358" w:rsidRPr="000B1358" w:rsidRDefault="000B1358" w:rsidP="000B1358">
                  <w:pPr>
                    <w:pStyle w:val="Tabelleninhalt"/>
                    <w:rPr>
                      <w:lang w:eastAsia="de-DE"/>
                    </w:rPr>
                  </w:pPr>
                  <w:r w:rsidRPr="000B1358">
                    <w:rPr>
                      <w:i/>
                      <w:iCs/>
                      <w:lang w:eastAsia="de-DE"/>
                    </w:rPr>
                    <w:t>Abbildung 5.5: Methodische Zugänge im FRZK</w:t>
                  </w:r>
                </w:p>
              </w:tc>
              <w:tc>
                <w:tcPr>
                  <w:tcW w:w="0" w:type="auto"/>
                  <w:vAlign w:val="center"/>
                  <w:hideMark/>
                </w:tcPr>
                <w:p w14:paraId="669891F9" w14:textId="77777777" w:rsidR="000B1358" w:rsidRPr="000B1358" w:rsidRDefault="000B1358" w:rsidP="000B1358">
                  <w:pPr>
                    <w:pStyle w:val="Tabelleninhalt"/>
                    <w:rPr>
                      <w:lang w:eastAsia="de-DE"/>
                    </w:rPr>
                  </w:pPr>
                  <w:r w:rsidRPr="000B1358">
                    <w:rPr>
                      <w:lang w:eastAsia="de-DE"/>
                    </w:rPr>
                    <w:t>Übersichtsgrafik zu drei Hauptzugängen: Sequenzanalyse, Netzwerkanalyse, Design-Based Research</w:t>
                  </w:r>
                </w:p>
              </w:tc>
              <w:tc>
                <w:tcPr>
                  <w:tcW w:w="0" w:type="auto"/>
                  <w:vAlign w:val="center"/>
                  <w:hideMark/>
                </w:tcPr>
                <w:p w14:paraId="0624FC17" w14:textId="77777777" w:rsidR="000B1358" w:rsidRPr="000B1358" w:rsidRDefault="000B1358" w:rsidP="000B1358">
                  <w:pPr>
                    <w:pStyle w:val="Tabelleninhalt"/>
                    <w:rPr>
                      <w:lang w:eastAsia="de-DE"/>
                    </w:rPr>
                  </w:pPr>
                  <w:r w:rsidRPr="000B1358">
                    <w:rPr>
                      <w:lang w:eastAsia="de-DE"/>
                    </w:rPr>
                    <w:t>Kann als Pyramide, Venn-Diagramm oder Flussdiagramm dargestellt werden.</w:t>
                  </w:r>
                </w:p>
              </w:tc>
            </w:tr>
            <w:tr w:rsidR="000B1358" w:rsidRPr="000B1358" w14:paraId="1DE8C466" w14:textId="77777777" w:rsidTr="000B1358">
              <w:trPr>
                <w:tblCellSpacing w:w="15" w:type="dxa"/>
              </w:trPr>
              <w:tc>
                <w:tcPr>
                  <w:tcW w:w="0" w:type="auto"/>
                  <w:vAlign w:val="center"/>
                  <w:hideMark/>
                </w:tcPr>
                <w:p w14:paraId="7A75CBDC" w14:textId="77777777" w:rsidR="000B1358" w:rsidRPr="000B1358" w:rsidRDefault="000B1358" w:rsidP="000B1358">
                  <w:pPr>
                    <w:pStyle w:val="Tabelleninhalt"/>
                    <w:rPr>
                      <w:lang w:eastAsia="de-DE"/>
                    </w:rPr>
                  </w:pPr>
                  <w:r w:rsidRPr="000B1358">
                    <w:rPr>
                      <w:lang w:eastAsia="de-DE"/>
                    </w:rPr>
                    <w:t>5.4.2 Feldversuchsszenario</w:t>
                  </w:r>
                </w:p>
              </w:tc>
              <w:tc>
                <w:tcPr>
                  <w:tcW w:w="0" w:type="auto"/>
                  <w:vAlign w:val="center"/>
                  <w:hideMark/>
                </w:tcPr>
                <w:p w14:paraId="141AA3A5" w14:textId="77777777" w:rsidR="000B1358" w:rsidRPr="000B1358" w:rsidRDefault="000B1358" w:rsidP="000B1358">
                  <w:pPr>
                    <w:pStyle w:val="Tabelleninhalt"/>
                    <w:rPr>
                      <w:lang w:eastAsia="de-DE"/>
                    </w:rPr>
                  </w:pPr>
                  <w:r w:rsidRPr="000B1358">
                    <w:rPr>
                      <w:i/>
                      <w:iCs/>
                      <w:lang w:eastAsia="de-DE"/>
                    </w:rPr>
                    <w:t>Abbildung 5.6: Modell eines funktionalen Feldversuchs</w:t>
                  </w:r>
                </w:p>
              </w:tc>
              <w:tc>
                <w:tcPr>
                  <w:tcW w:w="0" w:type="auto"/>
                  <w:vAlign w:val="center"/>
                  <w:hideMark/>
                </w:tcPr>
                <w:p w14:paraId="5D04B9FF" w14:textId="77777777" w:rsidR="000B1358" w:rsidRPr="000B1358" w:rsidRDefault="000B1358" w:rsidP="000B1358">
                  <w:pPr>
                    <w:pStyle w:val="Tabelleninhalt"/>
                    <w:rPr>
                      <w:lang w:eastAsia="de-DE"/>
                    </w:rPr>
                  </w:pPr>
                  <w:r w:rsidRPr="000B1358">
                    <w:rPr>
                      <w:lang w:eastAsia="de-DE"/>
                    </w:rPr>
                    <w:t>Schematische Darstellung des Lernumgebungsdesigns (Plattform, Zuweisungskategorien, Datenpfade, Interviews)</w:t>
                  </w:r>
                </w:p>
              </w:tc>
              <w:tc>
                <w:tcPr>
                  <w:tcW w:w="0" w:type="auto"/>
                  <w:vAlign w:val="center"/>
                  <w:hideMark/>
                </w:tcPr>
                <w:p w14:paraId="1960494D" w14:textId="77777777" w:rsidR="000B1358" w:rsidRPr="000B1358" w:rsidRDefault="000B1358" w:rsidP="000B1358">
                  <w:pPr>
                    <w:pStyle w:val="Tabelleninhalt"/>
                    <w:rPr>
                      <w:lang w:eastAsia="de-DE"/>
                    </w:rPr>
                  </w:pPr>
                  <w:r w:rsidRPr="000B1358">
                    <w:rPr>
                      <w:lang w:eastAsia="de-DE"/>
                    </w:rPr>
                    <w:t>Wichtig für Anwendungsnähe; unterstützt Verständnis des Konzepts „funktionaler Modellraum“.</w:t>
                  </w:r>
                </w:p>
              </w:tc>
            </w:tr>
            <w:tr w:rsidR="000B1358" w:rsidRPr="000B1358" w14:paraId="3431390A" w14:textId="77777777" w:rsidTr="000B1358">
              <w:trPr>
                <w:tblCellSpacing w:w="15" w:type="dxa"/>
              </w:trPr>
              <w:tc>
                <w:tcPr>
                  <w:tcW w:w="0" w:type="auto"/>
                  <w:vAlign w:val="center"/>
                  <w:hideMark/>
                </w:tcPr>
                <w:p w14:paraId="05C34417" w14:textId="77777777" w:rsidR="000B1358" w:rsidRPr="000B1358" w:rsidRDefault="000B1358" w:rsidP="000B1358">
                  <w:pPr>
                    <w:pStyle w:val="Tabelleninhalt"/>
                    <w:rPr>
                      <w:lang w:eastAsia="de-DE"/>
                    </w:rPr>
                  </w:pPr>
                  <w:r w:rsidRPr="000B1358">
                    <w:rPr>
                      <w:lang w:eastAsia="de-DE"/>
                    </w:rPr>
                    <w:t>5.4.3 Ethik und Beobachtung</w:t>
                  </w:r>
                </w:p>
              </w:tc>
              <w:tc>
                <w:tcPr>
                  <w:tcW w:w="0" w:type="auto"/>
                  <w:vAlign w:val="center"/>
                  <w:hideMark/>
                </w:tcPr>
                <w:p w14:paraId="2F17E153" w14:textId="77777777" w:rsidR="000B1358" w:rsidRPr="000B1358" w:rsidRDefault="000B1358" w:rsidP="000B1358">
                  <w:pPr>
                    <w:pStyle w:val="Tabelleninhalt"/>
                    <w:rPr>
                      <w:lang w:eastAsia="de-DE"/>
                    </w:rPr>
                  </w:pPr>
                  <w:r w:rsidRPr="000B1358">
                    <w:rPr>
                      <w:i/>
                      <w:iCs/>
                      <w:lang w:eastAsia="de-DE"/>
                    </w:rPr>
                    <w:t>Abbildung 5.7: Reflexiver Forschungsraum</w:t>
                  </w:r>
                </w:p>
              </w:tc>
              <w:tc>
                <w:tcPr>
                  <w:tcW w:w="0" w:type="auto"/>
                  <w:vAlign w:val="center"/>
                  <w:hideMark/>
                </w:tcPr>
                <w:p w14:paraId="422C051E" w14:textId="77777777" w:rsidR="000B1358" w:rsidRPr="000B1358" w:rsidRDefault="000B1358" w:rsidP="000B1358">
                  <w:pPr>
                    <w:pStyle w:val="Tabelleninhalt"/>
                    <w:rPr>
                      <w:lang w:eastAsia="de-DE"/>
                    </w:rPr>
                  </w:pPr>
                  <w:r w:rsidRPr="000B1358">
                    <w:rPr>
                      <w:lang w:eastAsia="de-DE"/>
                    </w:rPr>
                    <w:t>Diagramm mit Positionen der Akteure (Forschende, Lernende, Technologie), ihren Relationen und Zuweisungsrollen</w:t>
                  </w:r>
                </w:p>
              </w:tc>
              <w:tc>
                <w:tcPr>
                  <w:tcW w:w="0" w:type="auto"/>
                  <w:vAlign w:val="center"/>
                  <w:hideMark/>
                </w:tcPr>
                <w:p w14:paraId="2DCD332E" w14:textId="77777777" w:rsidR="000B1358" w:rsidRPr="000B1358" w:rsidRDefault="000B1358" w:rsidP="000B1358">
                  <w:pPr>
                    <w:pStyle w:val="Tabelleninhalt"/>
                    <w:rPr>
                      <w:lang w:eastAsia="de-DE"/>
                    </w:rPr>
                  </w:pPr>
                  <w:r w:rsidRPr="000B1358">
                    <w:rPr>
                      <w:lang w:eastAsia="de-DE"/>
                    </w:rPr>
                    <w:t>Visuelle Verdeutlichung epistemischer Verantwortung; geeignet für interdisziplinäre Lesergruppen.</w:t>
                  </w:r>
                </w:p>
              </w:tc>
            </w:tr>
            <w:tr w:rsidR="000B1358" w:rsidRPr="000B1358" w14:paraId="362D3F2A" w14:textId="77777777" w:rsidTr="000B1358">
              <w:trPr>
                <w:tblCellSpacing w:w="15" w:type="dxa"/>
              </w:trPr>
              <w:tc>
                <w:tcPr>
                  <w:tcW w:w="0" w:type="auto"/>
                  <w:vAlign w:val="center"/>
                  <w:hideMark/>
                </w:tcPr>
                <w:p w14:paraId="5F65F97E" w14:textId="77777777" w:rsidR="000B1358" w:rsidRPr="000B1358" w:rsidRDefault="000B1358" w:rsidP="000B1358">
                  <w:pPr>
                    <w:pStyle w:val="Tabelleninhalt"/>
                    <w:rPr>
                      <w:lang w:eastAsia="de-DE"/>
                    </w:rPr>
                  </w:pPr>
                  <w:r w:rsidRPr="000B1358">
                    <w:rPr>
                      <w:lang w:eastAsia="de-DE"/>
                    </w:rPr>
                    <w:t>5.5.1 Ergebnistypen</w:t>
                  </w:r>
                </w:p>
              </w:tc>
              <w:tc>
                <w:tcPr>
                  <w:tcW w:w="0" w:type="auto"/>
                  <w:vAlign w:val="center"/>
                  <w:hideMark/>
                </w:tcPr>
                <w:p w14:paraId="66212DD7" w14:textId="77777777" w:rsidR="000B1358" w:rsidRPr="000B1358" w:rsidRDefault="000B1358" w:rsidP="000B1358">
                  <w:pPr>
                    <w:pStyle w:val="Tabelleninhalt"/>
                    <w:rPr>
                      <w:lang w:eastAsia="de-DE"/>
                    </w:rPr>
                  </w:pPr>
                  <w:r w:rsidRPr="000B1358">
                    <w:rPr>
                      <w:i/>
                      <w:iCs/>
                      <w:lang w:eastAsia="de-DE"/>
                    </w:rPr>
                    <w:t>Abbildung 5.8: Drei Typen funktionaler Bestätigung</w:t>
                  </w:r>
                </w:p>
              </w:tc>
              <w:tc>
                <w:tcPr>
                  <w:tcW w:w="0" w:type="auto"/>
                  <w:vAlign w:val="center"/>
                  <w:hideMark/>
                </w:tcPr>
                <w:p w14:paraId="21E86D7F" w14:textId="77777777" w:rsidR="000B1358" w:rsidRPr="000B1358" w:rsidRDefault="000B1358" w:rsidP="000B1358">
                  <w:pPr>
                    <w:pStyle w:val="Tabelleninhalt"/>
                    <w:rPr>
                      <w:lang w:eastAsia="de-DE"/>
                    </w:rPr>
                  </w:pPr>
                  <w:r w:rsidRPr="000B1358">
                    <w:rPr>
                      <w:lang w:eastAsia="de-DE"/>
                    </w:rPr>
                    <w:t>Dreiteiliges Diagramm (z. B. Spalten oder Venn) zu Konsistenz, Emergenz, Bedeutungskonvergenz</w:t>
                  </w:r>
                </w:p>
              </w:tc>
              <w:tc>
                <w:tcPr>
                  <w:tcW w:w="0" w:type="auto"/>
                  <w:vAlign w:val="center"/>
                  <w:hideMark/>
                </w:tcPr>
                <w:p w14:paraId="6CBD5330" w14:textId="77777777" w:rsidR="000B1358" w:rsidRPr="000B1358" w:rsidRDefault="000B1358" w:rsidP="000B1358">
                  <w:pPr>
                    <w:pStyle w:val="Tabelleninhalt"/>
                    <w:rPr>
                      <w:lang w:eastAsia="de-DE"/>
                    </w:rPr>
                  </w:pPr>
                  <w:r w:rsidRPr="000B1358">
                    <w:rPr>
                      <w:lang w:eastAsia="de-DE"/>
                    </w:rPr>
                    <w:t>Klare Visualisierung von Erwartungsstrukturen. Auch für spätere Diskussion wiederverwendbar.</w:t>
                  </w:r>
                </w:p>
              </w:tc>
            </w:tr>
            <w:tr w:rsidR="000B1358" w:rsidRPr="000B1358" w14:paraId="166F3C3A" w14:textId="77777777" w:rsidTr="000B1358">
              <w:trPr>
                <w:tblCellSpacing w:w="15" w:type="dxa"/>
              </w:trPr>
              <w:tc>
                <w:tcPr>
                  <w:tcW w:w="0" w:type="auto"/>
                  <w:vAlign w:val="center"/>
                  <w:hideMark/>
                </w:tcPr>
                <w:p w14:paraId="00DD094D" w14:textId="77777777" w:rsidR="000B1358" w:rsidRPr="000B1358" w:rsidRDefault="000B1358" w:rsidP="000B1358">
                  <w:pPr>
                    <w:pStyle w:val="Tabelleninhalt"/>
                    <w:rPr>
                      <w:lang w:eastAsia="de-DE"/>
                    </w:rPr>
                  </w:pPr>
                  <w:r w:rsidRPr="000B1358">
                    <w:rPr>
                      <w:lang w:eastAsia="de-DE"/>
                    </w:rPr>
                    <w:t>5.6.1 Regressmodell</w:t>
                  </w:r>
                </w:p>
              </w:tc>
              <w:tc>
                <w:tcPr>
                  <w:tcW w:w="0" w:type="auto"/>
                  <w:vAlign w:val="center"/>
                  <w:hideMark/>
                </w:tcPr>
                <w:p w14:paraId="3ABA76AF" w14:textId="77777777" w:rsidR="000B1358" w:rsidRPr="000B1358" w:rsidRDefault="000B1358" w:rsidP="000B1358">
                  <w:pPr>
                    <w:pStyle w:val="Tabelleninhalt"/>
                    <w:rPr>
                      <w:lang w:eastAsia="de-DE"/>
                    </w:rPr>
                  </w:pPr>
                  <w:r w:rsidRPr="000B1358">
                    <w:rPr>
                      <w:i/>
                      <w:iCs/>
                      <w:lang w:eastAsia="de-DE"/>
                    </w:rPr>
                    <w:t>Abbildung 5.9: Regressstruktur funktionaler Meta-Zuweisungen</w:t>
                  </w:r>
                </w:p>
              </w:tc>
              <w:tc>
                <w:tcPr>
                  <w:tcW w:w="0" w:type="auto"/>
                  <w:vAlign w:val="center"/>
                  <w:hideMark/>
                </w:tcPr>
                <w:p w14:paraId="1E67FBC2" w14:textId="77777777" w:rsidR="000B1358" w:rsidRPr="000B1358" w:rsidRDefault="000B1358" w:rsidP="000B1358">
                  <w:pPr>
                    <w:pStyle w:val="Tabelleninhalt"/>
                    <w:rPr>
                      <w:lang w:eastAsia="de-DE"/>
                    </w:rPr>
                  </w:pPr>
                  <w:r w:rsidRPr="000B1358">
                    <w:rPr>
                      <w:lang w:eastAsia="de-DE"/>
                    </w:rPr>
                    <w:t>Darstellung von Mn(U) = M(Mn-1(U), Ψn, …) als iteratives Strukturdiagramm</w:t>
                  </w:r>
                </w:p>
              </w:tc>
              <w:tc>
                <w:tcPr>
                  <w:tcW w:w="0" w:type="auto"/>
                  <w:vAlign w:val="center"/>
                  <w:hideMark/>
                </w:tcPr>
                <w:p w14:paraId="1631FACD" w14:textId="77777777" w:rsidR="000B1358" w:rsidRPr="000B1358" w:rsidRDefault="000B1358" w:rsidP="000B1358">
                  <w:pPr>
                    <w:pStyle w:val="Tabelleninhalt"/>
                    <w:rPr>
                      <w:lang w:eastAsia="de-DE"/>
                    </w:rPr>
                  </w:pPr>
                  <w:r w:rsidRPr="000B1358">
                    <w:rPr>
                      <w:lang w:eastAsia="de-DE"/>
                    </w:rPr>
                    <w:t>Ideal als Spiralform oder rekursives Schachtelsystem; zentrale Funktion für epistemische Tiefe.</w:t>
                  </w:r>
                </w:p>
              </w:tc>
            </w:tr>
            <w:tr w:rsidR="000B1358" w:rsidRPr="000B1358" w14:paraId="20D0C020" w14:textId="77777777" w:rsidTr="000B1358">
              <w:trPr>
                <w:tblCellSpacing w:w="15" w:type="dxa"/>
              </w:trPr>
              <w:tc>
                <w:tcPr>
                  <w:tcW w:w="0" w:type="auto"/>
                  <w:vAlign w:val="center"/>
                  <w:hideMark/>
                </w:tcPr>
                <w:p w14:paraId="446647EC" w14:textId="77777777" w:rsidR="000B1358" w:rsidRPr="000B1358" w:rsidRDefault="000B1358" w:rsidP="000B1358">
                  <w:pPr>
                    <w:pStyle w:val="Tabelleninhalt"/>
                    <w:rPr>
                      <w:lang w:eastAsia="de-DE"/>
                    </w:rPr>
                  </w:pPr>
                  <w:r w:rsidRPr="000B1358">
                    <w:rPr>
                      <w:lang w:eastAsia="de-DE"/>
                    </w:rPr>
                    <w:t>5.6.2 Theory of Mind</w:t>
                  </w:r>
                </w:p>
              </w:tc>
              <w:tc>
                <w:tcPr>
                  <w:tcW w:w="0" w:type="auto"/>
                  <w:vAlign w:val="center"/>
                  <w:hideMark/>
                </w:tcPr>
                <w:p w14:paraId="22E2142F" w14:textId="77777777" w:rsidR="000B1358" w:rsidRPr="000B1358" w:rsidRDefault="000B1358" w:rsidP="000B1358">
                  <w:pPr>
                    <w:pStyle w:val="Tabelleninhalt"/>
                    <w:rPr>
                      <w:lang w:eastAsia="de-DE"/>
                    </w:rPr>
                  </w:pPr>
                  <w:r w:rsidRPr="000B1358">
                    <w:rPr>
                      <w:i/>
                      <w:iCs/>
                      <w:lang w:eastAsia="de-DE"/>
                    </w:rPr>
                    <w:t>Abbildung 5.10: Kaskade reflexiver Beobachtung</w:t>
                  </w:r>
                </w:p>
              </w:tc>
              <w:tc>
                <w:tcPr>
                  <w:tcW w:w="0" w:type="auto"/>
                  <w:vAlign w:val="center"/>
                  <w:hideMark/>
                </w:tcPr>
                <w:p w14:paraId="562D14AE" w14:textId="77777777" w:rsidR="000B1358" w:rsidRPr="000B1358" w:rsidRDefault="000B1358" w:rsidP="000B1358">
                  <w:pPr>
                    <w:pStyle w:val="Tabelleninhalt"/>
                    <w:rPr>
                      <w:lang w:eastAsia="de-DE"/>
                    </w:rPr>
                  </w:pPr>
                  <w:r w:rsidRPr="000B1358">
                    <w:rPr>
                      <w:lang w:eastAsia="de-DE"/>
                    </w:rPr>
                    <w:t>„Ich denke, dass du denkst…“ – als mehrschichtige Sprechblasen- oder Pfeilstruktur</w:t>
                  </w:r>
                </w:p>
              </w:tc>
              <w:tc>
                <w:tcPr>
                  <w:tcW w:w="0" w:type="auto"/>
                  <w:vAlign w:val="center"/>
                  <w:hideMark/>
                </w:tcPr>
                <w:p w14:paraId="1A7F4D9A" w14:textId="77777777" w:rsidR="000B1358" w:rsidRPr="000B1358" w:rsidRDefault="000B1358" w:rsidP="000B1358">
                  <w:pPr>
                    <w:pStyle w:val="Tabelleninhalt"/>
                    <w:rPr>
                      <w:lang w:eastAsia="de-DE"/>
                    </w:rPr>
                  </w:pPr>
                  <w:r w:rsidRPr="000B1358">
                    <w:rPr>
                      <w:lang w:eastAsia="de-DE"/>
                    </w:rPr>
                    <w:t>Didaktisch stark; verdeutlicht Regress in alltagsnaher Form. Optional als Comic-artige Illustration.</w:t>
                  </w:r>
                </w:p>
              </w:tc>
            </w:tr>
          </w:tbl>
          <w:p w14:paraId="406EDD3E" w14:textId="14E2B105" w:rsidR="0097375A" w:rsidRPr="0097375A" w:rsidRDefault="0097375A" w:rsidP="000B1358">
            <w:pPr>
              <w:pStyle w:val="Tabelleninhalt"/>
              <w:rPr>
                <w:lang w:eastAsia="de-DE"/>
              </w:rPr>
            </w:pPr>
          </w:p>
        </w:tc>
        <w:tc>
          <w:tcPr>
            <w:tcW w:w="0" w:type="auto"/>
            <w:gridSpan w:val="2"/>
            <w:vAlign w:val="center"/>
          </w:tcPr>
          <w:p w14:paraId="782A72E7" w14:textId="77777777" w:rsidR="0097375A" w:rsidRPr="0097375A" w:rsidRDefault="0097375A" w:rsidP="000B1358">
            <w:pPr>
              <w:pStyle w:val="Tabelleninhalt"/>
              <w:rPr>
                <w:lang w:eastAsia="de-DE"/>
              </w:rPr>
            </w:pPr>
          </w:p>
        </w:tc>
      </w:tr>
      <w:tr w:rsidR="0097375A" w:rsidRPr="0097375A" w14:paraId="499643EE" w14:textId="77777777" w:rsidTr="002800F6">
        <w:trPr>
          <w:tblCellSpacing w:w="15" w:type="dxa"/>
        </w:trPr>
        <w:tc>
          <w:tcPr>
            <w:tcW w:w="0" w:type="auto"/>
            <w:gridSpan w:val="3"/>
            <w:vAlign w:val="center"/>
          </w:tcPr>
          <w:p w14:paraId="4B9FAFCD" w14:textId="3F8BB0DC" w:rsidR="0097375A" w:rsidRPr="0097375A" w:rsidRDefault="0097375A" w:rsidP="000B1358">
            <w:pPr>
              <w:pStyle w:val="Tabelleninhalt"/>
              <w:rPr>
                <w:lang w:eastAsia="de-DE"/>
              </w:rPr>
            </w:pPr>
          </w:p>
        </w:tc>
        <w:tc>
          <w:tcPr>
            <w:tcW w:w="0" w:type="auto"/>
            <w:gridSpan w:val="2"/>
            <w:vAlign w:val="center"/>
          </w:tcPr>
          <w:p w14:paraId="4828356C" w14:textId="57ADBF2B" w:rsidR="0097375A" w:rsidRPr="0097375A" w:rsidRDefault="0097375A" w:rsidP="000B1358">
            <w:pPr>
              <w:pStyle w:val="Tabelleninhalt"/>
              <w:rPr>
                <w:lang w:eastAsia="de-DE"/>
              </w:rPr>
            </w:pPr>
          </w:p>
        </w:tc>
      </w:tr>
      <w:tr w:rsidR="0097375A" w:rsidRPr="0097375A" w14:paraId="1332D559" w14:textId="77777777" w:rsidTr="002800F6">
        <w:trPr>
          <w:tblCellSpacing w:w="15" w:type="dxa"/>
        </w:trPr>
        <w:tc>
          <w:tcPr>
            <w:tcW w:w="0" w:type="auto"/>
            <w:gridSpan w:val="3"/>
            <w:vAlign w:val="center"/>
          </w:tcPr>
          <w:p w14:paraId="24B8D72E" w14:textId="6D0CB266" w:rsidR="0097375A" w:rsidRPr="0097375A" w:rsidRDefault="0097375A" w:rsidP="000B1358">
            <w:pPr>
              <w:pStyle w:val="Tabelleninhalt"/>
              <w:rPr>
                <w:lang w:eastAsia="de-DE"/>
              </w:rPr>
            </w:pPr>
          </w:p>
        </w:tc>
        <w:tc>
          <w:tcPr>
            <w:tcW w:w="0" w:type="auto"/>
            <w:gridSpan w:val="2"/>
            <w:vAlign w:val="center"/>
          </w:tcPr>
          <w:p w14:paraId="6223D1C1" w14:textId="77777777" w:rsidR="0097375A" w:rsidRPr="0097375A" w:rsidRDefault="0097375A" w:rsidP="000B1358">
            <w:pPr>
              <w:pStyle w:val="Tabelleninhalt"/>
              <w:rPr>
                <w:lang w:eastAsia="de-DE"/>
              </w:rPr>
            </w:pPr>
          </w:p>
        </w:tc>
      </w:tr>
      <w:tr w:rsidR="0097375A" w:rsidRPr="0097375A" w14:paraId="2AE92770" w14:textId="77777777" w:rsidTr="002800F6">
        <w:trPr>
          <w:tblCellSpacing w:w="15" w:type="dxa"/>
        </w:trPr>
        <w:tc>
          <w:tcPr>
            <w:tcW w:w="0" w:type="auto"/>
            <w:gridSpan w:val="3"/>
            <w:vAlign w:val="center"/>
          </w:tcPr>
          <w:p w14:paraId="202F70F4" w14:textId="70FFDA77" w:rsidR="0097375A" w:rsidRPr="0097375A" w:rsidRDefault="0097375A" w:rsidP="000B1358">
            <w:pPr>
              <w:pStyle w:val="Tabelleninhalt"/>
              <w:rPr>
                <w:lang w:eastAsia="de-DE"/>
              </w:rPr>
            </w:pPr>
          </w:p>
        </w:tc>
        <w:tc>
          <w:tcPr>
            <w:tcW w:w="0" w:type="auto"/>
            <w:gridSpan w:val="2"/>
            <w:vAlign w:val="center"/>
          </w:tcPr>
          <w:p w14:paraId="570D0E44" w14:textId="1B24E207" w:rsidR="0097375A" w:rsidRPr="0097375A" w:rsidRDefault="0097375A" w:rsidP="000B1358">
            <w:pPr>
              <w:pStyle w:val="Tabelleninhalt"/>
              <w:rPr>
                <w:lang w:eastAsia="de-DE"/>
              </w:rPr>
            </w:pPr>
          </w:p>
        </w:tc>
      </w:tr>
      <w:tr w:rsidR="0097375A" w:rsidRPr="0097375A" w14:paraId="542548F8" w14:textId="77777777" w:rsidTr="002800F6">
        <w:trPr>
          <w:tblCellSpacing w:w="15" w:type="dxa"/>
        </w:trPr>
        <w:tc>
          <w:tcPr>
            <w:tcW w:w="0" w:type="auto"/>
            <w:gridSpan w:val="3"/>
            <w:vAlign w:val="center"/>
          </w:tcPr>
          <w:p w14:paraId="4D9ABA45" w14:textId="226D02B7" w:rsidR="0097375A" w:rsidRPr="0097375A" w:rsidRDefault="0097375A" w:rsidP="000B1358">
            <w:pPr>
              <w:pStyle w:val="Tabelleninhalt"/>
              <w:rPr>
                <w:lang w:eastAsia="de-DE"/>
              </w:rPr>
            </w:pPr>
          </w:p>
        </w:tc>
        <w:tc>
          <w:tcPr>
            <w:tcW w:w="0" w:type="auto"/>
            <w:gridSpan w:val="2"/>
            <w:vAlign w:val="center"/>
          </w:tcPr>
          <w:p w14:paraId="43E8C6F4" w14:textId="77777777" w:rsidR="0097375A" w:rsidRPr="0097375A" w:rsidRDefault="0097375A" w:rsidP="000B1358">
            <w:pPr>
              <w:pStyle w:val="Tabelleninhalt"/>
              <w:rPr>
                <w:lang w:eastAsia="de-DE"/>
              </w:rPr>
            </w:pPr>
          </w:p>
        </w:tc>
      </w:tr>
    </w:tbl>
    <w:p w14:paraId="570E3BE4" w14:textId="77777777" w:rsidR="001C3289" w:rsidRDefault="001C3289" w:rsidP="000B1358">
      <w:pPr>
        <w:pStyle w:val="Tabelleninhalt"/>
        <w:rPr>
          <w:sz w:val="27"/>
          <w:szCs w:val="27"/>
          <w:lang w:eastAsia="de-DE"/>
        </w:rPr>
      </w:pPr>
      <w:r>
        <w:rPr>
          <w:sz w:val="27"/>
          <w:szCs w:val="27"/>
          <w:lang w:eastAsia="de-DE"/>
        </w:rPr>
        <w:t>Abbildungen</w:t>
      </w:r>
    </w:p>
    <w:p w14:paraId="581C6D39" w14:textId="77777777" w:rsidR="001C3289" w:rsidRDefault="001C3289" w:rsidP="000B1358">
      <w:pPr>
        <w:pStyle w:val="Tabelleninhalt"/>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gridCol w:w="3431"/>
        <w:gridCol w:w="3281"/>
      </w:tblGrid>
      <w:tr w:rsidR="001C3289" w:rsidRPr="00511440" w14:paraId="1AF03092" w14:textId="77777777" w:rsidTr="00992AF9">
        <w:trPr>
          <w:tblHeader/>
          <w:tblCellSpacing w:w="15" w:type="dxa"/>
        </w:trPr>
        <w:tc>
          <w:tcPr>
            <w:tcW w:w="0" w:type="auto"/>
            <w:vAlign w:val="center"/>
            <w:hideMark/>
          </w:tcPr>
          <w:p w14:paraId="559703EA" w14:textId="77777777" w:rsidR="001C3289" w:rsidRPr="00511440" w:rsidRDefault="001C3289" w:rsidP="000B1358">
            <w:pPr>
              <w:pStyle w:val="Tabelleninhalt"/>
              <w:rPr>
                <w:lang w:eastAsia="de-DE"/>
              </w:rPr>
            </w:pPr>
            <w:r w:rsidRPr="00511440">
              <w:rPr>
                <w:lang w:eastAsia="de-DE"/>
              </w:rPr>
              <w:t>Textstelle</w:t>
            </w:r>
          </w:p>
        </w:tc>
        <w:tc>
          <w:tcPr>
            <w:tcW w:w="0" w:type="auto"/>
            <w:vAlign w:val="center"/>
            <w:hideMark/>
          </w:tcPr>
          <w:p w14:paraId="1D7E0A8A" w14:textId="77777777" w:rsidR="001C3289" w:rsidRPr="00511440" w:rsidRDefault="001C3289" w:rsidP="000B1358">
            <w:pPr>
              <w:pStyle w:val="Tabelleninhalt"/>
              <w:rPr>
                <w:lang w:eastAsia="de-DE"/>
              </w:rPr>
            </w:pPr>
            <w:r w:rsidRPr="00511440">
              <w:rPr>
                <w:lang w:eastAsia="de-DE"/>
              </w:rPr>
              <w:t>Grafikbeschreibung</w:t>
            </w:r>
          </w:p>
        </w:tc>
        <w:tc>
          <w:tcPr>
            <w:tcW w:w="0" w:type="auto"/>
            <w:vAlign w:val="center"/>
            <w:hideMark/>
          </w:tcPr>
          <w:p w14:paraId="07672481" w14:textId="77777777" w:rsidR="001C3289" w:rsidRPr="00511440" w:rsidRDefault="001C3289" w:rsidP="000B1358">
            <w:pPr>
              <w:pStyle w:val="Tabelleninhalt"/>
              <w:rPr>
                <w:lang w:eastAsia="de-DE"/>
              </w:rPr>
            </w:pPr>
            <w:r w:rsidRPr="00511440">
              <w:rPr>
                <w:lang w:eastAsia="de-DE"/>
              </w:rPr>
              <w:t>Bemerkung/Funktion</w:t>
            </w:r>
          </w:p>
        </w:tc>
      </w:tr>
      <w:tr w:rsidR="001C3289" w:rsidRPr="00511440" w14:paraId="15C5985B" w14:textId="77777777" w:rsidTr="00992AF9">
        <w:trPr>
          <w:tblCellSpacing w:w="15" w:type="dxa"/>
        </w:trPr>
        <w:tc>
          <w:tcPr>
            <w:tcW w:w="0" w:type="auto"/>
            <w:vAlign w:val="center"/>
            <w:hideMark/>
          </w:tcPr>
          <w:p w14:paraId="0B84245D" w14:textId="77777777" w:rsidR="001C3289" w:rsidRPr="00511440" w:rsidRDefault="001C3289" w:rsidP="000B1358">
            <w:pPr>
              <w:pStyle w:val="Tabelleninhalt"/>
              <w:rPr>
                <w:lang w:eastAsia="de-DE"/>
              </w:rPr>
            </w:pPr>
            <w:r w:rsidRPr="00511440">
              <w:rPr>
                <w:lang w:eastAsia="de-DE"/>
              </w:rPr>
              <w:t>5.1 Einleitung</w:t>
            </w:r>
          </w:p>
        </w:tc>
        <w:tc>
          <w:tcPr>
            <w:tcW w:w="0" w:type="auto"/>
            <w:vAlign w:val="center"/>
            <w:hideMark/>
          </w:tcPr>
          <w:p w14:paraId="6773B6A9" w14:textId="77777777" w:rsidR="001C3289" w:rsidRPr="00511440" w:rsidRDefault="001C3289" w:rsidP="000B1358">
            <w:pPr>
              <w:pStyle w:val="Tabelleninhalt"/>
              <w:rPr>
                <w:lang w:eastAsia="de-DE"/>
              </w:rPr>
            </w:pPr>
            <w:r w:rsidRPr="00511440">
              <w:rPr>
                <w:lang w:eastAsia="de-DE"/>
              </w:rPr>
              <w:t>Schematische Übersicht der Forschungsfragen</w:t>
            </w:r>
          </w:p>
        </w:tc>
        <w:tc>
          <w:tcPr>
            <w:tcW w:w="0" w:type="auto"/>
            <w:vAlign w:val="center"/>
            <w:hideMark/>
          </w:tcPr>
          <w:p w14:paraId="5D33580B" w14:textId="77777777" w:rsidR="001C3289" w:rsidRPr="00511440" w:rsidRDefault="001C3289" w:rsidP="000B1358">
            <w:pPr>
              <w:pStyle w:val="Tabelleninhalt"/>
              <w:rPr>
                <w:lang w:eastAsia="de-DE"/>
              </w:rPr>
            </w:pPr>
            <w:r w:rsidRPr="00511440">
              <w:rPr>
                <w:lang w:eastAsia="de-DE"/>
              </w:rPr>
              <w:t>Zeigt die drei Leitfragen als Knotenpunkte eines konzeptuellen Forschungsnetzwerks.</w:t>
            </w:r>
          </w:p>
        </w:tc>
      </w:tr>
      <w:tr w:rsidR="001C3289" w:rsidRPr="00511440" w14:paraId="0C2F5C8E" w14:textId="77777777" w:rsidTr="00992AF9">
        <w:trPr>
          <w:tblCellSpacing w:w="15" w:type="dxa"/>
        </w:trPr>
        <w:tc>
          <w:tcPr>
            <w:tcW w:w="0" w:type="auto"/>
            <w:vAlign w:val="center"/>
            <w:hideMark/>
          </w:tcPr>
          <w:p w14:paraId="5872A649" w14:textId="77777777" w:rsidR="001C3289" w:rsidRPr="00511440" w:rsidRDefault="001C3289" w:rsidP="000B1358">
            <w:pPr>
              <w:pStyle w:val="Tabelleninhalt"/>
              <w:rPr>
                <w:lang w:eastAsia="de-DE"/>
              </w:rPr>
            </w:pPr>
            <w:r w:rsidRPr="00511440">
              <w:rPr>
                <w:lang w:eastAsia="de-DE"/>
              </w:rPr>
              <w:t>5.2.1 Funktionaler Beweis</w:t>
            </w:r>
          </w:p>
        </w:tc>
        <w:tc>
          <w:tcPr>
            <w:tcW w:w="0" w:type="auto"/>
            <w:vAlign w:val="center"/>
            <w:hideMark/>
          </w:tcPr>
          <w:p w14:paraId="41622672" w14:textId="77777777" w:rsidR="001C3289" w:rsidRPr="00511440" w:rsidRDefault="001C3289" w:rsidP="000B1358">
            <w:pPr>
              <w:pStyle w:val="Tabelleninhalt"/>
              <w:rPr>
                <w:lang w:eastAsia="de-DE"/>
              </w:rPr>
            </w:pPr>
            <w:r w:rsidRPr="00511440">
              <w:rPr>
                <w:lang w:eastAsia="de-DE"/>
              </w:rPr>
              <w:t>Diagramm: Klassisches Korrespondenzmodell vs. funktionaler Beweisansatz</w:t>
            </w:r>
          </w:p>
        </w:tc>
        <w:tc>
          <w:tcPr>
            <w:tcW w:w="0" w:type="auto"/>
            <w:vAlign w:val="center"/>
            <w:hideMark/>
          </w:tcPr>
          <w:p w14:paraId="6D69BAC7" w14:textId="77777777" w:rsidR="001C3289" w:rsidRPr="00511440" w:rsidRDefault="001C3289" w:rsidP="000B1358">
            <w:pPr>
              <w:pStyle w:val="Tabelleninhalt"/>
              <w:rPr>
                <w:lang w:eastAsia="de-DE"/>
              </w:rPr>
            </w:pPr>
            <w:r w:rsidRPr="00511440">
              <w:rPr>
                <w:lang w:eastAsia="de-DE"/>
              </w:rPr>
              <w:t>Visualisiert den Unterschied zwischen „Objektiver Realität“ und „Relationaler Kohärenz“.</w:t>
            </w:r>
          </w:p>
        </w:tc>
      </w:tr>
      <w:tr w:rsidR="001C3289" w:rsidRPr="00511440" w14:paraId="20879679" w14:textId="77777777" w:rsidTr="00992AF9">
        <w:trPr>
          <w:tblCellSpacing w:w="15" w:type="dxa"/>
        </w:trPr>
        <w:tc>
          <w:tcPr>
            <w:tcW w:w="0" w:type="auto"/>
            <w:vAlign w:val="center"/>
            <w:hideMark/>
          </w:tcPr>
          <w:p w14:paraId="0FFE7B98" w14:textId="77777777" w:rsidR="001C3289" w:rsidRPr="00511440" w:rsidRDefault="001C3289" w:rsidP="000B1358">
            <w:pPr>
              <w:pStyle w:val="Tabelleninhalt"/>
              <w:rPr>
                <w:lang w:eastAsia="de-DE"/>
              </w:rPr>
            </w:pPr>
            <w:r w:rsidRPr="00511440">
              <w:rPr>
                <w:lang w:eastAsia="de-DE"/>
              </w:rPr>
              <w:t>5.2.2 Zuweisungslogik</w:t>
            </w:r>
          </w:p>
        </w:tc>
        <w:tc>
          <w:tcPr>
            <w:tcW w:w="0" w:type="auto"/>
            <w:vAlign w:val="center"/>
            <w:hideMark/>
          </w:tcPr>
          <w:p w14:paraId="30D83F0D" w14:textId="77777777" w:rsidR="001C3289" w:rsidRPr="00511440" w:rsidRDefault="001C3289" w:rsidP="000B1358">
            <w:pPr>
              <w:pStyle w:val="Tabelleninhalt"/>
              <w:rPr>
                <w:lang w:eastAsia="de-DE"/>
              </w:rPr>
            </w:pPr>
            <w:r w:rsidRPr="00511440">
              <w:rPr>
                <w:lang w:eastAsia="de-DE"/>
              </w:rPr>
              <w:t>Funktionsgraph oder morphisches Netz zur Illustration relationaler Strukturen</w:t>
            </w:r>
          </w:p>
        </w:tc>
        <w:tc>
          <w:tcPr>
            <w:tcW w:w="0" w:type="auto"/>
            <w:vAlign w:val="center"/>
            <w:hideMark/>
          </w:tcPr>
          <w:p w14:paraId="72F79E7A" w14:textId="77777777" w:rsidR="001C3289" w:rsidRPr="00511440" w:rsidRDefault="001C3289" w:rsidP="000B1358">
            <w:pPr>
              <w:pStyle w:val="Tabelleninhalt"/>
              <w:rPr>
                <w:lang w:eastAsia="de-DE"/>
              </w:rPr>
            </w:pPr>
            <w:r w:rsidRPr="00511440">
              <w:rPr>
                <w:lang w:eastAsia="de-DE"/>
              </w:rPr>
              <w:t>Zeigt, wie sich funktionale Übergänge in einem Zuweisungssystem darstellen lassen.</w:t>
            </w:r>
          </w:p>
        </w:tc>
      </w:tr>
      <w:tr w:rsidR="001C3289" w:rsidRPr="00511440" w14:paraId="20FC470E" w14:textId="77777777" w:rsidTr="00992AF9">
        <w:trPr>
          <w:tblCellSpacing w:w="15" w:type="dxa"/>
        </w:trPr>
        <w:tc>
          <w:tcPr>
            <w:tcW w:w="0" w:type="auto"/>
            <w:vAlign w:val="center"/>
            <w:hideMark/>
          </w:tcPr>
          <w:p w14:paraId="0CA46605" w14:textId="77777777" w:rsidR="001C3289" w:rsidRPr="00511440" w:rsidRDefault="001C3289" w:rsidP="000B1358">
            <w:pPr>
              <w:pStyle w:val="Tabelleninhalt"/>
              <w:rPr>
                <w:lang w:eastAsia="de-DE"/>
              </w:rPr>
            </w:pPr>
            <w:r w:rsidRPr="00511440">
              <w:rPr>
                <w:lang w:eastAsia="de-DE"/>
              </w:rPr>
              <w:t>5.2.3 Beobachterabhängigkeit</w:t>
            </w:r>
          </w:p>
        </w:tc>
        <w:tc>
          <w:tcPr>
            <w:tcW w:w="0" w:type="auto"/>
            <w:vAlign w:val="center"/>
            <w:hideMark/>
          </w:tcPr>
          <w:p w14:paraId="19EA7AED" w14:textId="77777777" w:rsidR="001C3289" w:rsidRPr="00511440" w:rsidRDefault="001C3289" w:rsidP="000B1358">
            <w:pPr>
              <w:pStyle w:val="Tabelleninhalt"/>
              <w:rPr>
                <w:lang w:eastAsia="de-DE"/>
              </w:rPr>
            </w:pPr>
            <w:r w:rsidRPr="00511440">
              <w:rPr>
                <w:lang w:eastAsia="de-DE"/>
              </w:rPr>
              <w:t>Schaubild: Beobachter als Teil des Modells (z. B. Zirkeldiagramm mit Beobachterposition)</w:t>
            </w:r>
          </w:p>
        </w:tc>
        <w:tc>
          <w:tcPr>
            <w:tcW w:w="0" w:type="auto"/>
            <w:vAlign w:val="center"/>
            <w:hideMark/>
          </w:tcPr>
          <w:p w14:paraId="537A96E9" w14:textId="603AD239" w:rsidR="001C3289" w:rsidRPr="00511440" w:rsidRDefault="001C3289" w:rsidP="000B1358">
            <w:pPr>
              <w:pStyle w:val="Tabelleninhalt"/>
              <w:rPr>
                <w:lang w:eastAsia="de-DE"/>
              </w:rPr>
            </w:pPr>
            <w:r w:rsidRPr="00511440">
              <w:rPr>
                <w:lang w:eastAsia="de-DE"/>
              </w:rPr>
              <w:t xml:space="preserve">Macht die Beobachterrolle im </w:t>
            </w:r>
            <w:r w:rsidR="001E21D6">
              <w:rPr>
                <w:lang w:eastAsia="de-DE"/>
              </w:rPr>
              <w:t>FRZK</w:t>
            </w:r>
            <w:r w:rsidRPr="00511440">
              <w:rPr>
                <w:lang w:eastAsia="de-DE"/>
              </w:rPr>
              <w:t xml:space="preserve"> transparent.</w:t>
            </w:r>
          </w:p>
        </w:tc>
      </w:tr>
      <w:tr w:rsidR="001C3289" w:rsidRPr="00511440" w14:paraId="4ED9CB71" w14:textId="77777777" w:rsidTr="00992AF9">
        <w:trPr>
          <w:tblCellSpacing w:w="15" w:type="dxa"/>
        </w:trPr>
        <w:tc>
          <w:tcPr>
            <w:tcW w:w="0" w:type="auto"/>
            <w:vAlign w:val="center"/>
            <w:hideMark/>
          </w:tcPr>
          <w:p w14:paraId="093EB8D5" w14:textId="77777777" w:rsidR="001C3289" w:rsidRPr="00511440" w:rsidRDefault="001C3289" w:rsidP="000B1358">
            <w:pPr>
              <w:pStyle w:val="Tabelleninhalt"/>
              <w:rPr>
                <w:lang w:eastAsia="de-DE"/>
              </w:rPr>
            </w:pPr>
            <w:r w:rsidRPr="00511440">
              <w:rPr>
                <w:lang w:eastAsia="de-DE"/>
              </w:rPr>
              <w:t>5.3.4 Methodische Zugänge</w:t>
            </w:r>
          </w:p>
        </w:tc>
        <w:tc>
          <w:tcPr>
            <w:tcW w:w="0" w:type="auto"/>
            <w:vAlign w:val="center"/>
            <w:hideMark/>
          </w:tcPr>
          <w:p w14:paraId="46458790" w14:textId="77777777" w:rsidR="001C3289" w:rsidRPr="00511440" w:rsidRDefault="001C3289" w:rsidP="000B1358">
            <w:pPr>
              <w:pStyle w:val="Tabelleninhalt"/>
              <w:rPr>
                <w:lang w:eastAsia="de-DE"/>
              </w:rPr>
            </w:pPr>
            <w:r w:rsidRPr="00511440">
              <w:rPr>
                <w:lang w:eastAsia="de-DE"/>
              </w:rPr>
              <w:t>Tabelle oder Flussdiagramm: Vergleich qualitativer, quantitativer und reflexiver Methoden</w:t>
            </w:r>
          </w:p>
        </w:tc>
        <w:tc>
          <w:tcPr>
            <w:tcW w:w="0" w:type="auto"/>
            <w:vAlign w:val="center"/>
            <w:hideMark/>
          </w:tcPr>
          <w:p w14:paraId="746E8463" w14:textId="4CCEEACB" w:rsidR="001C3289" w:rsidRPr="00511440" w:rsidRDefault="001C3289" w:rsidP="000B1358">
            <w:pPr>
              <w:pStyle w:val="Tabelleninhalt"/>
              <w:rPr>
                <w:lang w:eastAsia="de-DE"/>
              </w:rPr>
            </w:pPr>
            <w:r w:rsidRPr="00511440">
              <w:rPr>
                <w:lang w:eastAsia="de-DE"/>
              </w:rPr>
              <w:t xml:space="preserve">Verdeutlicht das methodische Pluralitätsprinzip des </w:t>
            </w:r>
            <w:r w:rsidR="001E21D6">
              <w:rPr>
                <w:lang w:eastAsia="de-DE"/>
              </w:rPr>
              <w:t>FRZK</w:t>
            </w:r>
            <w:r w:rsidRPr="00511440">
              <w:rPr>
                <w:lang w:eastAsia="de-DE"/>
              </w:rPr>
              <w:t>.</w:t>
            </w:r>
          </w:p>
        </w:tc>
      </w:tr>
      <w:tr w:rsidR="001C3289" w:rsidRPr="00511440" w14:paraId="7407F613" w14:textId="77777777" w:rsidTr="00992AF9">
        <w:trPr>
          <w:tblCellSpacing w:w="15" w:type="dxa"/>
        </w:trPr>
        <w:tc>
          <w:tcPr>
            <w:tcW w:w="0" w:type="auto"/>
            <w:vAlign w:val="center"/>
            <w:hideMark/>
          </w:tcPr>
          <w:p w14:paraId="145E8319" w14:textId="77777777" w:rsidR="001C3289" w:rsidRPr="00511440" w:rsidRDefault="001C3289" w:rsidP="000B1358">
            <w:pPr>
              <w:pStyle w:val="Tabelleninhalt"/>
              <w:rPr>
                <w:lang w:eastAsia="de-DE"/>
              </w:rPr>
            </w:pPr>
            <w:r w:rsidRPr="00511440">
              <w:rPr>
                <w:lang w:eastAsia="de-DE"/>
              </w:rPr>
              <w:t>5.4 Forschungsfelder</w:t>
            </w:r>
          </w:p>
        </w:tc>
        <w:tc>
          <w:tcPr>
            <w:tcW w:w="0" w:type="auto"/>
            <w:vAlign w:val="center"/>
            <w:hideMark/>
          </w:tcPr>
          <w:p w14:paraId="08D80FC8" w14:textId="77777777" w:rsidR="001C3289" w:rsidRPr="00511440" w:rsidRDefault="001C3289" w:rsidP="000B1358">
            <w:pPr>
              <w:pStyle w:val="Tabelleninhalt"/>
              <w:rPr>
                <w:lang w:eastAsia="de-DE"/>
              </w:rPr>
            </w:pPr>
            <w:r w:rsidRPr="00511440">
              <w:rPr>
                <w:lang w:eastAsia="de-DE"/>
              </w:rPr>
              <w:t>Vernetzungsdiagramm: Disziplinübergreifende Validierungsfelder (Physik, KI, Didaktik etc.)</w:t>
            </w:r>
          </w:p>
        </w:tc>
        <w:tc>
          <w:tcPr>
            <w:tcW w:w="0" w:type="auto"/>
            <w:vAlign w:val="center"/>
            <w:hideMark/>
          </w:tcPr>
          <w:p w14:paraId="63E219E3" w14:textId="0B880BBB" w:rsidR="001C3289" w:rsidRPr="00511440" w:rsidRDefault="001C3289" w:rsidP="000B1358">
            <w:pPr>
              <w:pStyle w:val="Tabelleninhalt"/>
              <w:rPr>
                <w:lang w:eastAsia="de-DE"/>
              </w:rPr>
            </w:pPr>
            <w:r w:rsidRPr="00511440">
              <w:rPr>
                <w:lang w:eastAsia="de-DE"/>
              </w:rPr>
              <w:t xml:space="preserve">Zeigt die interdisziplinäre Anschlussfähigkeit des </w:t>
            </w:r>
            <w:r w:rsidR="001E21D6">
              <w:rPr>
                <w:lang w:eastAsia="de-DE"/>
              </w:rPr>
              <w:t>FRZK</w:t>
            </w:r>
            <w:r w:rsidRPr="00511440">
              <w:rPr>
                <w:lang w:eastAsia="de-DE"/>
              </w:rPr>
              <w:t>.</w:t>
            </w:r>
          </w:p>
        </w:tc>
      </w:tr>
      <w:tr w:rsidR="001C3289" w:rsidRPr="00511440" w14:paraId="51FEBDCA" w14:textId="77777777" w:rsidTr="00992AF9">
        <w:trPr>
          <w:tblCellSpacing w:w="15" w:type="dxa"/>
        </w:trPr>
        <w:tc>
          <w:tcPr>
            <w:tcW w:w="0" w:type="auto"/>
            <w:vAlign w:val="center"/>
            <w:hideMark/>
          </w:tcPr>
          <w:p w14:paraId="70782438" w14:textId="77777777" w:rsidR="001C3289" w:rsidRPr="00511440" w:rsidRDefault="001C3289" w:rsidP="000B1358">
            <w:pPr>
              <w:pStyle w:val="Tabelleninhalt"/>
              <w:rPr>
                <w:lang w:eastAsia="de-DE"/>
              </w:rPr>
            </w:pPr>
            <w:r w:rsidRPr="00511440">
              <w:rPr>
                <w:lang w:eastAsia="de-DE"/>
              </w:rPr>
              <w:t>5.4.4 Validierungslogik</w:t>
            </w:r>
          </w:p>
        </w:tc>
        <w:tc>
          <w:tcPr>
            <w:tcW w:w="0" w:type="auto"/>
            <w:vAlign w:val="center"/>
            <w:hideMark/>
          </w:tcPr>
          <w:p w14:paraId="4C127925" w14:textId="37B2014A" w:rsidR="001C3289" w:rsidRPr="00511440" w:rsidRDefault="001C3289" w:rsidP="000B1358">
            <w:pPr>
              <w:pStyle w:val="Tabelleninhalt"/>
              <w:rPr>
                <w:lang w:eastAsia="de-DE"/>
              </w:rPr>
            </w:pPr>
            <w:r w:rsidRPr="00511440">
              <w:rPr>
                <w:lang w:eastAsia="de-DE"/>
              </w:rPr>
              <w:t xml:space="preserve">Flowchart: Reflexiver Validierungsprozess im </w:t>
            </w:r>
            <w:r w:rsidR="001E21D6">
              <w:rPr>
                <w:lang w:eastAsia="de-DE"/>
              </w:rPr>
              <w:t>FRZK</w:t>
            </w:r>
            <w:r w:rsidRPr="00511440">
              <w:rPr>
                <w:lang w:eastAsia="de-DE"/>
              </w:rPr>
              <w:t xml:space="preserve"> (z. B. „Kohärenzprüfung statt Korrelation“)</w:t>
            </w:r>
          </w:p>
        </w:tc>
        <w:tc>
          <w:tcPr>
            <w:tcW w:w="0" w:type="auto"/>
            <w:vAlign w:val="center"/>
            <w:hideMark/>
          </w:tcPr>
          <w:p w14:paraId="7BBE6391" w14:textId="77777777" w:rsidR="001C3289" w:rsidRPr="00511440" w:rsidRDefault="001C3289" w:rsidP="000B1358">
            <w:pPr>
              <w:pStyle w:val="Tabelleninhalt"/>
              <w:rPr>
                <w:lang w:eastAsia="de-DE"/>
              </w:rPr>
            </w:pPr>
            <w:r w:rsidRPr="00511440">
              <w:rPr>
                <w:lang w:eastAsia="de-DE"/>
              </w:rPr>
              <w:t>Veranschaulicht das postklassische Verständnis von Validität.</w:t>
            </w:r>
          </w:p>
        </w:tc>
      </w:tr>
      <w:tr w:rsidR="001C3289" w:rsidRPr="00511440" w14:paraId="73F37276" w14:textId="77777777" w:rsidTr="00992AF9">
        <w:trPr>
          <w:tblCellSpacing w:w="15" w:type="dxa"/>
        </w:trPr>
        <w:tc>
          <w:tcPr>
            <w:tcW w:w="0" w:type="auto"/>
            <w:vAlign w:val="center"/>
            <w:hideMark/>
          </w:tcPr>
          <w:p w14:paraId="34C3E200" w14:textId="77777777" w:rsidR="001C3289" w:rsidRPr="00511440" w:rsidRDefault="001C3289" w:rsidP="000B1358">
            <w:pPr>
              <w:pStyle w:val="Tabelleninhalt"/>
              <w:rPr>
                <w:lang w:eastAsia="de-DE"/>
              </w:rPr>
            </w:pPr>
            <w:r w:rsidRPr="00511440">
              <w:rPr>
                <w:lang w:eastAsia="de-DE"/>
              </w:rPr>
              <w:t>5.5 Erwartete Ergebnisse</w:t>
            </w:r>
          </w:p>
        </w:tc>
        <w:tc>
          <w:tcPr>
            <w:tcW w:w="0" w:type="auto"/>
            <w:vAlign w:val="center"/>
            <w:hideMark/>
          </w:tcPr>
          <w:p w14:paraId="59C1D7E4" w14:textId="77777777" w:rsidR="001C3289" w:rsidRPr="00511440" w:rsidRDefault="001C3289" w:rsidP="000B1358">
            <w:pPr>
              <w:pStyle w:val="Tabelleninhalt"/>
              <w:rPr>
                <w:lang w:eastAsia="de-DE"/>
              </w:rPr>
            </w:pPr>
            <w:r w:rsidRPr="00511440">
              <w:rPr>
                <w:lang w:eastAsia="de-DE"/>
              </w:rPr>
              <w:t>Übersicht: Potenzielle Ergebnisse (z. B. Emergenz, Kohärenz, Inkohärenz)</w:t>
            </w:r>
          </w:p>
        </w:tc>
        <w:tc>
          <w:tcPr>
            <w:tcW w:w="0" w:type="auto"/>
            <w:vAlign w:val="center"/>
            <w:hideMark/>
          </w:tcPr>
          <w:p w14:paraId="7C842103" w14:textId="77777777" w:rsidR="001C3289" w:rsidRPr="00511440" w:rsidRDefault="001C3289" w:rsidP="000B1358">
            <w:pPr>
              <w:pStyle w:val="Tabelleninhalt"/>
              <w:rPr>
                <w:lang w:eastAsia="de-DE"/>
              </w:rPr>
            </w:pPr>
            <w:r w:rsidRPr="00511440">
              <w:rPr>
                <w:lang w:eastAsia="de-DE"/>
              </w:rPr>
              <w:t>Klassifiziert mögliche empirische Befunde in funktionalen Modellen.</w:t>
            </w:r>
          </w:p>
        </w:tc>
      </w:tr>
    </w:tbl>
    <w:p w14:paraId="5D7B1B2B" w14:textId="77777777" w:rsidR="001C3289" w:rsidRDefault="001C3289" w:rsidP="001C3289"/>
    <w:p w14:paraId="4CA8F6B0"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3291"/>
    <w:multiLevelType w:val="multilevel"/>
    <w:tmpl w:val="2032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9A5A1D"/>
    <w:multiLevelType w:val="multilevel"/>
    <w:tmpl w:val="BBC8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825F6"/>
    <w:multiLevelType w:val="multilevel"/>
    <w:tmpl w:val="F08C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363E6"/>
    <w:multiLevelType w:val="multilevel"/>
    <w:tmpl w:val="88FE0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89173A"/>
    <w:multiLevelType w:val="multilevel"/>
    <w:tmpl w:val="6ADE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E538A"/>
    <w:multiLevelType w:val="multilevel"/>
    <w:tmpl w:val="5B18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A69CD"/>
    <w:multiLevelType w:val="multilevel"/>
    <w:tmpl w:val="433E1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9845E8"/>
    <w:multiLevelType w:val="multilevel"/>
    <w:tmpl w:val="0F04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D5E1E"/>
    <w:multiLevelType w:val="multilevel"/>
    <w:tmpl w:val="D644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858B8"/>
    <w:multiLevelType w:val="multilevel"/>
    <w:tmpl w:val="BD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00BE6"/>
    <w:multiLevelType w:val="multilevel"/>
    <w:tmpl w:val="6D8A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AC6897"/>
    <w:multiLevelType w:val="multilevel"/>
    <w:tmpl w:val="615E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11086E"/>
    <w:multiLevelType w:val="hybridMultilevel"/>
    <w:tmpl w:val="E9806C88"/>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8B877C9"/>
    <w:multiLevelType w:val="hybridMultilevel"/>
    <w:tmpl w:val="7A2C7756"/>
    <w:lvl w:ilvl="0" w:tplc="04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4AEA32EB"/>
    <w:multiLevelType w:val="multilevel"/>
    <w:tmpl w:val="38BA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6E5B5A"/>
    <w:multiLevelType w:val="multilevel"/>
    <w:tmpl w:val="B3C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A0297"/>
    <w:multiLevelType w:val="multilevel"/>
    <w:tmpl w:val="119A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307F9"/>
    <w:multiLevelType w:val="multilevel"/>
    <w:tmpl w:val="1E98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DF4898"/>
    <w:multiLevelType w:val="multilevel"/>
    <w:tmpl w:val="421E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26900"/>
    <w:multiLevelType w:val="multilevel"/>
    <w:tmpl w:val="066C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850C9D"/>
    <w:multiLevelType w:val="multilevel"/>
    <w:tmpl w:val="1294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C606DB"/>
    <w:multiLevelType w:val="multilevel"/>
    <w:tmpl w:val="429CB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637396"/>
    <w:multiLevelType w:val="multilevel"/>
    <w:tmpl w:val="1EAC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B070F"/>
    <w:multiLevelType w:val="multilevel"/>
    <w:tmpl w:val="F4F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E1B3C"/>
    <w:multiLevelType w:val="multilevel"/>
    <w:tmpl w:val="FE6C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B64801"/>
    <w:multiLevelType w:val="multilevel"/>
    <w:tmpl w:val="1758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E73B4"/>
    <w:multiLevelType w:val="multilevel"/>
    <w:tmpl w:val="296C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FF7868"/>
    <w:multiLevelType w:val="multilevel"/>
    <w:tmpl w:val="FC8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4"/>
  </w:num>
  <w:num w:numId="4">
    <w:abstractNumId w:val="25"/>
  </w:num>
  <w:num w:numId="5">
    <w:abstractNumId w:val="27"/>
  </w:num>
  <w:num w:numId="6">
    <w:abstractNumId w:val="18"/>
  </w:num>
  <w:num w:numId="7">
    <w:abstractNumId w:val="3"/>
  </w:num>
  <w:num w:numId="8">
    <w:abstractNumId w:val="9"/>
  </w:num>
  <w:num w:numId="9">
    <w:abstractNumId w:val="21"/>
  </w:num>
  <w:num w:numId="10">
    <w:abstractNumId w:val="23"/>
  </w:num>
  <w:num w:numId="11">
    <w:abstractNumId w:val="26"/>
  </w:num>
  <w:num w:numId="12">
    <w:abstractNumId w:val="24"/>
  </w:num>
  <w:num w:numId="13">
    <w:abstractNumId w:val="10"/>
  </w:num>
  <w:num w:numId="14">
    <w:abstractNumId w:val="7"/>
  </w:num>
  <w:num w:numId="15">
    <w:abstractNumId w:val="28"/>
  </w:num>
  <w:num w:numId="16">
    <w:abstractNumId w:val="13"/>
  </w:num>
  <w:num w:numId="17">
    <w:abstractNumId w:val="22"/>
  </w:num>
  <w:num w:numId="18">
    <w:abstractNumId w:val="2"/>
  </w:num>
  <w:num w:numId="19">
    <w:abstractNumId w:val="6"/>
  </w:num>
  <w:num w:numId="20">
    <w:abstractNumId w:val="19"/>
  </w:num>
  <w:num w:numId="21">
    <w:abstractNumId w:val="17"/>
  </w:num>
  <w:num w:numId="22">
    <w:abstractNumId w:val="11"/>
  </w:num>
  <w:num w:numId="23">
    <w:abstractNumId w:val="14"/>
  </w:num>
  <w:num w:numId="24">
    <w:abstractNumId w:val="8"/>
  </w:num>
  <w:num w:numId="25">
    <w:abstractNumId w:val="12"/>
  </w:num>
  <w:num w:numId="26">
    <w:abstractNumId w:val="20"/>
  </w:num>
  <w:num w:numId="27">
    <w:abstractNumId w:val="16"/>
  </w:num>
  <w:num w:numId="28">
    <w:abstractNumId w:val="15"/>
  </w:num>
  <w:num w:numId="2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89"/>
    <w:rsid w:val="000467F2"/>
    <w:rsid w:val="00060CD3"/>
    <w:rsid w:val="00082214"/>
    <w:rsid w:val="000B1358"/>
    <w:rsid w:val="000C55CF"/>
    <w:rsid w:val="00106528"/>
    <w:rsid w:val="001830F2"/>
    <w:rsid w:val="0019229D"/>
    <w:rsid w:val="001C3289"/>
    <w:rsid w:val="001E21D6"/>
    <w:rsid w:val="002800F6"/>
    <w:rsid w:val="00433ECB"/>
    <w:rsid w:val="00436FC4"/>
    <w:rsid w:val="00500020"/>
    <w:rsid w:val="005454E6"/>
    <w:rsid w:val="00572895"/>
    <w:rsid w:val="005B5EFD"/>
    <w:rsid w:val="006016DC"/>
    <w:rsid w:val="006463F2"/>
    <w:rsid w:val="007B7DE7"/>
    <w:rsid w:val="007E333F"/>
    <w:rsid w:val="007E4DB2"/>
    <w:rsid w:val="00822A07"/>
    <w:rsid w:val="00875D6D"/>
    <w:rsid w:val="008871CF"/>
    <w:rsid w:val="008B0C43"/>
    <w:rsid w:val="008C4935"/>
    <w:rsid w:val="009032D7"/>
    <w:rsid w:val="0097375A"/>
    <w:rsid w:val="00A166E6"/>
    <w:rsid w:val="00A307C9"/>
    <w:rsid w:val="00AA4222"/>
    <w:rsid w:val="00AE1541"/>
    <w:rsid w:val="00AE5FF3"/>
    <w:rsid w:val="00AF6392"/>
    <w:rsid w:val="00B53EE0"/>
    <w:rsid w:val="00B873C2"/>
    <w:rsid w:val="00BA0EF4"/>
    <w:rsid w:val="00BA664A"/>
    <w:rsid w:val="00BD2758"/>
    <w:rsid w:val="00CD2089"/>
    <w:rsid w:val="00CE27E9"/>
    <w:rsid w:val="00D27A33"/>
    <w:rsid w:val="00D33BDA"/>
    <w:rsid w:val="00D44FE7"/>
    <w:rsid w:val="00D542C6"/>
    <w:rsid w:val="00D74403"/>
    <w:rsid w:val="00D80CC8"/>
    <w:rsid w:val="00E6450A"/>
    <w:rsid w:val="00EA1CC2"/>
    <w:rsid w:val="00EC35D8"/>
    <w:rsid w:val="00EF0F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E98E3"/>
  <w15:chartTrackingRefBased/>
  <w15:docId w15:val="{80EAC102-27A7-46DF-848B-DC8D1B913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C3289"/>
    <w:pPr>
      <w:spacing w:after="160" w:line="259" w:lineRule="auto"/>
    </w:pPr>
    <w:rPr>
      <w:sz w:val="22"/>
      <w:szCs w:val="22"/>
      <w:lang w:eastAsia="en-US"/>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eastAsia="Times New Roman"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after="120"/>
      <w:outlineLvl w:val="2"/>
    </w:pPr>
    <w:rPr>
      <w:rFonts w:ascii="Calibri Light" w:eastAsia="Times New Roman" w:hAnsi="Calibri Light"/>
      <w:b/>
      <w:szCs w:val="24"/>
    </w:rPr>
  </w:style>
  <w:style w:type="paragraph" w:styleId="berschrift4">
    <w:name w:val="heading 4"/>
    <w:basedOn w:val="Standard"/>
    <w:next w:val="Standard"/>
    <w:link w:val="berschrift4Zchn"/>
    <w:uiPriority w:val="9"/>
    <w:unhideWhenUsed/>
    <w:qFormat/>
    <w:rsid w:val="001E21D6"/>
    <w:pPr>
      <w:keepNext/>
      <w:keepLines/>
      <w:spacing w:before="40" w:after="0"/>
      <w:outlineLvl w:val="3"/>
    </w:pPr>
    <w:rPr>
      <w:rFonts w:cs="Calibri"/>
      <w:i/>
      <w:szCs w:val="24"/>
      <w:lang w:eastAsia="de-DE"/>
    </w:rPr>
  </w:style>
  <w:style w:type="paragraph" w:styleId="berschrift5">
    <w:name w:val="heading 5"/>
    <w:basedOn w:val="Standard"/>
    <w:next w:val="Standard"/>
    <w:link w:val="berschrift5Zchn"/>
    <w:uiPriority w:val="9"/>
    <w:unhideWhenUsed/>
    <w:rsid w:val="00A307C9"/>
    <w:pPr>
      <w:keepNext/>
      <w:keepLines/>
      <w:spacing w:before="220" w:after="40"/>
      <w:outlineLvl w:val="4"/>
    </w:pPr>
    <w:rPr>
      <w:rFonts w:cs="Calibri"/>
      <w:b/>
      <w:lang w:eastAsia="de-DE"/>
    </w:rPr>
  </w:style>
  <w:style w:type="paragraph" w:styleId="berschrift6">
    <w:name w:val="heading 6"/>
    <w:basedOn w:val="Standard"/>
    <w:next w:val="Standard"/>
    <w:link w:val="berschrift6Zchn"/>
    <w:uiPriority w:val="9"/>
    <w:semiHidden/>
    <w:unhideWhenUsed/>
    <w:rsid w:val="00A307C9"/>
    <w:pPr>
      <w:keepNext/>
      <w:keepLines/>
      <w:spacing w:before="200" w:after="40"/>
      <w:outlineLvl w:val="5"/>
    </w:pPr>
    <w:rPr>
      <w:rFonts w:cs="Calibri"/>
      <w:b/>
      <w:sz w:val="20"/>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1E21D6"/>
    <w:rPr>
      <w:rFonts w:cs="Calibri"/>
      <w:i/>
      <w:sz w:val="22"/>
      <w:szCs w:val="24"/>
    </w:rPr>
  </w:style>
  <w:style w:type="character" w:customStyle="1" w:styleId="berschrift5Zchn">
    <w:name w:val="Überschrift 5 Zchn"/>
    <w:link w:val="berschrift5"/>
    <w:uiPriority w:val="9"/>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A307C9"/>
    <w:pPr>
      <w:keepNext/>
      <w:keepLines/>
      <w:spacing w:before="480" w:after="120"/>
    </w:pPr>
    <w:rPr>
      <w:rFonts w:cs="Calibri"/>
      <w:b/>
      <w:sz w:val="72"/>
      <w:szCs w:val="72"/>
      <w:lang w:eastAsia="de-DE"/>
    </w:rPr>
  </w:style>
  <w:style w:type="character" w:customStyle="1" w:styleId="TitelZchn">
    <w:name w:val="Titel Zchn"/>
    <w:link w:val="Titel"/>
    <w:uiPriority w:val="10"/>
    <w:rsid w:val="00A307C9"/>
    <w:rPr>
      <w:rFonts w:ascii="Calibri" w:eastAsia="Calibri" w:hAnsi="Calibri" w:cs="Calibri"/>
      <w:b/>
      <w:sz w:val="72"/>
      <w:szCs w:val="72"/>
      <w:lang w:eastAsia="de-DE"/>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lang w:eastAsia="de-DE"/>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spacing w:after="120" w:line="240" w:lineRule="auto"/>
      <w:ind w:left="714" w:hanging="357"/>
    </w:pPr>
    <w:rPr>
      <w:rFonts w:cs="Calibri"/>
      <w:szCs w:val="24"/>
      <w:lang w:eastAsia="de-DE"/>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uiPriority w:val="29"/>
    <w:qFormat/>
    <w:rsid w:val="000467F2"/>
    <w:pPr>
      <w:tabs>
        <w:tab w:val="left" w:pos="1134"/>
      </w:tabs>
      <w:spacing w:before="200"/>
      <w:ind w:left="1134" w:right="1134"/>
    </w:pPr>
    <w:rPr>
      <w:i/>
      <w:iCs/>
      <w:color w:val="404040"/>
    </w:rPr>
  </w:style>
  <w:style w:type="character" w:customStyle="1" w:styleId="ZitatZchn">
    <w:name w:val="Zitat Zchn"/>
    <w:link w:val="Zitat"/>
    <w:uiPriority w:val="29"/>
    <w:rsid w:val="000467F2"/>
    <w:rPr>
      <w:i/>
      <w:iCs/>
      <w:color w:val="404040"/>
      <w:sz w:val="24"/>
    </w:rPr>
  </w:style>
  <w:style w:type="paragraph" w:customStyle="1" w:styleId="Abbildungsname">
    <w:name w:val="Abbildungsname"/>
    <w:basedOn w:val="Standard"/>
    <w:link w:val="AbbildungsnameZchn"/>
    <w:qFormat/>
    <w:rsid w:val="000467F2"/>
    <w:pPr>
      <w:jc w:val="center"/>
    </w:pPr>
    <w:rPr>
      <w:i/>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0467F2"/>
    <w:rPr>
      <w:i/>
      <w:sz w:val="24"/>
    </w:rPr>
  </w:style>
  <w:style w:type="paragraph" w:styleId="StandardWeb">
    <w:name w:val="Normal (Web)"/>
    <w:basedOn w:val="Standard"/>
    <w:uiPriority w:val="99"/>
    <w:semiHidden/>
    <w:unhideWhenUsed/>
    <w:rsid w:val="001830F2"/>
    <w:pPr>
      <w:spacing w:before="100" w:beforeAutospacing="1" w:after="100" w:afterAutospacing="1" w:line="240" w:lineRule="auto"/>
    </w:pPr>
    <w:rPr>
      <w:rFonts w:ascii="Times New Roman" w:eastAsia="Times New Roman" w:hAnsi="Times New Roman"/>
      <w:szCs w:val="24"/>
      <w:lang w:eastAsia="de-DE"/>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character" w:styleId="Hervorhebung">
    <w:name w:val="Emphasis"/>
    <w:uiPriority w:val="20"/>
    <w:qFormat/>
    <w:rsid w:val="001C3289"/>
    <w:rPr>
      <w:i/>
      <w:iCs/>
    </w:rPr>
  </w:style>
  <w:style w:type="character" w:customStyle="1" w:styleId="katex-mathml">
    <w:name w:val="katex-mathml"/>
    <w:basedOn w:val="Absatz-Standardschriftart"/>
    <w:rsid w:val="001C3289"/>
  </w:style>
  <w:style w:type="character" w:customStyle="1" w:styleId="mord">
    <w:name w:val="mord"/>
    <w:basedOn w:val="Absatz-Standardschriftart"/>
    <w:rsid w:val="001C3289"/>
  </w:style>
  <w:style w:type="character" w:customStyle="1" w:styleId="vlist-s">
    <w:name w:val="vlist-s"/>
    <w:basedOn w:val="Absatz-Standardschriftart"/>
    <w:rsid w:val="001C3289"/>
  </w:style>
  <w:style w:type="character" w:customStyle="1" w:styleId="mopen">
    <w:name w:val="mopen"/>
    <w:basedOn w:val="Absatz-Standardschriftart"/>
    <w:rsid w:val="001C3289"/>
  </w:style>
  <w:style w:type="character" w:customStyle="1" w:styleId="mclose">
    <w:name w:val="mclose"/>
    <w:basedOn w:val="Absatz-Standardschriftart"/>
    <w:rsid w:val="001C3289"/>
  </w:style>
  <w:style w:type="character" w:customStyle="1" w:styleId="mrel">
    <w:name w:val="mrel"/>
    <w:basedOn w:val="Absatz-Standardschriftart"/>
    <w:rsid w:val="001C3289"/>
  </w:style>
  <w:style w:type="character" w:customStyle="1" w:styleId="mbin">
    <w:name w:val="mbin"/>
    <w:basedOn w:val="Absatz-Standardschriftart"/>
    <w:rsid w:val="001C3289"/>
  </w:style>
  <w:style w:type="character" w:customStyle="1" w:styleId="mpunct">
    <w:name w:val="mpunct"/>
    <w:basedOn w:val="Absatz-Standardschriftart"/>
    <w:rsid w:val="001C3289"/>
  </w:style>
  <w:style w:type="character" w:customStyle="1" w:styleId="minner">
    <w:name w:val="minner"/>
    <w:basedOn w:val="Absatz-Standardschriftart"/>
    <w:rsid w:val="001C3289"/>
  </w:style>
  <w:style w:type="character" w:customStyle="1" w:styleId="katex-error">
    <w:name w:val="katex-error"/>
    <w:basedOn w:val="Absatz-Standardschriftart"/>
    <w:rsid w:val="001C3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6968">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55217532">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08630564">
      <w:bodyDiv w:val="1"/>
      <w:marLeft w:val="0"/>
      <w:marRight w:val="0"/>
      <w:marTop w:val="0"/>
      <w:marBottom w:val="0"/>
      <w:divBdr>
        <w:top w:val="none" w:sz="0" w:space="0" w:color="auto"/>
        <w:left w:val="none" w:sz="0" w:space="0" w:color="auto"/>
        <w:bottom w:val="none" w:sz="0" w:space="0" w:color="auto"/>
        <w:right w:val="none" w:sz="0" w:space="0" w:color="auto"/>
      </w:divBdr>
      <w:divsChild>
        <w:div w:id="1180852266">
          <w:marLeft w:val="0"/>
          <w:marRight w:val="0"/>
          <w:marTop w:val="0"/>
          <w:marBottom w:val="0"/>
          <w:divBdr>
            <w:top w:val="none" w:sz="0" w:space="0" w:color="auto"/>
            <w:left w:val="none" w:sz="0" w:space="0" w:color="auto"/>
            <w:bottom w:val="none" w:sz="0" w:space="0" w:color="auto"/>
            <w:right w:val="none" w:sz="0" w:space="0" w:color="auto"/>
          </w:divBdr>
          <w:divsChild>
            <w:div w:id="1518615718">
              <w:marLeft w:val="0"/>
              <w:marRight w:val="0"/>
              <w:marTop w:val="0"/>
              <w:marBottom w:val="0"/>
              <w:divBdr>
                <w:top w:val="none" w:sz="0" w:space="0" w:color="auto"/>
                <w:left w:val="none" w:sz="0" w:space="0" w:color="auto"/>
                <w:bottom w:val="none" w:sz="0" w:space="0" w:color="auto"/>
                <w:right w:val="none" w:sz="0" w:space="0" w:color="auto"/>
              </w:divBdr>
            </w:div>
          </w:divsChild>
        </w:div>
        <w:div w:id="16512493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912557">
      <w:bodyDiv w:val="1"/>
      <w:marLeft w:val="0"/>
      <w:marRight w:val="0"/>
      <w:marTop w:val="0"/>
      <w:marBottom w:val="0"/>
      <w:divBdr>
        <w:top w:val="none" w:sz="0" w:space="0" w:color="auto"/>
        <w:left w:val="none" w:sz="0" w:space="0" w:color="auto"/>
        <w:bottom w:val="none" w:sz="0" w:space="0" w:color="auto"/>
        <w:right w:val="none" w:sz="0" w:space="0" w:color="auto"/>
      </w:divBdr>
    </w:div>
    <w:div w:id="487746246">
      <w:bodyDiv w:val="1"/>
      <w:marLeft w:val="0"/>
      <w:marRight w:val="0"/>
      <w:marTop w:val="0"/>
      <w:marBottom w:val="0"/>
      <w:divBdr>
        <w:top w:val="none" w:sz="0" w:space="0" w:color="auto"/>
        <w:left w:val="none" w:sz="0" w:space="0" w:color="auto"/>
        <w:bottom w:val="none" w:sz="0" w:space="0" w:color="auto"/>
        <w:right w:val="none" w:sz="0" w:space="0" w:color="auto"/>
      </w:divBdr>
      <w:divsChild>
        <w:div w:id="546374106">
          <w:marLeft w:val="0"/>
          <w:marRight w:val="0"/>
          <w:marTop w:val="0"/>
          <w:marBottom w:val="0"/>
          <w:divBdr>
            <w:top w:val="none" w:sz="0" w:space="0" w:color="auto"/>
            <w:left w:val="none" w:sz="0" w:space="0" w:color="auto"/>
            <w:bottom w:val="none" w:sz="0" w:space="0" w:color="auto"/>
            <w:right w:val="none" w:sz="0" w:space="0" w:color="auto"/>
          </w:divBdr>
          <w:divsChild>
            <w:div w:id="201630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8811">
      <w:bodyDiv w:val="1"/>
      <w:marLeft w:val="0"/>
      <w:marRight w:val="0"/>
      <w:marTop w:val="0"/>
      <w:marBottom w:val="0"/>
      <w:divBdr>
        <w:top w:val="none" w:sz="0" w:space="0" w:color="auto"/>
        <w:left w:val="none" w:sz="0" w:space="0" w:color="auto"/>
        <w:bottom w:val="none" w:sz="0" w:space="0" w:color="auto"/>
        <w:right w:val="none" w:sz="0" w:space="0" w:color="auto"/>
      </w:divBdr>
      <w:divsChild>
        <w:div w:id="514466960">
          <w:blockQuote w:val="1"/>
          <w:marLeft w:val="720"/>
          <w:marRight w:val="720"/>
          <w:marTop w:val="100"/>
          <w:marBottom w:val="100"/>
          <w:divBdr>
            <w:top w:val="none" w:sz="0" w:space="0" w:color="auto"/>
            <w:left w:val="none" w:sz="0" w:space="0" w:color="auto"/>
            <w:bottom w:val="none" w:sz="0" w:space="0" w:color="auto"/>
            <w:right w:val="none" w:sz="0" w:space="0" w:color="auto"/>
          </w:divBdr>
        </w:div>
        <w:div w:id="701637238">
          <w:blockQuote w:val="1"/>
          <w:marLeft w:val="720"/>
          <w:marRight w:val="720"/>
          <w:marTop w:val="100"/>
          <w:marBottom w:val="100"/>
          <w:divBdr>
            <w:top w:val="none" w:sz="0" w:space="0" w:color="auto"/>
            <w:left w:val="none" w:sz="0" w:space="0" w:color="auto"/>
            <w:bottom w:val="none" w:sz="0" w:space="0" w:color="auto"/>
            <w:right w:val="none" w:sz="0" w:space="0" w:color="auto"/>
          </w:divBdr>
        </w:div>
        <w:div w:id="683753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95358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62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4749728">
          <w:blockQuote w:val="1"/>
          <w:marLeft w:val="720"/>
          <w:marRight w:val="720"/>
          <w:marTop w:val="100"/>
          <w:marBottom w:val="100"/>
          <w:divBdr>
            <w:top w:val="none" w:sz="0" w:space="0" w:color="auto"/>
            <w:left w:val="none" w:sz="0" w:space="0" w:color="auto"/>
            <w:bottom w:val="none" w:sz="0" w:space="0" w:color="auto"/>
            <w:right w:val="none" w:sz="0" w:space="0" w:color="auto"/>
          </w:divBdr>
        </w:div>
        <w:div w:id="851260785">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93110">
          <w:blockQuote w:val="1"/>
          <w:marLeft w:val="720"/>
          <w:marRight w:val="720"/>
          <w:marTop w:val="100"/>
          <w:marBottom w:val="100"/>
          <w:divBdr>
            <w:top w:val="none" w:sz="0" w:space="0" w:color="auto"/>
            <w:left w:val="none" w:sz="0" w:space="0" w:color="auto"/>
            <w:bottom w:val="none" w:sz="0" w:space="0" w:color="auto"/>
            <w:right w:val="none" w:sz="0" w:space="0" w:color="auto"/>
          </w:divBdr>
        </w:div>
        <w:div w:id="718480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132903">
      <w:bodyDiv w:val="1"/>
      <w:marLeft w:val="0"/>
      <w:marRight w:val="0"/>
      <w:marTop w:val="0"/>
      <w:marBottom w:val="0"/>
      <w:divBdr>
        <w:top w:val="none" w:sz="0" w:space="0" w:color="auto"/>
        <w:left w:val="none" w:sz="0" w:space="0" w:color="auto"/>
        <w:bottom w:val="none" w:sz="0" w:space="0" w:color="auto"/>
        <w:right w:val="none" w:sz="0" w:space="0" w:color="auto"/>
      </w:divBdr>
      <w:divsChild>
        <w:div w:id="465318059">
          <w:blockQuote w:val="1"/>
          <w:marLeft w:val="720"/>
          <w:marRight w:val="720"/>
          <w:marTop w:val="100"/>
          <w:marBottom w:val="100"/>
          <w:divBdr>
            <w:top w:val="none" w:sz="0" w:space="0" w:color="auto"/>
            <w:left w:val="none" w:sz="0" w:space="0" w:color="auto"/>
            <w:bottom w:val="none" w:sz="0" w:space="0" w:color="auto"/>
            <w:right w:val="none" w:sz="0" w:space="0" w:color="auto"/>
          </w:divBdr>
        </w:div>
        <w:div w:id="438450165">
          <w:marLeft w:val="0"/>
          <w:marRight w:val="0"/>
          <w:marTop w:val="0"/>
          <w:marBottom w:val="0"/>
          <w:divBdr>
            <w:top w:val="none" w:sz="0" w:space="0" w:color="auto"/>
            <w:left w:val="none" w:sz="0" w:space="0" w:color="auto"/>
            <w:bottom w:val="none" w:sz="0" w:space="0" w:color="auto"/>
            <w:right w:val="none" w:sz="0" w:space="0" w:color="auto"/>
          </w:divBdr>
          <w:divsChild>
            <w:div w:id="460539085">
              <w:marLeft w:val="0"/>
              <w:marRight w:val="0"/>
              <w:marTop w:val="0"/>
              <w:marBottom w:val="0"/>
              <w:divBdr>
                <w:top w:val="none" w:sz="0" w:space="0" w:color="auto"/>
                <w:left w:val="none" w:sz="0" w:space="0" w:color="auto"/>
                <w:bottom w:val="none" w:sz="0" w:space="0" w:color="auto"/>
                <w:right w:val="none" w:sz="0" w:space="0" w:color="auto"/>
              </w:divBdr>
            </w:div>
          </w:divsChild>
        </w:div>
        <w:div w:id="106430879">
          <w:blockQuote w:val="1"/>
          <w:marLeft w:val="720"/>
          <w:marRight w:val="720"/>
          <w:marTop w:val="100"/>
          <w:marBottom w:val="100"/>
          <w:divBdr>
            <w:top w:val="none" w:sz="0" w:space="0" w:color="auto"/>
            <w:left w:val="none" w:sz="0" w:space="0" w:color="auto"/>
            <w:bottom w:val="none" w:sz="0" w:space="0" w:color="auto"/>
            <w:right w:val="none" w:sz="0" w:space="0" w:color="auto"/>
          </w:divBdr>
        </w:div>
        <w:div w:id="215703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121262569">
      <w:bodyDiv w:val="1"/>
      <w:marLeft w:val="0"/>
      <w:marRight w:val="0"/>
      <w:marTop w:val="0"/>
      <w:marBottom w:val="0"/>
      <w:divBdr>
        <w:top w:val="none" w:sz="0" w:space="0" w:color="auto"/>
        <w:left w:val="none" w:sz="0" w:space="0" w:color="auto"/>
        <w:bottom w:val="none" w:sz="0" w:space="0" w:color="auto"/>
        <w:right w:val="none" w:sz="0" w:space="0" w:color="auto"/>
      </w:divBdr>
    </w:div>
    <w:div w:id="1196044959">
      <w:bodyDiv w:val="1"/>
      <w:marLeft w:val="0"/>
      <w:marRight w:val="0"/>
      <w:marTop w:val="0"/>
      <w:marBottom w:val="0"/>
      <w:divBdr>
        <w:top w:val="none" w:sz="0" w:space="0" w:color="auto"/>
        <w:left w:val="none" w:sz="0" w:space="0" w:color="auto"/>
        <w:bottom w:val="none" w:sz="0" w:space="0" w:color="auto"/>
        <w:right w:val="none" w:sz="0" w:space="0" w:color="auto"/>
      </w:divBdr>
      <w:divsChild>
        <w:div w:id="9672764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071415">
          <w:marLeft w:val="0"/>
          <w:marRight w:val="0"/>
          <w:marTop w:val="0"/>
          <w:marBottom w:val="0"/>
          <w:divBdr>
            <w:top w:val="none" w:sz="0" w:space="0" w:color="auto"/>
            <w:left w:val="none" w:sz="0" w:space="0" w:color="auto"/>
            <w:bottom w:val="none" w:sz="0" w:space="0" w:color="auto"/>
            <w:right w:val="none" w:sz="0" w:space="0" w:color="auto"/>
          </w:divBdr>
          <w:divsChild>
            <w:div w:id="1273973141">
              <w:marLeft w:val="0"/>
              <w:marRight w:val="0"/>
              <w:marTop w:val="0"/>
              <w:marBottom w:val="0"/>
              <w:divBdr>
                <w:top w:val="none" w:sz="0" w:space="0" w:color="auto"/>
                <w:left w:val="none" w:sz="0" w:space="0" w:color="auto"/>
                <w:bottom w:val="none" w:sz="0" w:space="0" w:color="auto"/>
                <w:right w:val="none" w:sz="0" w:space="0" w:color="auto"/>
              </w:divBdr>
            </w:div>
          </w:divsChild>
        </w:div>
        <w:div w:id="654456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60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74678">
      <w:bodyDiv w:val="1"/>
      <w:marLeft w:val="0"/>
      <w:marRight w:val="0"/>
      <w:marTop w:val="0"/>
      <w:marBottom w:val="0"/>
      <w:divBdr>
        <w:top w:val="none" w:sz="0" w:space="0" w:color="auto"/>
        <w:left w:val="none" w:sz="0" w:space="0" w:color="auto"/>
        <w:bottom w:val="none" w:sz="0" w:space="0" w:color="auto"/>
        <w:right w:val="none" w:sz="0" w:space="0" w:color="auto"/>
      </w:divBdr>
      <w:divsChild>
        <w:div w:id="61297793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2571148">
          <w:blockQuote w:val="1"/>
          <w:marLeft w:val="720"/>
          <w:marRight w:val="720"/>
          <w:marTop w:val="100"/>
          <w:marBottom w:val="100"/>
          <w:divBdr>
            <w:top w:val="none" w:sz="0" w:space="0" w:color="auto"/>
            <w:left w:val="none" w:sz="0" w:space="0" w:color="auto"/>
            <w:bottom w:val="none" w:sz="0" w:space="0" w:color="auto"/>
            <w:right w:val="none" w:sz="0" w:space="0" w:color="auto"/>
          </w:divBdr>
        </w:div>
        <w:div w:id="88999724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389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6539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5313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699182">
          <w:blockQuote w:val="1"/>
          <w:marLeft w:val="720"/>
          <w:marRight w:val="720"/>
          <w:marTop w:val="100"/>
          <w:marBottom w:val="100"/>
          <w:divBdr>
            <w:top w:val="none" w:sz="0" w:space="0" w:color="auto"/>
            <w:left w:val="none" w:sz="0" w:space="0" w:color="auto"/>
            <w:bottom w:val="none" w:sz="0" w:space="0" w:color="auto"/>
            <w:right w:val="none" w:sz="0" w:space="0" w:color="auto"/>
          </w:divBdr>
        </w:div>
        <w:div w:id="774594895">
          <w:blockQuote w:val="1"/>
          <w:marLeft w:val="720"/>
          <w:marRight w:val="720"/>
          <w:marTop w:val="100"/>
          <w:marBottom w:val="100"/>
          <w:divBdr>
            <w:top w:val="none" w:sz="0" w:space="0" w:color="auto"/>
            <w:left w:val="none" w:sz="0" w:space="0" w:color="auto"/>
            <w:bottom w:val="none" w:sz="0" w:space="0" w:color="auto"/>
            <w:right w:val="none" w:sz="0" w:space="0" w:color="auto"/>
          </w:divBdr>
        </w:div>
        <w:div w:id="1031683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379856">
      <w:bodyDiv w:val="1"/>
      <w:marLeft w:val="0"/>
      <w:marRight w:val="0"/>
      <w:marTop w:val="0"/>
      <w:marBottom w:val="0"/>
      <w:divBdr>
        <w:top w:val="none" w:sz="0" w:space="0" w:color="auto"/>
        <w:left w:val="none" w:sz="0" w:space="0" w:color="auto"/>
        <w:bottom w:val="none" w:sz="0" w:space="0" w:color="auto"/>
        <w:right w:val="none" w:sz="0" w:space="0" w:color="auto"/>
      </w:divBdr>
    </w:div>
    <w:div w:id="1843009769">
      <w:bodyDiv w:val="1"/>
      <w:marLeft w:val="0"/>
      <w:marRight w:val="0"/>
      <w:marTop w:val="0"/>
      <w:marBottom w:val="0"/>
      <w:divBdr>
        <w:top w:val="none" w:sz="0" w:space="0" w:color="auto"/>
        <w:left w:val="none" w:sz="0" w:space="0" w:color="auto"/>
        <w:bottom w:val="none" w:sz="0" w:space="0" w:color="auto"/>
        <w:right w:val="none" w:sz="0" w:space="0" w:color="auto"/>
      </w:divBdr>
      <w:divsChild>
        <w:div w:id="584654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1654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23</Pages>
  <Words>7917</Words>
  <Characters>49878</Characters>
  <Application>Microsoft Office Word</Application>
  <DocSecurity>0</DocSecurity>
  <Lines>415</Lines>
  <Paragraphs>115</Paragraphs>
  <ScaleCrop>false</ScaleCrop>
  <HeadingPairs>
    <vt:vector size="4" baseType="variant">
      <vt:variant>
        <vt:lpstr>Titel</vt:lpstr>
      </vt:variant>
      <vt:variant>
        <vt:i4>1</vt:i4>
      </vt:variant>
      <vt:variant>
        <vt:lpstr>Überschriften</vt:lpstr>
      </vt:variant>
      <vt:variant>
        <vt:i4>45</vt:i4>
      </vt:variant>
    </vt:vector>
  </HeadingPairs>
  <TitlesOfParts>
    <vt:vector size="46" baseType="lpstr">
      <vt:lpstr/>
      <vt:lpstr>📑 Kapitel 5 – Beweisansatz, Feldversuche und funktionale Validierung</vt:lpstr>
      <vt:lpstr>    5.1 Einleitung und Zielsetzung</vt:lpstr>
      <vt:lpstr>    5.2 Beweisansatz: Theoretische Fundierung</vt:lpstr>
      <vt:lpstr>        5.2.1 Funktionaler Beweis statt Korrespondenzmodell</vt:lpstr>
      <vt:lpstr>        5.2.2 Zuweisungslogik als Basis der Prüfstruktur</vt:lpstr>
      <vt:lpstr>        5.2.3 Reflexivität und Beobachterabhängigkeit</vt:lpstr>
      <vt:lpstr>        5.2.4 Konsequenzen für die Methodik</vt:lpstr>
      <vt:lpstr>        5.2.5 Fazit und Ausblick</vt:lpstr>
      <vt:lpstr>    5.3 Methodische Zugänge und Forschungsdesign</vt:lpstr>
      <vt:lpstr>        5.3.1 Forschungsfragen und Hypothesenbildung</vt:lpstr>
      <vt:lpstr>        5.3.2 Methodische Grundüberlegungen: Qualitativ, quantitativ, reflexiv</vt:lpstr>
      <vt:lpstr>        5.3.3 Operationalisierung funktionaler Zuweisungen</vt:lpstr>
      <vt:lpstr>        5.3.4 Beispielhafte methodische Zugänge</vt:lpstr>
      <vt:lpstr>        5.3.5 Fazit und Ausblick</vt:lpstr>
      <vt:lpstr>    5.4 Notwendige Feldversuche und experimentelle Ansätze</vt:lpstr>
      <vt:lpstr>        5.4.1 Gestaltung von Feldversuchen: Kontext, Auswahl, Bedingungen</vt:lpstr>
      <vt:lpstr>        5.4.2 Beispielhafte Szenarien: Wie könnte ein Feldversuch konkret aussehen?</vt:lpstr>
      <vt:lpstr>        5.4.3 Reflexion ethischer, sozialer und methodischer Implikationen</vt:lpstr>
      <vt:lpstr>    5.5 Erwartete Ergebnisse und mögliche Erkenntnisse</vt:lpstr>
      <vt:lpstr>        5.5.1 Erwartbare Bestätigungen und Widerlegungen funktionaler Modellhypothesen</vt:lpstr>
      <vt:lpstr>        5.5.2 Hinweise auf Modellanpassungen oder Weiterentwicklungen</vt:lpstr>
      <vt:lpstr>    5.6 Regressmodellierung und funktionale Selbstreferenz</vt:lpstr>
      <vt:lpstr>        5.6.1 Regress als erkenntnistheoretische Problemfigur – und seine Umdeutung</vt:lpstr>
      <vt:lpstr>        5.6.2 Infinite Regress in Metakognition und Theory of Mind</vt:lpstr>
      <vt:lpstr>        5.6.3 Regressive Selbstmodellierung in der Künstlichen Intelligenz</vt:lpstr>
      <vt:lpstr>        5.6.4 Der Infinite Regress als strukturelle Validierungsform</vt:lpstr>
      <vt:lpstr>        Fazit: Regress als Form epistemischer Souveränität</vt:lpstr>
      <vt:lpstr>    5.7 Transfer und disziplinäre Anschlussfähigkeit</vt:lpstr>
      <vt:lpstr>        5.7.1 Funktionaler Transfer als Beweiskriterium</vt:lpstr>
      <vt:lpstr>        5.7.2 Anwendung auf Natur- und Kognitionswissenschaften</vt:lpstr>
      <vt:lpstr>        5.7.3 Transferpotenziale in der Praxis</vt:lpstr>
      <vt:lpstr>        5.7.4 Transfer als Validierung: Das Prinzip struktureller Re-Kontextualisierung</vt:lpstr>
      <vt:lpstr>    5.8 Beobachtung und epistemische Verantwortung</vt:lpstr>
      <vt:lpstr>        5.8.1 Beobachterstatus im Funktionalen Bezugssystem</vt:lpstr>
      <vt:lpstr>        5.8.2 Formen der Beobachtung und deren Folgen</vt:lpstr>
      <vt:lpstr>        5.8.3 Epistemische Verantwortung im funktionalen Beweis</vt:lpstr>
      <vt:lpstr>        5.8.4 Beobachtbarkeit als Kriterium für Beweisarchitektur</vt:lpstr>
      <vt:lpstr>        5.8.5 Ethische Rahmung: Verantwortung für Zuweisung</vt:lpstr>
      <vt:lpstr>        5.8.6 Ausblick: Der ethisch informierte Beweis</vt:lpstr>
      <vt:lpstr>    5.9 Zusammenfassung und Forschungsperspektiven</vt:lpstr>
      <vt:lpstr>        5.9.1 Rückblick: Funktionale Geltung statt klassischer Verifikation</vt:lpstr>
      <vt:lpstr>        5.9.2 Das FRZK als epistemisches Modell offener Selbststrukturierung</vt:lpstr>
      <vt:lpstr>        5.9.3 Perspektiven zukünftiger Forschung</vt:lpstr>
      <vt:lpstr>        5.9.4 Abschließende Überlegungen</vt:lpstr>
      <vt:lpstr>    Literaturverzeichnis zu Kapitel 5</vt:lpstr>
    </vt:vector>
  </TitlesOfParts>
  <Company/>
  <LinksUpToDate>false</LinksUpToDate>
  <CharactersWithSpaces>57680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11</cp:revision>
  <dcterms:created xsi:type="dcterms:W3CDTF">2025-06-19T19:44:00Z</dcterms:created>
  <dcterms:modified xsi:type="dcterms:W3CDTF">2025-07-05T02:06:00Z</dcterms:modified>
</cp:coreProperties>
</file>