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C30F6" w14:textId="77777777" w:rsidR="00EC06BF" w:rsidRPr="00EC06BF" w:rsidRDefault="00EC06BF" w:rsidP="00EC06BF">
      <w:pPr>
        <w:spacing w:before="100" w:beforeAutospacing="1" w:after="100" w:afterAutospacing="1"/>
        <w:rPr>
          <w:rFonts w:ascii="Times New Roman" w:hAnsi="Times New Roman"/>
        </w:rPr>
      </w:pPr>
      <w:r w:rsidRPr="00EC06BF">
        <w:rPr>
          <w:rFonts w:ascii="Times New Roman" w:hAnsi="Times New Roman"/>
          <w:b/>
          <w:bCs/>
        </w:rPr>
        <w:t>Anlage 6.F: Innovationsvergleich – Klassisch vs. FRZK</w:t>
      </w:r>
    </w:p>
    <w:p w14:paraId="2E5EEE30" w14:textId="77777777" w:rsidR="00EC06BF" w:rsidRPr="00EC06BF" w:rsidRDefault="00EC06BF" w:rsidP="00EC06BF">
      <w:pPr>
        <w:spacing w:before="100" w:beforeAutospacing="1" w:after="100" w:afterAutospacing="1"/>
        <w:rPr>
          <w:rFonts w:ascii="Times New Roman" w:hAnsi="Times New Roman"/>
        </w:rPr>
      </w:pPr>
      <w:r w:rsidRPr="00EC06BF">
        <w:rPr>
          <w:rFonts w:ascii="Times New Roman" w:hAnsi="Times New Roman"/>
        </w:rPr>
        <w:t>Diese Anlage ergänzt Abschnitt 6.11.1 des Haupttextes und stellt zentrale Unterschiede zwischen klassischen Denk- und Gestaltungsmustern und den vom Funktionalen Raum-Zeit-Kohärenzsystem (FRZK) ausgehenden Innovationslogiken systematisch gegenüber. Ziel ist es, paradigmatische Verschiebungen sichtbar zu machen, die durch den Einsatz des FRZK in Modellbildung, Didaktik und Strukturtheorie möglich werden.</w:t>
      </w:r>
    </w:p>
    <w:p w14:paraId="0AE47059" w14:textId="77777777" w:rsidR="00EC06BF" w:rsidRPr="00EC06BF" w:rsidRDefault="00EC06BF" w:rsidP="00EC06BF">
      <w:pPr>
        <w:spacing w:after="0"/>
        <w:rPr>
          <w:rFonts w:ascii="Times New Roman" w:hAnsi="Times New Roman"/>
        </w:rPr>
      </w:pPr>
      <w:r w:rsidRPr="00EC06BF">
        <w:rPr>
          <w:rFonts w:ascii="Times New Roman" w:hAnsi="Times New Roman"/>
        </w:rPr>
        <w:pict w14:anchorId="74F016A4">
          <v:rect id="_x0000_i1025" style="width:0;height:1.5pt" o:hralign="center" o:hrstd="t" o:hr="t" fillcolor="#a0a0a0" stroked="f"/>
        </w:pict>
      </w:r>
    </w:p>
    <w:p w14:paraId="78B6AFB0" w14:textId="77777777" w:rsidR="00EC06BF" w:rsidRPr="00EC06BF" w:rsidRDefault="00EC06BF" w:rsidP="00EC06BF">
      <w:pPr>
        <w:spacing w:before="100" w:beforeAutospacing="1" w:after="100" w:afterAutospacing="1"/>
        <w:rPr>
          <w:rFonts w:ascii="Times New Roman" w:hAnsi="Times New Roman"/>
        </w:rPr>
      </w:pPr>
      <w:r w:rsidRPr="00EC06BF">
        <w:rPr>
          <w:rFonts w:ascii="Times New Roman" w:hAnsi="Times New Roman"/>
          <w:b/>
          <w:bCs/>
        </w:rPr>
        <w:t>Tabelle: Vergleich klassischer Paradigmen und FRZK-Innovationen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450"/>
        <w:gridCol w:w="2316"/>
        <w:gridCol w:w="2091"/>
      </w:tblGrid>
      <w:tr w:rsidR="00EC06BF" w:rsidRPr="00EC06BF" w14:paraId="7E0B0579" w14:textId="77777777" w:rsidTr="00EC06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EFD55" w14:textId="77777777" w:rsidR="00EC06BF" w:rsidRPr="00EC06BF" w:rsidRDefault="00EC06BF" w:rsidP="00EC06BF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C06BF">
              <w:rPr>
                <w:rFonts w:ascii="Times New Roman" w:hAnsi="Times New Roman"/>
                <w:b/>
                <w:bCs/>
              </w:rPr>
              <w:t>Paradigma</w:t>
            </w:r>
          </w:p>
        </w:tc>
        <w:tc>
          <w:tcPr>
            <w:tcW w:w="0" w:type="auto"/>
            <w:vAlign w:val="center"/>
            <w:hideMark/>
          </w:tcPr>
          <w:p w14:paraId="09C96C3D" w14:textId="77777777" w:rsidR="00EC06BF" w:rsidRPr="00EC06BF" w:rsidRDefault="00EC06BF" w:rsidP="00EC06BF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C06BF">
              <w:rPr>
                <w:rFonts w:ascii="Times New Roman" w:hAnsi="Times New Roman"/>
                <w:b/>
                <w:bCs/>
              </w:rPr>
              <w:t>Klassisches Modell</w:t>
            </w:r>
          </w:p>
        </w:tc>
        <w:tc>
          <w:tcPr>
            <w:tcW w:w="0" w:type="auto"/>
            <w:vAlign w:val="center"/>
            <w:hideMark/>
          </w:tcPr>
          <w:p w14:paraId="0F4A2925" w14:textId="77777777" w:rsidR="00EC06BF" w:rsidRPr="00EC06BF" w:rsidRDefault="00EC06BF" w:rsidP="00EC06BF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C06BF">
              <w:rPr>
                <w:rFonts w:ascii="Times New Roman" w:hAnsi="Times New Roman"/>
                <w:b/>
                <w:bCs/>
              </w:rPr>
              <w:t>FRZK-basiertes Modell</w:t>
            </w:r>
          </w:p>
        </w:tc>
        <w:tc>
          <w:tcPr>
            <w:tcW w:w="0" w:type="auto"/>
            <w:vAlign w:val="center"/>
            <w:hideMark/>
          </w:tcPr>
          <w:p w14:paraId="2B1920C6" w14:textId="77777777" w:rsidR="00EC06BF" w:rsidRPr="00EC06BF" w:rsidRDefault="00EC06BF" w:rsidP="00EC06BF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C06BF">
              <w:rPr>
                <w:rFonts w:ascii="Times New Roman" w:hAnsi="Times New Roman"/>
                <w:b/>
                <w:bCs/>
              </w:rPr>
              <w:t>Transformation / Effekt</w:t>
            </w:r>
          </w:p>
        </w:tc>
      </w:tr>
      <w:tr w:rsidR="00EC06BF" w:rsidRPr="00EC06BF" w14:paraId="0D7243EA" w14:textId="77777777" w:rsidTr="00EC0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DFFB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Weltauffassung</w:t>
            </w:r>
          </w:p>
        </w:tc>
        <w:tc>
          <w:tcPr>
            <w:tcW w:w="0" w:type="auto"/>
            <w:vAlign w:val="center"/>
            <w:hideMark/>
          </w:tcPr>
          <w:p w14:paraId="65E65EBF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Gegebene Realität, objektiv beschreibbar</w:t>
            </w:r>
          </w:p>
        </w:tc>
        <w:tc>
          <w:tcPr>
            <w:tcW w:w="0" w:type="auto"/>
            <w:vAlign w:val="center"/>
            <w:hideMark/>
          </w:tcPr>
          <w:p w14:paraId="51CDB8ED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Realität als emergentes Feld funktionaler Zuweisungen</w:t>
            </w:r>
          </w:p>
        </w:tc>
        <w:tc>
          <w:tcPr>
            <w:tcW w:w="0" w:type="auto"/>
            <w:vAlign w:val="center"/>
            <w:hideMark/>
          </w:tcPr>
          <w:p w14:paraId="5C3C3962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Ontologische Verschiebung</w:t>
            </w:r>
          </w:p>
        </w:tc>
      </w:tr>
      <w:tr w:rsidR="00EC06BF" w:rsidRPr="00EC06BF" w14:paraId="59818770" w14:textId="77777777" w:rsidTr="00EC0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1D47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Erkenntnistheorie</w:t>
            </w:r>
          </w:p>
        </w:tc>
        <w:tc>
          <w:tcPr>
            <w:tcW w:w="0" w:type="auto"/>
            <w:vAlign w:val="center"/>
            <w:hideMark/>
          </w:tcPr>
          <w:p w14:paraId="7A04329D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Repräsentation von Wirklichkeit durch Sprache oder Abbildung</w:t>
            </w:r>
          </w:p>
        </w:tc>
        <w:tc>
          <w:tcPr>
            <w:tcW w:w="0" w:type="auto"/>
            <w:vAlign w:val="center"/>
            <w:hideMark/>
          </w:tcPr>
          <w:p w14:paraId="0E169AC3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Konstruktion von Struktur durch Differenzzuweisung</w:t>
            </w:r>
          </w:p>
        </w:tc>
        <w:tc>
          <w:tcPr>
            <w:tcW w:w="0" w:type="auto"/>
            <w:vAlign w:val="center"/>
            <w:hideMark/>
          </w:tcPr>
          <w:p w14:paraId="143BE9B5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Epistemologische Innovation</w:t>
            </w:r>
          </w:p>
        </w:tc>
      </w:tr>
      <w:tr w:rsidR="00EC06BF" w:rsidRPr="00EC06BF" w14:paraId="6AB78580" w14:textId="77777777" w:rsidTr="00EC0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C6DA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Lernverständnis</w:t>
            </w:r>
          </w:p>
        </w:tc>
        <w:tc>
          <w:tcPr>
            <w:tcW w:w="0" w:type="auto"/>
            <w:vAlign w:val="center"/>
            <w:hideMark/>
          </w:tcPr>
          <w:p w14:paraId="7F1A7A00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Informationsaufnahme und -wiedergabe</w:t>
            </w:r>
          </w:p>
        </w:tc>
        <w:tc>
          <w:tcPr>
            <w:tcW w:w="0" w:type="auto"/>
            <w:vAlign w:val="center"/>
            <w:hideMark/>
          </w:tcPr>
          <w:p w14:paraId="35C745EA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Epistemische Bewegung im differenzierten Funktionsfeld</w:t>
            </w:r>
          </w:p>
        </w:tc>
        <w:tc>
          <w:tcPr>
            <w:tcW w:w="0" w:type="auto"/>
            <w:vAlign w:val="center"/>
            <w:hideMark/>
          </w:tcPr>
          <w:p w14:paraId="38D1FBD9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 xml:space="preserve">Didaktische </w:t>
            </w:r>
            <w:proofErr w:type="spellStart"/>
            <w:r w:rsidRPr="00EC06BF">
              <w:rPr>
                <w:rFonts w:ascii="Times New Roman" w:hAnsi="Times New Roman"/>
              </w:rPr>
              <w:t>Rekonzeption</w:t>
            </w:r>
            <w:proofErr w:type="spellEnd"/>
          </w:p>
        </w:tc>
      </w:tr>
      <w:tr w:rsidR="00EC06BF" w:rsidRPr="00EC06BF" w14:paraId="18B1F071" w14:textId="77777777" w:rsidTr="00EC0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7F41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Raum-Zeit-Verständnis</w:t>
            </w:r>
          </w:p>
        </w:tc>
        <w:tc>
          <w:tcPr>
            <w:tcW w:w="0" w:type="auto"/>
            <w:vAlign w:val="center"/>
            <w:hideMark/>
          </w:tcPr>
          <w:p w14:paraId="3EE3AED7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Raum und Zeit als Container oder Koordinatensystem</w:t>
            </w:r>
          </w:p>
        </w:tc>
        <w:tc>
          <w:tcPr>
            <w:tcW w:w="0" w:type="auto"/>
            <w:vAlign w:val="center"/>
            <w:hideMark/>
          </w:tcPr>
          <w:p w14:paraId="3FB739DC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Raum-Zeit als Ergebnis iterativer Differenzprozesse</w:t>
            </w:r>
          </w:p>
        </w:tc>
        <w:tc>
          <w:tcPr>
            <w:tcW w:w="0" w:type="auto"/>
            <w:vAlign w:val="center"/>
            <w:hideMark/>
          </w:tcPr>
          <w:p w14:paraId="733378E5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Dynamisierung der Grunddimensionen</w:t>
            </w:r>
          </w:p>
        </w:tc>
      </w:tr>
      <w:tr w:rsidR="00EC06BF" w:rsidRPr="00EC06BF" w14:paraId="454A9C15" w14:textId="77777777" w:rsidTr="00EC0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CD47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Modellbildung</w:t>
            </w:r>
          </w:p>
        </w:tc>
        <w:tc>
          <w:tcPr>
            <w:tcW w:w="0" w:type="auto"/>
            <w:vAlign w:val="center"/>
            <w:hideMark/>
          </w:tcPr>
          <w:p w14:paraId="2C0D1FC5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Abbildung eines Gegenstandes auf abstrakte Struktur</w:t>
            </w:r>
          </w:p>
        </w:tc>
        <w:tc>
          <w:tcPr>
            <w:tcW w:w="0" w:type="auto"/>
            <w:vAlign w:val="center"/>
            <w:hideMark/>
          </w:tcPr>
          <w:p w14:paraId="0E888F87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Generierung eines Funktionsraums durch strukturierte Operationen</w:t>
            </w:r>
          </w:p>
        </w:tc>
        <w:tc>
          <w:tcPr>
            <w:tcW w:w="0" w:type="auto"/>
            <w:vAlign w:val="center"/>
            <w:hideMark/>
          </w:tcPr>
          <w:p w14:paraId="27F6E20C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Rekonstruktion des Modellbegriffs</w:t>
            </w:r>
          </w:p>
        </w:tc>
      </w:tr>
      <w:tr w:rsidR="00EC06BF" w:rsidRPr="00EC06BF" w14:paraId="2DD55F51" w14:textId="77777777" w:rsidTr="00EC0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B488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Rollenverständnis</w:t>
            </w:r>
          </w:p>
        </w:tc>
        <w:tc>
          <w:tcPr>
            <w:tcW w:w="0" w:type="auto"/>
            <w:vAlign w:val="center"/>
            <w:hideMark/>
          </w:tcPr>
          <w:p w14:paraId="31E4BC9E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Fixe Subjekt-/Objekt-Zuweisung, Lernender als Rezipient</w:t>
            </w:r>
          </w:p>
        </w:tc>
        <w:tc>
          <w:tcPr>
            <w:tcW w:w="0" w:type="auto"/>
            <w:vAlign w:val="center"/>
            <w:hideMark/>
          </w:tcPr>
          <w:p w14:paraId="2F24D2DD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Subjekt als aktiver Zuweisungsträger und Beobachter zweiter Ordnung</w:t>
            </w:r>
          </w:p>
        </w:tc>
        <w:tc>
          <w:tcPr>
            <w:tcW w:w="0" w:type="auto"/>
            <w:vAlign w:val="center"/>
            <w:hideMark/>
          </w:tcPr>
          <w:p w14:paraId="32BA3D7B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Funktionaler Perspektivwechsel</w:t>
            </w:r>
          </w:p>
        </w:tc>
      </w:tr>
      <w:tr w:rsidR="00EC06BF" w:rsidRPr="00EC06BF" w14:paraId="5DE3C793" w14:textId="77777777" w:rsidTr="00EC0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72C6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Innovationserzeugung</w:t>
            </w:r>
          </w:p>
        </w:tc>
        <w:tc>
          <w:tcPr>
            <w:tcW w:w="0" w:type="auto"/>
            <w:vAlign w:val="center"/>
            <w:hideMark/>
          </w:tcPr>
          <w:p w14:paraId="0B5E19A8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Fortschritt durch Addition von Wissen oder Technik</w:t>
            </w:r>
          </w:p>
        </w:tc>
        <w:tc>
          <w:tcPr>
            <w:tcW w:w="0" w:type="auto"/>
            <w:vAlign w:val="center"/>
            <w:hideMark/>
          </w:tcPr>
          <w:p w14:paraId="340B0219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Emergenz durch Kopplung heterogener Zuweisungsfelder</w:t>
            </w:r>
          </w:p>
        </w:tc>
        <w:tc>
          <w:tcPr>
            <w:tcW w:w="0" w:type="auto"/>
            <w:vAlign w:val="center"/>
            <w:hideMark/>
          </w:tcPr>
          <w:p w14:paraId="255C382C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Systemische Kreativität durch Hybridisierung</w:t>
            </w:r>
          </w:p>
        </w:tc>
      </w:tr>
      <w:tr w:rsidR="00EC06BF" w:rsidRPr="00EC06BF" w14:paraId="55E2F5C4" w14:textId="77777777" w:rsidTr="00EC0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3935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Didaktik</w:t>
            </w:r>
          </w:p>
        </w:tc>
        <w:tc>
          <w:tcPr>
            <w:tcW w:w="0" w:type="auto"/>
            <w:vAlign w:val="center"/>
            <w:hideMark/>
          </w:tcPr>
          <w:p w14:paraId="00DB61D3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Vermittlung festgelegter Inhalte durch Instruktion</w:t>
            </w:r>
          </w:p>
        </w:tc>
        <w:tc>
          <w:tcPr>
            <w:tcW w:w="0" w:type="auto"/>
            <w:vAlign w:val="center"/>
            <w:hideMark/>
          </w:tcPr>
          <w:p w14:paraId="7B449EA3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Gestaltung epistemischer Felder für strukturierte Selbstorganisation</w:t>
            </w:r>
          </w:p>
        </w:tc>
        <w:tc>
          <w:tcPr>
            <w:tcW w:w="0" w:type="auto"/>
            <w:vAlign w:val="center"/>
            <w:hideMark/>
          </w:tcPr>
          <w:p w14:paraId="1286BBE5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Von Inhalt zu Funktion</w:t>
            </w:r>
          </w:p>
        </w:tc>
      </w:tr>
      <w:tr w:rsidR="00EC06BF" w:rsidRPr="00EC06BF" w14:paraId="6E18D995" w14:textId="77777777" w:rsidTr="00EC0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352B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Systemverständnis</w:t>
            </w:r>
          </w:p>
        </w:tc>
        <w:tc>
          <w:tcPr>
            <w:tcW w:w="0" w:type="auto"/>
            <w:vAlign w:val="center"/>
            <w:hideMark/>
          </w:tcPr>
          <w:p w14:paraId="0633B214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Systeme als abgegrenzte Einheiten mit klarer Kausalstruktur</w:t>
            </w:r>
          </w:p>
        </w:tc>
        <w:tc>
          <w:tcPr>
            <w:tcW w:w="0" w:type="auto"/>
            <w:vAlign w:val="center"/>
            <w:hideMark/>
          </w:tcPr>
          <w:p w14:paraId="08435BB2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Systeme als dynamische Relationen aus iterativen Differenz- und Rückkopplungen</w:t>
            </w:r>
          </w:p>
        </w:tc>
        <w:tc>
          <w:tcPr>
            <w:tcW w:w="0" w:type="auto"/>
            <w:vAlign w:val="center"/>
            <w:hideMark/>
          </w:tcPr>
          <w:p w14:paraId="1B217882" w14:textId="77777777" w:rsidR="00EC06BF" w:rsidRPr="00EC06BF" w:rsidRDefault="00EC06BF" w:rsidP="00EC06BF">
            <w:pPr>
              <w:spacing w:after="0"/>
              <w:rPr>
                <w:rFonts w:ascii="Times New Roman" w:hAnsi="Times New Roman"/>
              </w:rPr>
            </w:pPr>
            <w:r w:rsidRPr="00EC06BF">
              <w:rPr>
                <w:rFonts w:ascii="Times New Roman" w:hAnsi="Times New Roman"/>
              </w:rPr>
              <w:t>Systemtheoretische Generalisierung und Öffnung</w:t>
            </w:r>
          </w:p>
        </w:tc>
      </w:tr>
    </w:tbl>
    <w:p w14:paraId="4A601879" w14:textId="77777777" w:rsidR="00EC06BF" w:rsidRPr="00EC06BF" w:rsidRDefault="00EC06BF" w:rsidP="00EC06BF">
      <w:pPr>
        <w:spacing w:after="0"/>
        <w:rPr>
          <w:rFonts w:ascii="Times New Roman" w:hAnsi="Times New Roman"/>
        </w:rPr>
      </w:pPr>
      <w:r w:rsidRPr="00EC06BF">
        <w:rPr>
          <w:rFonts w:ascii="Times New Roman" w:hAnsi="Times New Roman"/>
        </w:rPr>
        <w:pict w14:anchorId="39A18305">
          <v:rect id="_x0000_i1026" style="width:0;height:1.5pt" o:hralign="center" o:hrstd="t" o:hr="t" fillcolor="#a0a0a0" stroked="f"/>
        </w:pict>
      </w:r>
    </w:p>
    <w:p w14:paraId="6397B0CC" w14:textId="77777777" w:rsidR="00EC06BF" w:rsidRPr="00EC06BF" w:rsidRDefault="00EC06BF" w:rsidP="00EC06BF">
      <w:pPr>
        <w:spacing w:before="100" w:beforeAutospacing="1" w:after="100" w:afterAutospacing="1"/>
        <w:rPr>
          <w:rFonts w:ascii="Times New Roman" w:hAnsi="Times New Roman"/>
        </w:rPr>
      </w:pPr>
      <w:r w:rsidRPr="00EC06BF">
        <w:rPr>
          <w:rFonts w:ascii="Times New Roman" w:hAnsi="Times New Roman"/>
          <w:b/>
          <w:bCs/>
        </w:rPr>
        <w:lastRenderedPageBreak/>
        <w:t>Hinweise zur Verwendung:</w:t>
      </w:r>
    </w:p>
    <w:p w14:paraId="4D666FF4" w14:textId="77777777" w:rsidR="00EC06BF" w:rsidRPr="00EC06BF" w:rsidRDefault="00EC06BF" w:rsidP="00EC06B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EC06BF">
        <w:rPr>
          <w:rFonts w:ascii="Times New Roman" w:hAnsi="Times New Roman"/>
        </w:rPr>
        <w:t>Diese Gegenüberstellung dient der Reflexion über grundlegende Denkweisen im Bildungs- und Wissenschaftsdiskurs.</w:t>
      </w:r>
    </w:p>
    <w:p w14:paraId="6DE1C86B" w14:textId="77777777" w:rsidR="00EC06BF" w:rsidRPr="00EC06BF" w:rsidRDefault="00EC06BF" w:rsidP="00EC06B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EC06BF">
        <w:rPr>
          <w:rFonts w:ascii="Times New Roman" w:hAnsi="Times New Roman"/>
        </w:rPr>
        <w:t>Sie eignet sich zur Einbettung in didaktische Planung, zur Forschungsevaluation oder als Grundlage für Konzeptentwicklung.</w:t>
      </w:r>
    </w:p>
    <w:p w14:paraId="09D2967A" w14:textId="77777777" w:rsidR="00EC06BF" w:rsidRPr="00EC06BF" w:rsidRDefault="00EC06BF" w:rsidP="00EC06BF">
      <w:pPr>
        <w:spacing w:before="100" w:beforeAutospacing="1" w:after="100" w:afterAutospacing="1"/>
        <w:rPr>
          <w:rFonts w:ascii="Times New Roman" w:hAnsi="Times New Roman"/>
        </w:rPr>
      </w:pPr>
      <w:r w:rsidRPr="00EC06BF">
        <w:rPr>
          <w:rFonts w:ascii="Times New Roman" w:hAnsi="Times New Roman"/>
          <w:b/>
          <w:bCs/>
        </w:rPr>
        <w:t>Verweis im Text:</w:t>
      </w:r>
      <w:r w:rsidRPr="00EC06BF">
        <w:rPr>
          <w:rFonts w:ascii="Times New Roman" w:hAnsi="Times New Roman"/>
        </w:rPr>
        <w:br/>
        <w:t xml:space="preserve">Die Inhalte dieser Tabelle bilden die konzeptuelle Grundlage für die </w:t>
      </w:r>
      <w:r w:rsidRPr="00EC06BF">
        <w:rPr>
          <w:rFonts w:ascii="Times New Roman" w:hAnsi="Times New Roman"/>
          <w:b/>
          <w:bCs/>
        </w:rPr>
        <w:t>Innovationsmatrix</w:t>
      </w:r>
      <w:r w:rsidRPr="00EC06BF">
        <w:rPr>
          <w:rFonts w:ascii="Times New Roman" w:hAnsi="Times New Roman"/>
        </w:rPr>
        <w:t xml:space="preserve"> in Abschnitt 6.11.1. Dort werden die einzelnen Innovationslinien textlich entfaltet und in Beziehung zueinander gesetzt.</w:t>
      </w:r>
    </w:p>
    <w:p w14:paraId="6EE3857B" w14:textId="77777777" w:rsidR="00EC06BF" w:rsidRPr="00EC06BF" w:rsidRDefault="00EC06BF" w:rsidP="00EC06BF">
      <w:pPr>
        <w:spacing w:before="100" w:beforeAutospacing="1" w:after="100" w:afterAutospacing="1"/>
        <w:rPr>
          <w:rFonts w:ascii="Times New Roman" w:hAnsi="Times New Roman"/>
        </w:rPr>
      </w:pPr>
      <w:r w:rsidRPr="00EC06BF">
        <w:rPr>
          <w:rFonts w:ascii="Times New Roman" w:hAnsi="Times New Roman"/>
          <w:b/>
          <w:bCs/>
        </w:rPr>
        <w:t>Bezug zu Kapitel 3:</w:t>
      </w:r>
      <w:r w:rsidRPr="00EC06BF">
        <w:rPr>
          <w:rFonts w:ascii="Times New Roman" w:hAnsi="Times New Roman"/>
        </w:rPr>
        <w:br/>
        <w:t>Die in der rechten Spalte beschriebenen FRZK-Innovationen basieren direkt auf den theoretischen Prinzipien aus Kapitel 3, insbesondere den Abschnitten 3.3 bis 3.8.</w:t>
      </w:r>
    </w:p>
    <w:p w14:paraId="4C189BA4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AF64F4"/>
    <w:multiLevelType w:val="multilevel"/>
    <w:tmpl w:val="454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BF"/>
    <w:rsid w:val="000467F2"/>
    <w:rsid w:val="00082214"/>
    <w:rsid w:val="00106528"/>
    <w:rsid w:val="001830F2"/>
    <w:rsid w:val="0019229D"/>
    <w:rsid w:val="002D4202"/>
    <w:rsid w:val="00324306"/>
    <w:rsid w:val="00433ECB"/>
    <w:rsid w:val="00436FC4"/>
    <w:rsid w:val="00446557"/>
    <w:rsid w:val="00500020"/>
    <w:rsid w:val="005454E6"/>
    <w:rsid w:val="005B5EFD"/>
    <w:rsid w:val="006016DC"/>
    <w:rsid w:val="007B7DE7"/>
    <w:rsid w:val="007E333F"/>
    <w:rsid w:val="008871CF"/>
    <w:rsid w:val="008B0C43"/>
    <w:rsid w:val="008C4935"/>
    <w:rsid w:val="009032D7"/>
    <w:rsid w:val="00A307C9"/>
    <w:rsid w:val="00AA4222"/>
    <w:rsid w:val="00AF6392"/>
    <w:rsid w:val="00B53EE0"/>
    <w:rsid w:val="00B873C2"/>
    <w:rsid w:val="00BA664A"/>
    <w:rsid w:val="00CD2089"/>
    <w:rsid w:val="00D33BDA"/>
    <w:rsid w:val="00D44FE7"/>
    <w:rsid w:val="00D542C6"/>
    <w:rsid w:val="00D80CC8"/>
    <w:rsid w:val="00E6450A"/>
    <w:rsid w:val="00EA1CC2"/>
    <w:rsid w:val="00EC06BF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845A4"/>
  <w15:chartTrackingRefBased/>
  <w15:docId w15:val="{782F52CE-4E8A-4F53-910F-2E26DC4FC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24306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A307C9"/>
    <w:pPr>
      <w:keepNext/>
      <w:keepLines/>
      <w:spacing w:before="480"/>
    </w:pPr>
    <w:rPr>
      <w:rFonts w:eastAsia="Calibri" w:cs="Calibri"/>
      <w:b/>
      <w:sz w:val="72"/>
      <w:szCs w:val="72"/>
    </w:rPr>
  </w:style>
  <w:style w:type="character" w:customStyle="1" w:styleId="TitelZchn">
    <w:name w:val="Titel Zchn"/>
    <w:link w:val="Titel"/>
    <w:uiPriority w:val="10"/>
    <w:rsid w:val="00A307C9"/>
    <w:rPr>
      <w:rFonts w:ascii="Calibri" w:eastAsia="Calibri" w:hAnsi="Calibri" w:cs="Calibri"/>
      <w:b/>
      <w:sz w:val="72"/>
      <w:szCs w:val="72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rsid w:val="000467F2"/>
    <w:pPr>
      <w:tabs>
        <w:tab w:val="left" w:pos="1134"/>
      </w:tabs>
      <w:spacing w:before="20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0467F2"/>
    <w:rPr>
      <w:i/>
      <w:iCs/>
      <w:color w:val="404040"/>
      <w:sz w:val="24"/>
    </w:rPr>
  </w:style>
  <w:style w:type="paragraph" w:customStyle="1" w:styleId="Abbildungsname">
    <w:name w:val="Abbildungsname"/>
    <w:basedOn w:val="Standard"/>
    <w:link w:val="AbbildungsnameZchn"/>
    <w:qFormat/>
    <w:rsid w:val="00324306"/>
    <w:pPr>
      <w:spacing w:after="240"/>
      <w:jc w:val="center"/>
    </w:pPr>
    <w:rPr>
      <w:i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324306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qFormat/>
    <w:rsid w:val="002D4202"/>
    <w:pPr>
      <w:tabs>
        <w:tab w:val="left" w:pos="7088"/>
      </w:tabs>
      <w:spacing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2D4202"/>
    <w:rPr>
      <w:rFonts w:ascii="Cambria Math" w:hAnsi="Cambria Math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374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2025-06-20T17:18:00Z</dcterms:created>
  <dcterms:modified xsi:type="dcterms:W3CDTF">2025-06-20T17:19:00Z</dcterms:modified>
</cp:coreProperties>
</file>