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BF04" w14:textId="77777777" w:rsidR="001E4435" w:rsidRPr="001E4435" w:rsidRDefault="001E4435" w:rsidP="001E4435">
      <w:pPr>
        <w:spacing w:before="100" w:beforeAutospacing="1" w:after="100" w:afterAutospacing="1"/>
        <w:rPr>
          <w:rFonts w:ascii="Times New Roman" w:hAnsi="Times New Roman"/>
        </w:rPr>
      </w:pPr>
      <w:r w:rsidRPr="001E4435">
        <w:rPr>
          <w:rFonts w:ascii="Times New Roman" w:hAnsi="Times New Roman"/>
          <w:b/>
          <w:bCs/>
        </w:rPr>
        <w:t>Anlage 6.I: Rückbindung an Kapitel 3</w:t>
      </w:r>
    </w:p>
    <w:p w14:paraId="0C3EEF66" w14:textId="77777777" w:rsidR="001E4435" w:rsidRPr="001E4435" w:rsidRDefault="001E4435" w:rsidP="001E4435">
      <w:pPr>
        <w:spacing w:before="100" w:beforeAutospacing="1" w:after="100" w:afterAutospacing="1"/>
        <w:rPr>
          <w:rFonts w:ascii="Times New Roman" w:hAnsi="Times New Roman"/>
        </w:rPr>
      </w:pPr>
      <w:r w:rsidRPr="001E4435">
        <w:rPr>
          <w:rFonts w:ascii="Times New Roman" w:hAnsi="Times New Roman"/>
        </w:rPr>
        <w:t>Diese Anlage zeigt die systematische Rückbindung der in Kapitel 6 dargestellten Innovationslinien an die theoretischen Grundlagen, die in Kapitel 3 des Gesamtwerks entwickelt wurden. Ziel ist es, die konzeptionelle Geschlossenheit und innere Konsistenz des Funktionalen Raum-Zeit-Kohärenzsystems (FRZK) in Theorie und Anwendung sichtbar zu machen.</w:t>
      </w:r>
    </w:p>
    <w:p w14:paraId="6572C1BE" w14:textId="77777777" w:rsidR="001E4435" w:rsidRPr="001E4435" w:rsidRDefault="001E4435" w:rsidP="001E4435">
      <w:pPr>
        <w:spacing w:after="0"/>
        <w:rPr>
          <w:rFonts w:ascii="Times New Roman" w:hAnsi="Times New Roman"/>
        </w:rPr>
      </w:pPr>
      <w:r w:rsidRPr="001E4435">
        <w:rPr>
          <w:rFonts w:ascii="Times New Roman" w:hAnsi="Times New Roman"/>
        </w:rPr>
        <w:pict w14:anchorId="703BA753">
          <v:rect id="_x0000_i1025" style="width:0;height:1.5pt" o:hralign="center" o:hrstd="t" o:hr="t" fillcolor="#a0a0a0" stroked="f"/>
        </w:pict>
      </w:r>
    </w:p>
    <w:p w14:paraId="7E7F7DDF" w14:textId="77777777" w:rsidR="001E4435" w:rsidRPr="001E4435" w:rsidRDefault="001E4435" w:rsidP="001E4435">
      <w:pPr>
        <w:spacing w:before="100" w:beforeAutospacing="1" w:after="100" w:afterAutospacing="1"/>
        <w:rPr>
          <w:rFonts w:ascii="Times New Roman" w:hAnsi="Times New Roman"/>
        </w:rPr>
      </w:pPr>
      <w:r w:rsidRPr="001E4435">
        <w:rPr>
          <w:rFonts w:ascii="Times New Roman" w:hAnsi="Times New Roman"/>
          <w:b/>
          <w:bCs/>
        </w:rPr>
        <w:t>Tabelle: Rückbindung der Abschnitte in Kapitel 6 an Kapitel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378"/>
        <w:gridCol w:w="2490"/>
        <w:gridCol w:w="3123"/>
      </w:tblGrid>
      <w:tr w:rsidR="001E4435" w:rsidRPr="001E4435" w14:paraId="08F86A34" w14:textId="77777777" w:rsidTr="001E4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CCAC5" w14:textId="77777777" w:rsidR="001E4435" w:rsidRPr="001E4435" w:rsidRDefault="001E4435" w:rsidP="001E443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E4435">
              <w:rPr>
                <w:rFonts w:ascii="Times New Roman" w:hAnsi="Times New Roman"/>
                <w:b/>
                <w:bCs/>
              </w:rPr>
              <w:t>Kapitel 6 – Abschnitt</w:t>
            </w:r>
          </w:p>
        </w:tc>
        <w:tc>
          <w:tcPr>
            <w:tcW w:w="0" w:type="auto"/>
            <w:vAlign w:val="center"/>
            <w:hideMark/>
          </w:tcPr>
          <w:p w14:paraId="11CBE407" w14:textId="77777777" w:rsidR="001E4435" w:rsidRPr="001E4435" w:rsidRDefault="001E4435" w:rsidP="001E443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E4435">
              <w:rPr>
                <w:rFonts w:ascii="Times New Roman" w:hAnsi="Times New Roman"/>
                <w:b/>
                <w:bCs/>
              </w:rPr>
              <w:t>Bezug zu Kapitel 3</w:t>
            </w:r>
          </w:p>
        </w:tc>
        <w:tc>
          <w:tcPr>
            <w:tcW w:w="0" w:type="auto"/>
            <w:vAlign w:val="center"/>
            <w:hideMark/>
          </w:tcPr>
          <w:p w14:paraId="55F788C7" w14:textId="77777777" w:rsidR="001E4435" w:rsidRPr="001E4435" w:rsidRDefault="001E4435" w:rsidP="001E443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E4435">
              <w:rPr>
                <w:rFonts w:ascii="Times New Roman" w:hAnsi="Times New Roman"/>
                <w:b/>
                <w:bCs/>
              </w:rPr>
              <w:t>Theoretisches Stichwort</w:t>
            </w:r>
          </w:p>
        </w:tc>
        <w:tc>
          <w:tcPr>
            <w:tcW w:w="0" w:type="auto"/>
            <w:vAlign w:val="center"/>
            <w:hideMark/>
          </w:tcPr>
          <w:p w14:paraId="144728E4" w14:textId="77777777" w:rsidR="001E4435" w:rsidRPr="001E4435" w:rsidRDefault="001E4435" w:rsidP="001E443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E4435">
              <w:rPr>
                <w:rFonts w:ascii="Times New Roman" w:hAnsi="Times New Roman"/>
                <w:b/>
                <w:bCs/>
              </w:rPr>
              <w:t>Kurzbegründung / Verbindung</w:t>
            </w:r>
          </w:p>
        </w:tc>
      </w:tr>
      <w:tr w:rsidR="001E4435" w:rsidRPr="001E4435" w14:paraId="223D8A5A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0949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6.1 Einführung</w:t>
            </w:r>
          </w:p>
        </w:tc>
        <w:tc>
          <w:tcPr>
            <w:tcW w:w="0" w:type="auto"/>
            <w:vAlign w:val="center"/>
            <w:hideMark/>
          </w:tcPr>
          <w:p w14:paraId="04E3F86F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3.1–3.2</w:t>
            </w:r>
          </w:p>
        </w:tc>
        <w:tc>
          <w:tcPr>
            <w:tcW w:w="0" w:type="auto"/>
            <w:vAlign w:val="center"/>
            <w:hideMark/>
          </w:tcPr>
          <w:p w14:paraId="38BE75AB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Modellverständnis, MU</w:t>
            </w:r>
          </w:p>
        </w:tc>
        <w:tc>
          <w:tcPr>
            <w:tcW w:w="0" w:type="auto"/>
            <w:vAlign w:val="center"/>
            <w:hideMark/>
          </w:tcPr>
          <w:p w14:paraId="7DB4F590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Herleitung des funktionalen Bezugsrahmens aus strukturloser Ausgangslage</w:t>
            </w:r>
          </w:p>
        </w:tc>
      </w:tr>
      <w:tr w:rsidR="001E4435" w:rsidRPr="001E4435" w14:paraId="57A10DE3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6E0C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6.2 Ontologische Innovation</w:t>
            </w:r>
          </w:p>
        </w:tc>
        <w:tc>
          <w:tcPr>
            <w:tcW w:w="0" w:type="auto"/>
            <w:vAlign w:val="center"/>
            <w:hideMark/>
          </w:tcPr>
          <w:p w14:paraId="2217838D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3.3.1–3.3.4</w:t>
            </w:r>
          </w:p>
        </w:tc>
        <w:tc>
          <w:tcPr>
            <w:tcW w:w="0" w:type="auto"/>
            <w:vAlign w:val="center"/>
            <w:hideMark/>
          </w:tcPr>
          <w:p w14:paraId="7B1E6CBE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Zuweisung, Differenz</w:t>
            </w:r>
          </w:p>
        </w:tc>
        <w:tc>
          <w:tcPr>
            <w:tcW w:w="0" w:type="auto"/>
            <w:vAlign w:val="center"/>
            <w:hideMark/>
          </w:tcPr>
          <w:p w14:paraId="593EC1E3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Grundstruktur der Raum-Zeit-Objekt-Relation im Sinne iterativer Differenzbildung</w:t>
            </w:r>
          </w:p>
        </w:tc>
      </w:tr>
      <w:tr w:rsidR="001E4435" w:rsidRPr="001E4435" w14:paraId="7606B503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90EF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6.3 Epistemische Innovation</w:t>
            </w:r>
          </w:p>
        </w:tc>
        <w:tc>
          <w:tcPr>
            <w:tcW w:w="0" w:type="auto"/>
            <w:vAlign w:val="center"/>
            <w:hideMark/>
          </w:tcPr>
          <w:p w14:paraId="562B0800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3.4, 3.6.2</w:t>
            </w:r>
          </w:p>
        </w:tc>
        <w:tc>
          <w:tcPr>
            <w:tcW w:w="0" w:type="auto"/>
            <w:vAlign w:val="center"/>
            <w:hideMark/>
          </w:tcPr>
          <w:p w14:paraId="4BDEC669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Erkenntnismodell, Funktion</w:t>
            </w:r>
          </w:p>
        </w:tc>
        <w:tc>
          <w:tcPr>
            <w:tcW w:w="0" w:type="auto"/>
            <w:vAlign w:val="center"/>
            <w:hideMark/>
          </w:tcPr>
          <w:p w14:paraId="3C6E7EE4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Erkenntnis als dynamische Struktur aus funktionslogischer Koordination</w:t>
            </w:r>
          </w:p>
        </w:tc>
      </w:tr>
      <w:tr w:rsidR="001E4435" w:rsidRPr="001E4435" w14:paraId="7FD65B71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192A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6.4 Methodologische Innovation</w:t>
            </w:r>
          </w:p>
        </w:tc>
        <w:tc>
          <w:tcPr>
            <w:tcW w:w="0" w:type="auto"/>
            <w:vAlign w:val="center"/>
            <w:hideMark/>
          </w:tcPr>
          <w:p w14:paraId="13E161D0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3.3, 3.5, 3.7</w:t>
            </w:r>
          </w:p>
        </w:tc>
        <w:tc>
          <w:tcPr>
            <w:tcW w:w="0" w:type="auto"/>
            <w:vAlign w:val="center"/>
            <w:hideMark/>
          </w:tcPr>
          <w:p w14:paraId="48721E49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Struktur, Emergenz, Iteration</w:t>
            </w:r>
          </w:p>
        </w:tc>
        <w:tc>
          <w:tcPr>
            <w:tcW w:w="0" w:type="auto"/>
            <w:vAlign w:val="center"/>
            <w:hideMark/>
          </w:tcPr>
          <w:p w14:paraId="5D00B96C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Methodische Umsetzung der differenzbasierten Modellbildung aus MU</w:t>
            </w:r>
          </w:p>
        </w:tc>
      </w:tr>
      <w:tr w:rsidR="001E4435" w:rsidRPr="001E4435" w14:paraId="73683410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FDE1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6.5 Generische Modellbildung</w:t>
            </w:r>
          </w:p>
        </w:tc>
        <w:tc>
          <w:tcPr>
            <w:tcW w:w="0" w:type="auto"/>
            <w:vAlign w:val="center"/>
            <w:hideMark/>
          </w:tcPr>
          <w:p w14:paraId="6BDE7614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3.3, 3.4.1, 3.8.1</w:t>
            </w:r>
          </w:p>
        </w:tc>
        <w:tc>
          <w:tcPr>
            <w:tcW w:w="0" w:type="auto"/>
            <w:vAlign w:val="center"/>
            <w:hideMark/>
          </w:tcPr>
          <w:p w14:paraId="5064D932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1E4435">
              <w:rPr>
                <w:rFonts w:ascii="Times New Roman" w:hAnsi="Times New Roman"/>
              </w:rPr>
              <w:t>Modelltransversalität</w:t>
            </w:r>
            <w:proofErr w:type="spellEnd"/>
            <w:r w:rsidRPr="001E4435">
              <w:rPr>
                <w:rFonts w:ascii="Times New Roman" w:hAnsi="Times New Roman"/>
              </w:rPr>
              <w:t>, Invarianz</w:t>
            </w:r>
          </w:p>
        </w:tc>
        <w:tc>
          <w:tcPr>
            <w:tcW w:w="0" w:type="auto"/>
            <w:vAlign w:val="center"/>
            <w:hideMark/>
          </w:tcPr>
          <w:p w14:paraId="47ED3DC9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Strukturprinzipien ermöglichen kontextunabhängige Modellbildung</w:t>
            </w:r>
          </w:p>
        </w:tc>
      </w:tr>
      <w:tr w:rsidR="001E4435" w:rsidRPr="001E4435" w14:paraId="37CD1A09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472A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6.6 Didaktische Felder</w:t>
            </w:r>
          </w:p>
        </w:tc>
        <w:tc>
          <w:tcPr>
            <w:tcW w:w="0" w:type="auto"/>
            <w:vAlign w:val="center"/>
            <w:hideMark/>
          </w:tcPr>
          <w:p w14:paraId="0F91121E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3.5.2, 3.8.2</w:t>
            </w:r>
          </w:p>
        </w:tc>
        <w:tc>
          <w:tcPr>
            <w:tcW w:w="0" w:type="auto"/>
            <w:vAlign w:val="center"/>
            <w:hideMark/>
          </w:tcPr>
          <w:p w14:paraId="4B70C61D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Feldstruktur, Lernen als Emergenz</w:t>
            </w:r>
          </w:p>
        </w:tc>
        <w:tc>
          <w:tcPr>
            <w:tcW w:w="0" w:type="auto"/>
            <w:vAlign w:val="center"/>
            <w:hideMark/>
          </w:tcPr>
          <w:p w14:paraId="406D2FBC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Didaktische Räume als funktionale Felder mit Zuweisungslogik</w:t>
            </w:r>
          </w:p>
        </w:tc>
      </w:tr>
      <w:tr w:rsidR="001E4435" w:rsidRPr="001E4435" w14:paraId="0247114A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A3D5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6.7 Systemische Innovation</w:t>
            </w:r>
          </w:p>
        </w:tc>
        <w:tc>
          <w:tcPr>
            <w:tcW w:w="0" w:type="auto"/>
            <w:vAlign w:val="center"/>
            <w:hideMark/>
          </w:tcPr>
          <w:p w14:paraId="2CD6170B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3.6.1, 3.8.3</w:t>
            </w:r>
          </w:p>
        </w:tc>
        <w:tc>
          <w:tcPr>
            <w:tcW w:w="0" w:type="auto"/>
            <w:vAlign w:val="center"/>
            <w:hideMark/>
          </w:tcPr>
          <w:p w14:paraId="2C3ED3B8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Rückkopplung, Selbstreferenz</w:t>
            </w:r>
          </w:p>
        </w:tc>
        <w:tc>
          <w:tcPr>
            <w:tcW w:w="0" w:type="auto"/>
            <w:vAlign w:val="center"/>
            <w:hideMark/>
          </w:tcPr>
          <w:p w14:paraId="014D01B4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Systeme als emergente Einheiten mit interner Funktionskohärenz</w:t>
            </w:r>
          </w:p>
        </w:tc>
      </w:tr>
      <w:tr w:rsidR="001E4435" w:rsidRPr="001E4435" w14:paraId="5809B8CB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EE84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6.8 Räume &amp; Architektur</w:t>
            </w:r>
          </w:p>
        </w:tc>
        <w:tc>
          <w:tcPr>
            <w:tcW w:w="0" w:type="auto"/>
            <w:vAlign w:val="center"/>
            <w:hideMark/>
          </w:tcPr>
          <w:p w14:paraId="69C130DA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3.5.3, 3.7.4</w:t>
            </w:r>
          </w:p>
        </w:tc>
        <w:tc>
          <w:tcPr>
            <w:tcW w:w="0" w:type="auto"/>
            <w:vAlign w:val="center"/>
            <w:hideMark/>
          </w:tcPr>
          <w:p w14:paraId="337C0645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Epistemische Räume, strukturelle Differenz</w:t>
            </w:r>
          </w:p>
        </w:tc>
        <w:tc>
          <w:tcPr>
            <w:tcW w:w="0" w:type="auto"/>
            <w:vAlign w:val="center"/>
            <w:hideMark/>
          </w:tcPr>
          <w:p w14:paraId="38094E32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Lernorte als konstruktive Felder epistemischer Bewegung</w:t>
            </w:r>
          </w:p>
        </w:tc>
      </w:tr>
      <w:tr w:rsidR="001E4435" w:rsidRPr="001E4435" w14:paraId="394E6A89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1B6A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6.9 Digitale Zuweisungsräume</w:t>
            </w:r>
          </w:p>
        </w:tc>
        <w:tc>
          <w:tcPr>
            <w:tcW w:w="0" w:type="auto"/>
            <w:vAlign w:val="center"/>
            <w:hideMark/>
          </w:tcPr>
          <w:p w14:paraId="7A3F78E9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3.5.2, 3.8.4</w:t>
            </w:r>
          </w:p>
        </w:tc>
        <w:tc>
          <w:tcPr>
            <w:tcW w:w="0" w:type="auto"/>
            <w:vAlign w:val="center"/>
            <w:hideMark/>
          </w:tcPr>
          <w:p w14:paraId="700E86D1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Hybridisierung, Interface</w:t>
            </w:r>
          </w:p>
        </w:tc>
        <w:tc>
          <w:tcPr>
            <w:tcW w:w="0" w:type="auto"/>
            <w:vAlign w:val="center"/>
            <w:hideMark/>
          </w:tcPr>
          <w:p w14:paraId="7856E9A6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Digitale Systeme als reine Felder funktionaler Zuweisung</w:t>
            </w:r>
          </w:p>
        </w:tc>
      </w:tr>
      <w:tr w:rsidR="001E4435" w:rsidRPr="001E4435" w14:paraId="0C47C769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CC89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6.10 Kreative Hybridfelder</w:t>
            </w:r>
          </w:p>
        </w:tc>
        <w:tc>
          <w:tcPr>
            <w:tcW w:w="0" w:type="auto"/>
            <w:vAlign w:val="center"/>
            <w:hideMark/>
          </w:tcPr>
          <w:p w14:paraId="6008512D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3.7.3, 3.8.1–3.8.4</w:t>
            </w:r>
          </w:p>
        </w:tc>
        <w:tc>
          <w:tcPr>
            <w:tcW w:w="0" w:type="auto"/>
            <w:vAlign w:val="center"/>
            <w:hideMark/>
          </w:tcPr>
          <w:p w14:paraId="3A1F0809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Transdisziplinarität, Interferenz</w:t>
            </w:r>
          </w:p>
        </w:tc>
        <w:tc>
          <w:tcPr>
            <w:tcW w:w="0" w:type="auto"/>
            <w:vAlign w:val="center"/>
            <w:hideMark/>
          </w:tcPr>
          <w:p w14:paraId="53840F32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Emergenz durch Verschaltung heterogener Zuweisungslogiken</w:t>
            </w:r>
          </w:p>
        </w:tc>
      </w:tr>
      <w:tr w:rsidR="001E4435" w:rsidRPr="001E4435" w14:paraId="1D69156C" w14:textId="77777777" w:rsidTr="001E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BD3E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6.11 Zusammenfassung</w:t>
            </w:r>
          </w:p>
        </w:tc>
        <w:tc>
          <w:tcPr>
            <w:tcW w:w="0" w:type="auto"/>
            <w:vAlign w:val="center"/>
            <w:hideMark/>
          </w:tcPr>
          <w:p w14:paraId="489DD2E8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Querschnitt über 3.1–3.8</w:t>
            </w:r>
          </w:p>
        </w:tc>
        <w:tc>
          <w:tcPr>
            <w:tcW w:w="0" w:type="auto"/>
            <w:vAlign w:val="center"/>
            <w:hideMark/>
          </w:tcPr>
          <w:p w14:paraId="69B0F0E2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Strukturkonsistenz, Systemintegration</w:t>
            </w:r>
          </w:p>
        </w:tc>
        <w:tc>
          <w:tcPr>
            <w:tcW w:w="0" w:type="auto"/>
            <w:vAlign w:val="center"/>
            <w:hideMark/>
          </w:tcPr>
          <w:p w14:paraId="44160FCD" w14:textId="77777777" w:rsidR="001E4435" w:rsidRPr="001E4435" w:rsidRDefault="001E4435" w:rsidP="001E4435">
            <w:pPr>
              <w:spacing w:after="0"/>
              <w:rPr>
                <w:rFonts w:ascii="Times New Roman" w:hAnsi="Times New Roman"/>
              </w:rPr>
            </w:pPr>
            <w:r w:rsidRPr="001E4435">
              <w:rPr>
                <w:rFonts w:ascii="Times New Roman" w:hAnsi="Times New Roman"/>
              </w:rPr>
              <w:t>Verbindung und Konsolidierung der Innovationslinien über alle theoretischen Grundelemente</w:t>
            </w:r>
          </w:p>
        </w:tc>
      </w:tr>
    </w:tbl>
    <w:p w14:paraId="6367A3ED" w14:textId="77777777" w:rsidR="001E4435" w:rsidRPr="001E4435" w:rsidRDefault="001E4435" w:rsidP="001E4435">
      <w:pPr>
        <w:spacing w:after="0"/>
        <w:rPr>
          <w:rFonts w:ascii="Times New Roman" w:hAnsi="Times New Roman"/>
        </w:rPr>
      </w:pPr>
      <w:r w:rsidRPr="001E4435">
        <w:rPr>
          <w:rFonts w:ascii="Times New Roman" w:hAnsi="Times New Roman"/>
        </w:rPr>
        <w:pict w14:anchorId="3B8F0B8C">
          <v:rect id="_x0000_i1026" style="width:0;height:1.5pt" o:hralign="center" o:hrstd="t" o:hr="t" fillcolor="#a0a0a0" stroked="f"/>
        </w:pict>
      </w:r>
    </w:p>
    <w:p w14:paraId="1A08B72E" w14:textId="77777777" w:rsidR="001E4435" w:rsidRPr="001E4435" w:rsidRDefault="001E4435" w:rsidP="001E4435">
      <w:pPr>
        <w:spacing w:before="100" w:beforeAutospacing="1" w:after="100" w:afterAutospacing="1"/>
        <w:rPr>
          <w:rFonts w:ascii="Times New Roman" w:hAnsi="Times New Roman"/>
        </w:rPr>
      </w:pPr>
      <w:r w:rsidRPr="001E4435">
        <w:rPr>
          <w:rFonts w:ascii="Times New Roman" w:hAnsi="Times New Roman"/>
          <w:b/>
          <w:bCs/>
        </w:rPr>
        <w:lastRenderedPageBreak/>
        <w:t>Hinweise zur Nutzung:</w:t>
      </w:r>
    </w:p>
    <w:p w14:paraId="5B6831C2" w14:textId="77777777" w:rsidR="001E4435" w:rsidRPr="001E4435" w:rsidRDefault="001E4435" w:rsidP="001E443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1E4435">
        <w:rPr>
          <w:rFonts w:ascii="Times New Roman" w:hAnsi="Times New Roman"/>
        </w:rPr>
        <w:t>Diese Rückbindung kann als Metakommentar am Ende von Kapitel 6 oder als Reflexionsfolie im Forschungsteil genutzt werden.</w:t>
      </w:r>
    </w:p>
    <w:p w14:paraId="4749B558" w14:textId="77777777" w:rsidR="001E4435" w:rsidRPr="001E4435" w:rsidRDefault="001E4435" w:rsidP="001E443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1E4435">
        <w:rPr>
          <w:rFonts w:ascii="Times New Roman" w:hAnsi="Times New Roman"/>
        </w:rPr>
        <w:t>Sie dient auch als Grundlage für die Diskussion systemischer Kohärenz im weiteren Verlauf der Arbeit (z. B. in Kapitel 7).</w:t>
      </w:r>
    </w:p>
    <w:p w14:paraId="71BED0F3" w14:textId="77777777" w:rsidR="001E4435" w:rsidRPr="001E4435" w:rsidRDefault="001E4435" w:rsidP="001E4435">
      <w:pPr>
        <w:spacing w:before="100" w:beforeAutospacing="1" w:after="100" w:afterAutospacing="1"/>
        <w:rPr>
          <w:rFonts w:ascii="Times New Roman" w:hAnsi="Times New Roman"/>
        </w:rPr>
      </w:pPr>
      <w:r w:rsidRPr="001E4435">
        <w:rPr>
          <w:rFonts w:ascii="Times New Roman" w:hAnsi="Times New Roman"/>
          <w:b/>
          <w:bCs/>
        </w:rPr>
        <w:t>Verweis im Text:</w:t>
      </w:r>
      <w:r w:rsidRPr="001E4435">
        <w:rPr>
          <w:rFonts w:ascii="Times New Roman" w:hAnsi="Times New Roman"/>
        </w:rPr>
        <w:br/>
        <w:t>Diese Anlage wird empfohlen nach Abschnitt 6.11 oder in einer methodischen Fußnote zur Kohärenzprüfung:</w:t>
      </w:r>
      <w:r w:rsidRPr="001E4435">
        <w:rPr>
          <w:rFonts w:ascii="Times New Roman" w:hAnsi="Times New Roman"/>
        </w:rPr>
        <w:br/>
      </w:r>
      <w:r w:rsidRPr="001E4435">
        <w:rPr>
          <w:rFonts w:ascii="Times New Roman" w:hAnsi="Times New Roman"/>
          <w:i/>
          <w:iCs/>
        </w:rPr>
        <w:t>„Zur theoretischen Rückbindung der Innovationslinien siehe Anlage 6.I.“</w:t>
      </w:r>
    </w:p>
    <w:p w14:paraId="2CAE9E65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7340B3"/>
    <w:multiLevelType w:val="multilevel"/>
    <w:tmpl w:val="B9C6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35"/>
    <w:rsid w:val="000467F2"/>
    <w:rsid w:val="00082214"/>
    <w:rsid w:val="00106528"/>
    <w:rsid w:val="001830F2"/>
    <w:rsid w:val="0019229D"/>
    <w:rsid w:val="001E4435"/>
    <w:rsid w:val="002D4202"/>
    <w:rsid w:val="00324306"/>
    <w:rsid w:val="00433ECB"/>
    <w:rsid w:val="00436FC4"/>
    <w:rsid w:val="00446557"/>
    <w:rsid w:val="00500020"/>
    <w:rsid w:val="005454E6"/>
    <w:rsid w:val="005B5EFD"/>
    <w:rsid w:val="006016DC"/>
    <w:rsid w:val="007B7DE7"/>
    <w:rsid w:val="007E333F"/>
    <w:rsid w:val="008871CF"/>
    <w:rsid w:val="008B0C43"/>
    <w:rsid w:val="008C4935"/>
    <w:rsid w:val="009032D7"/>
    <w:rsid w:val="00A307C9"/>
    <w:rsid w:val="00AA4222"/>
    <w:rsid w:val="00AF6392"/>
    <w:rsid w:val="00B53EE0"/>
    <w:rsid w:val="00B873C2"/>
    <w:rsid w:val="00BA664A"/>
    <w:rsid w:val="00CD2089"/>
    <w:rsid w:val="00D33BDA"/>
    <w:rsid w:val="00D44FE7"/>
    <w:rsid w:val="00D542C6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474F7"/>
  <w15:chartTrackingRefBased/>
  <w15:docId w15:val="{6E251DA1-DF3C-4F3C-A60D-73DEF333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4306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A307C9"/>
    <w:pPr>
      <w:keepNext/>
      <w:keepLines/>
      <w:spacing w:before="480"/>
    </w:pPr>
    <w:rPr>
      <w:rFonts w:eastAsia="Calibri" w:cs="Calibri"/>
      <w:b/>
      <w:sz w:val="72"/>
      <w:szCs w:val="72"/>
    </w:rPr>
  </w:style>
  <w:style w:type="character" w:customStyle="1" w:styleId="TitelZchn">
    <w:name w:val="Titel Zchn"/>
    <w:link w:val="Titel"/>
    <w:uiPriority w:val="10"/>
    <w:rsid w:val="00A307C9"/>
    <w:rPr>
      <w:rFonts w:ascii="Calibri" w:eastAsia="Calibri" w:hAnsi="Calibri" w:cs="Calibri"/>
      <w:b/>
      <w:sz w:val="72"/>
      <w:szCs w:val="72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0467F2"/>
    <w:pPr>
      <w:tabs>
        <w:tab w:val="left" w:pos="1134"/>
      </w:tabs>
      <w:spacing w:before="20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0467F2"/>
    <w:rPr>
      <w:i/>
      <w:iCs/>
      <w:color w:val="404040"/>
      <w:sz w:val="24"/>
    </w:rPr>
  </w:style>
  <w:style w:type="paragraph" w:customStyle="1" w:styleId="Abbildungsname">
    <w:name w:val="Abbildungsname"/>
    <w:basedOn w:val="Standard"/>
    <w:link w:val="AbbildungsnameZchn"/>
    <w:qFormat/>
    <w:rsid w:val="00324306"/>
    <w:pPr>
      <w:spacing w:after="240"/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324306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qFormat/>
    <w:rsid w:val="002D4202"/>
    <w:pPr>
      <w:tabs>
        <w:tab w:val="left" w:pos="7088"/>
      </w:tabs>
      <w:spacing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2D4202"/>
    <w:rPr>
      <w:rFonts w:ascii="Cambria Math" w:hAnsi="Cambria Math"/>
      <w:i/>
      <w:iCs/>
      <w:sz w:val="24"/>
      <w:szCs w:val="24"/>
    </w:rPr>
  </w:style>
  <w:style w:type="character" w:styleId="Hervorhebung">
    <w:name w:val="Emphasis"/>
    <w:uiPriority w:val="20"/>
    <w:qFormat/>
    <w:rsid w:val="001E44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347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2025-06-20T17:23:00Z</dcterms:created>
  <dcterms:modified xsi:type="dcterms:W3CDTF">2025-06-20T17:23:00Z</dcterms:modified>
</cp:coreProperties>
</file>