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E010F" w14:textId="77777777" w:rsidR="00326179" w:rsidRPr="00E156C9" w:rsidRDefault="00326179" w:rsidP="00326179">
      <w:pPr>
        <w:pStyle w:val="berschrift1"/>
        <w:rPr>
          <w:lang w:eastAsia="de-DE"/>
        </w:rPr>
      </w:pPr>
      <w:r>
        <w:rPr>
          <w:lang w:eastAsia="de-DE"/>
        </w:rPr>
        <w:t>Kapitel 6 -</w:t>
      </w:r>
      <w:r w:rsidRPr="00E156C9">
        <w:rPr>
          <w:lang w:eastAsia="de-DE"/>
        </w:rPr>
        <w:t xml:space="preserve"> Innovation</w:t>
      </w:r>
      <w:r>
        <w:rPr>
          <w:lang w:eastAsia="de-DE"/>
        </w:rPr>
        <w:t>en</w:t>
      </w:r>
      <w:r w:rsidRPr="00E156C9">
        <w:rPr>
          <w:lang w:eastAsia="de-DE"/>
        </w:rPr>
        <w:t xml:space="preserve"> durch das </w:t>
      </w:r>
      <w:r>
        <w:rPr>
          <w:lang w:eastAsia="de-DE"/>
        </w:rPr>
        <w:t>FRZK</w:t>
      </w:r>
    </w:p>
    <w:p w14:paraId="0EF05DD1" w14:textId="7DF141A3" w:rsidR="0064221F" w:rsidRPr="0064221F" w:rsidRDefault="00326179" w:rsidP="00326179">
      <w:pPr>
        <w:pStyle w:val="berschrift2"/>
      </w:pPr>
      <w:r>
        <w:t xml:space="preserve">6.1 </w:t>
      </w:r>
      <w:r w:rsidR="0064221F" w:rsidRPr="0064221F">
        <w:t xml:space="preserve">Innovation durch das </w:t>
      </w:r>
      <w:r w:rsidR="007D659A">
        <w:t>FRZK</w:t>
      </w:r>
      <w:r w:rsidR="0064221F" w:rsidRPr="0064221F">
        <w:t xml:space="preserve"> – Einführung und theoretische Verankerung</w:t>
      </w:r>
    </w:p>
    <w:p w14:paraId="31C652FE" w14:textId="1DE81867" w:rsidR="0064221F" w:rsidRPr="0064221F" w:rsidRDefault="0064221F" w:rsidP="007D659A">
      <w:r w:rsidRPr="0064221F">
        <w:t>Das Funktionale Bezugssystem radikal konstruiert (</w:t>
      </w:r>
      <w:r w:rsidR="007D659A">
        <w:t>FRZK</w:t>
      </w:r>
      <w:r w:rsidRPr="0064221F">
        <w:t xml:space="preserve">) repräsentiert eine erkenntnistheoretische und methodologische Innovation, die über spezifische Disziplinen hinausweist. Es stellt nicht lediglich eine Alternative zu etablierten physikalischen Theoriemodellen dar, sondern formuliert ein strukturierendes Prinzip für die Konstruktion von Prozessen und Beziehungen jeglicher Art – ob physikalisch, biologisch, kognitiv, sozial oder symbolisch. Diese strukturelle Offenheit und epistemische Reflexivität machen das </w:t>
      </w:r>
      <w:r w:rsidR="007D659A">
        <w:t>FRZK</w:t>
      </w:r>
      <w:r w:rsidRPr="0064221F">
        <w:t xml:space="preserve"> zu einem transdisziplinären Modellierungsinstrument, das neue Wege der systematischen Welterschließung eröffnet [1][2].</w:t>
      </w:r>
    </w:p>
    <w:p w14:paraId="15D2A608" w14:textId="77777777" w:rsidR="00326179" w:rsidRPr="0064221F" w:rsidRDefault="008D0DC3" w:rsidP="00326179">
      <w:pPr>
        <w:spacing w:after="0"/>
        <w:rPr>
          <w:rFonts w:ascii="Times New Roman" w:hAnsi="Times New Roman"/>
        </w:rPr>
      </w:pPr>
      <w:r>
        <w:rPr>
          <w:rFonts w:ascii="Times New Roman" w:hAnsi="Times New Roman"/>
        </w:rPr>
        <w:pict w14:anchorId="44F21313">
          <v:rect id="_x0000_i1025" style="width:0;height:1.5pt" o:hralign="center" o:hrstd="t" o:hr="t" fillcolor="#a0a0a0" stroked="f"/>
        </w:pict>
      </w:r>
    </w:p>
    <w:p w14:paraId="206AA4E7" w14:textId="77777777" w:rsidR="0064221F" w:rsidRPr="0064221F" w:rsidRDefault="0064221F" w:rsidP="007D659A">
      <w:pPr>
        <w:pStyle w:val="berschrift3"/>
      </w:pPr>
      <w:r w:rsidRPr="0064221F">
        <w:t>6.1.1 Innovation im erkenntnistheoretischen Sinn</w:t>
      </w:r>
    </w:p>
    <w:p w14:paraId="36450876" w14:textId="77777777" w:rsidR="0064221F" w:rsidRPr="0064221F" w:rsidRDefault="0064221F" w:rsidP="007D659A">
      <w:r w:rsidRPr="0064221F">
        <w:t>Im Sinne der Wissenschaftstheorie bezeichnet Innovation nicht nur inhaltliche Neuheiten, sondern einen Bruch mit den konzeptionellen Grundlagen bestehender Paradigmen. Thomas S. Kuhn beschreibt wissenschaftliche Innovation als „Paradigmenwechsel“, der nicht nur Theorien, sondern die Art, wie Fragen gestellt und Antworten als gültig anerkannt werden, verändert [3].</w:t>
      </w:r>
    </w:p>
    <w:p w14:paraId="116268D8" w14:textId="632A8DF6" w:rsidR="0064221F" w:rsidRPr="0064221F" w:rsidRDefault="0064221F" w:rsidP="007D659A">
      <w:r w:rsidRPr="0064221F">
        <w:t xml:space="preserve">Das </w:t>
      </w:r>
      <w:r w:rsidR="007D659A">
        <w:t>FRZK</w:t>
      </w:r>
      <w:r w:rsidRPr="0064221F">
        <w:t xml:space="preserve"> verkörpert eine solche fundamentale Innovation. Es ersetzt das klassische Repräsentationsmodell – in dem Modelle Abbilder einer unabhängig existierenden Welt sind – durch ein konstruktives Zuweisungsmodell. Erkenntnis entsteht nicht durch das Entdecken vorgegebener Entitäten, sondern durch die strukturierte Erzeugung von Bedeutung im Rahmen eines intern kohärenten Systems. Ernst von </w:t>
      </w:r>
      <w:proofErr w:type="spellStart"/>
      <w:r w:rsidRPr="0064221F">
        <w:t>Glasersfeld</w:t>
      </w:r>
      <w:proofErr w:type="spellEnd"/>
      <w:r w:rsidRPr="0064221F">
        <w:t xml:space="preserve"> formuliert diesen konstruktivistischen Kerngedanken so:</w:t>
      </w:r>
    </w:p>
    <w:p w14:paraId="075CCF02" w14:textId="77777777" w:rsidR="0064221F" w:rsidRPr="0064221F" w:rsidRDefault="0064221F" w:rsidP="007D659A">
      <w:r w:rsidRPr="0064221F">
        <w:t>„Der Beobachter konstruiert die Wirklichkeit, die er beobachtet.“ [4]</w:t>
      </w:r>
    </w:p>
    <w:p w14:paraId="0E7E3D79" w14:textId="5BEEB7F4" w:rsidR="0064221F" w:rsidRPr="0064221F" w:rsidRDefault="0064221F" w:rsidP="007D659A">
      <w:r w:rsidRPr="0064221F">
        <w:t xml:space="preserve">Innerhalb des </w:t>
      </w:r>
      <w:r w:rsidR="007D659A">
        <w:t>FRZK</w:t>
      </w:r>
      <w:r w:rsidRPr="0064221F">
        <w:t xml:space="preserve"> wird dieser Gedanke formalisiert: Ausgangspunkt ist ein strukturloser Zustand (MU), dem durch systematische Funktionszuweisungen Bedeutungen eingeschrieben werden – nicht als Repräsentation, sondern als emergente Relation (vgl. Kap. 3.1–3.2) [1][5].</w:t>
      </w:r>
    </w:p>
    <w:p w14:paraId="038E5F20" w14:textId="77777777" w:rsidR="00326179" w:rsidRPr="0064221F" w:rsidRDefault="008D0DC3" w:rsidP="00326179">
      <w:pPr>
        <w:spacing w:after="0"/>
        <w:rPr>
          <w:rFonts w:ascii="Times New Roman" w:hAnsi="Times New Roman"/>
        </w:rPr>
      </w:pPr>
      <w:r>
        <w:rPr>
          <w:rFonts w:ascii="Times New Roman" w:hAnsi="Times New Roman"/>
        </w:rPr>
        <w:pict w14:anchorId="4D384A7C">
          <v:rect id="_x0000_i1026" style="width:0;height:1.5pt" o:hralign="center" o:hrstd="t" o:hr="t" fillcolor="#a0a0a0" stroked="f"/>
        </w:pict>
      </w:r>
    </w:p>
    <w:p w14:paraId="1C08F1D9" w14:textId="77777777" w:rsidR="0064221F" w:rsidRPr="0064221F" w:rsidRDefault="0064221F" w:rsidP="007D659A">
      <w:pPr>
        <w:pStyle w:val="berschrift3"/>
      </w:pPr>
      <w:r w:rsidRPr="0064221F">
        <w:t>6.1.2 Prozesse und Beziehungen als funktionale Konstrukte</w:t>
      </w:r>
    </w:p>
    <w:p w14:paraId="1E32CFBA" w14:textId="0770CF8F" w:rsidR="0064221F" w:rsidRPr="0064221F" w:rsidRDefault="0064221F" w:rsidP="007D659A">
      <w:r w:rsidRPr="0064221F">
        <w:t xml:space="preserve">Zentrale Leistung des </w:t>
      </w:r>
      <w:r w:rsidR="007D659A">
        <w:t>FRZK</w:t>
      </w:r>
      <w:r w:rsidRPr="0064221F">
        <w:t xml:space="preserve"> ist die gleichrangige Behandlung von Prozessen und Beziehungen. Prozesse (wie Dynamiken, Transformationen, Abläufe) und Beziehungen (wie Differenzen, Abhängigkeiten, Perspektiven) entstehen nicht durch Abstraktion gegebener Entitäten, sondern durch den iterativen Vollzug funktionaler Zuweisungen (vgl. Kap. 3.3–3.4). Damit kehrt das </w:t>
      </w:r>
      <w:r w:rsidR="007D659A">
        <w:t>FRZK</w:t>
      </w:r>
      <w:r w:rsidRPr="0064221F">
        <w:t xml:space="preserve"> die ontologische Ordnung um: Nicht Objekte stiften Relationen – Relationen stiften Objekthaftigkeit.</w:t>
      </w:r>
    </w:p>
    <w:p w14:paraId="1E57C766" w14:textId="77777777" w:rsidR="0064221F" w:rsidRPr="0064221F" w:rsidRDefault="0064221F" w:rsidP="007D659A">
      <w:r w:rsidRPr="0064221F">
        <w:t>John Baez bringt diese radikale Umkehr prägnant zum Ausdruck:</w:t>
      </w:r>
    </w:p>
    <w:p w14:paraId="288949B5" w14:textId="77777777" w:rsidR="0064221F" w:rsidRPr="0064221F" w:rsidRDefault="0064221F" w:rsidP="007D659A">
      <w:r w:rsidRPr="0064221F">
        <w:t>„</w:t>
      </w:r>
      <w:proofErr w:type="spellStart"/>
      <w:r w:rsidRPr="0064221F">
        <w:t>Meaning</w:t>
      </w:r>
      <w:proofErr w:type="spellEnd"/>
      <w:r w:rsidRPr="0064221F">
        <w:t xml:space="preserve"> </w:t>
      </w:r>
      <w:proofErr w:type="spellStart"/>
      <w:r w:rsidRPr="0064221F">
        <w:t>is</w:t>
      </w:r>
      <w:proofErr w:type="spellEnd"/>
      <w:r w:rsidRPr="0064221F">
        <w:t xml:space="preserve"> a </w:t>
      </w:r>
      <w:proofErr w:type="spellStart"/>
      <w:r w:rsidRPr="0064221F">
        <w:t>morphism</w:t>
      </w:r>
      <w:proofErr w:type="spellEnd"/>
      <w:r w:rsidRPr="0064221F">
        <w:t xml:space="preserve">, not a </w:t>
      </w:r>
      <w:proofErr w:type="spellStart"/>
      <w:r w:rsidRPr="0064221F">
        <w:t>location</w:t>
      </w:r>
      <w:proofErr w:type="spellEnd"/>
      <w:r w:rsidRPr="0064221F">
        <w:t>.“ [6]</w:t>
      </w:r>
    </w:p>
    <w:p w14:paraId="35DD5A54" w14:textId="77777777" w:rsidR="0064221F" w:rsidRPr="0064221F" w:rsidRDefault="0064221F" w:rsidP="007D659A">
      <w:r w:rsidRPr="0064221F">
        <w:lastRenderedPageBreak/>
        <w:t>Diese Haltung ist kompatibel mit strukturalistischen, kategorientheoretischen, systemtheoretischen und kognitiven Modellen: Was als „Ding“, „Prozess“ oder „Struktur“ gilt, ist Resultat relationaler Positionen innerhalb eines konsistenten Funktionsnetzwerks [2][7].</w:t>
      </w:r>
    </w:p>
    <w:p w14:paraId="7A6DE760" w14:textId="77777777" w:rsidR="007D659A" w:rsidRPr="00831ECA" w:rsidRDefault="007D659A" w:rsidP="007D659A">
      <w:pPr>
        <w:spacing w:after="0"/>
        <w:rPr>
          <w:rFonts w:ascii="Times New Roman" w:hAnsi="Times New Roman"/>
        </w:rPr>
      </w:pPr>
      <w:r>
        <w:rPr>
          <w:rFonts w:ascii="Times New Roman" w:hAnsi="Times New Roman"/>
        </w:rPr>
        <w:pict w14:anchorId="3C17DC5E">
          <v:rect id="_x0000_i1077" style="width:0;height:1.5pt" o:hralign="center" o:hrstd="t" o:hr="t" fillcolor="#a0a0a0" stroked="f"/>
        </w:pict>
      </w:r>
    </w:p>
    <w:p w14:paraId="07DF1D7D" w14:textId="77777777" w:rsidR="0064221F" w:rsidRPr="0064221F" w:rsidRDefault="0064221F" w:rsidP="007D659A">
      <w:pPr>
        <w:pStyle w:val="berschrift3"/>
      </w:pPr>
      <w:r w:rsidRPr="0064221F">
        <w:t>6.1.3 Innovation durch transparente Modellbildung</w:t>
      </w:r>
    </w:p>
    <w:p w14:paraId="157AF724" w14:textId="191967E9" w:rsidR="0064221F" w:rsidRPr="0064221F" w:rsidRDefault="0064221F" w:rsidP="007D659A">
      <w:r w:rsidRPr="0064221F">
        <w:t xml:space="preserve">Ein entscheidendes Merkmal der Innovation des </w:t>
      </w:r>
      <w:r w:rsidR="007D659A">
        <w:t>FRZK</w:t>
      </w:r>
      <w:r w:rsidRPr="0064221F">
        <w:t xml:space="preserve"> ist seine Transparenz: Jedes Element des Modells ist auf explizite Zuweisungen zurückführbar. Es gibt keine verdeckten Axiome oder impliziten Bedeutungen – alle Modellstrukturen sind intern rekonstruierbar. Damit entsteht eine neue Art wissenschaftlicher Aussage:</w:t>
      </w:r>
    </w:p>
    <w:p w14:paraId="2967D26F" w14:textId="77777777" w:rsidR="0064221F" w:rsidRPr="0064221F" w:rsidRDefault="0064221F" w:rsidP="007D659A">
      <w:r w:rsidRPr="0064221F">
        <w:t>nicht: „Dies ist ein Modell der Realität“,</w:t>
      </w:r>
    </w:p>
    <w:p w14:paraId="0F00A233" w14:textId="77777777" w:rsidR="0064221F" w:rsidRPr="0064221F" w:rsidRDefault="0064221F" w:rsidP="007D659A">
      <w:r w:rsidRPr="0064221F">
        <w:t>sondern: „Dies ist ein aus Zuweisungen emergierendes Bedeutungssystem.“</w:t>
      </w:r>
    </w:p>
    <w:p w14:paraId="265B4902" w14:textId="77777777" w:rsidR="0064221F" w:rsidRPr="0064221F" w:rsidRDefault="0064221F" w:rsidP="007D659A">
      <w:r w:rsidRPr="0064221F">
        <w:t>Wolfgang Stegmüller deutet diese Verschiebung bereits in der strukturalistischen Theorieauffassung an:</w:t>
      </w:r>
    </w:p>
    <w:p w14:paraId="170C9A56" w14:textId="77777777" w:rsidR="0064221F" w:rsidRPr="0064221F" w:rsidRDefault="0064221F" w:rsidP="007D659A">
      <w:r w:rsidRPr="0064221F">
        <w:t>„Wissenschaftliche Begriffe erhalten ihren Inhalt durch die Position, die sie innerhalb eines Theoriesystems einnehmen.“ [8]</w:t>
      </w:r>
    </w:p>
    <w:p w14:paraId="59898917" w14:textId="5CEE2F00" w:rsidR="0064221F" w:rsidRPr="0064221F" w:rsidRDefault="0064221F" w:rsidP="007D659A">
      <w:r w:rsidRPr="0064221F">
        <w:t xml:space="preserve">Diese Position radikalisiert das </w:t>
      </w:r>
      <w:r w:rsidR="007D659A">
        <w:t>FRZK</w:t>
      </w:r>
      <w:r w:rsidRPr="0064221F">
        <w:t>: Positionen im Funktionsgefüge sind die physikalischen, biologischen oder semantischen Größen – nicht nur ihre Bedeutungsträger (vgl. Kap. 3.5–3.6) [2].</w:t>
      </w:r>
    </w:p>
    <w:p w14:paraId="1E11EF0D" w14:textId="77777777" w:rsidR="007D659A" w:rsidRPr="00831ECA" w:rsidRDefault="007D659A" w:rsidP="007D659A">
      <w:pPr>
        <w:spacing w:after="0"/>
        <w:rPr>
          <w:rFonts w:ascii="Times New Roman" w:hAnsi="Times New Roman"/>
        </w:rPr>
      </w:pPr>
      <w:r>
        <w:rPr>
          <w:rFonts w:ascii="Times New Roman" w:hAnsi="Times New Roman"/>
        </w:rPr>
        <w:pict w14:anchorId="655236EC">
          <v:rect id="_x0000_i1078" style="width:0;height:1.5pt" o:hralign="center" o:hrstd="t" o:hr="t" fillcolor="#a0a0a0" stroked="f"/>
        </w:pict>
      </w:r>
    </w:p>
    <w:p w14:paraId="0C5D2BDF" w14:textId="77777777" w:rsidR="0064221F" w:rsidRPr="0064221F" w:rsidRDefault="0064221F" w:rsidP="007D659A">
      <w:pPr>
        <w:pStyle w:val="berschrift3"/>
      </w:pPr>
      <w:r w:rsidRPr="0064221F">
        <w:t>6.1.4 Transdisziplinäre Anwendbarkeit: Vom Physikalischen zum Allgemeinen</w:t>
      </w:r>
    </w:p>
    <w:p w14:paraId="6D68CECB" w14:textId="3933B539" w:rsidR="0064221F" w:rsidRPr="0064221F" w:rsidRDefault="0064221F" w:rsidP="007D659A">
      <w:r w:rsidRPr="0064221F">
        <w:t xml:space="preserve">Das </w:t>
      </w:r>
      <w:r w:rsidR="007D659A">
        <w:t>FRZK</w:t>
      </w:r>
      <w:r w:rsidRPr="0064221F">
        <w:t xml:space="preserve"> ist nicht auf die Physik beschränkt, sondern in allen Bereichen anwendbar, in denen Prozesse und Beziehungen konstituiert werden müssen:</w:t>
      </w:r>
    </w:p>
    <w:p w14:paraId="68D23835" w14:textId="77777777" w:rsidR="0064221F" w:rsidRPr="0064221F" w:rsidRDefault="0064221F" w:rsidP="007D659A">
      <w:r w:rsidRPr="0064221F">
        <w:t>In der Kognitionswissenschaft lassen sich Wahrnehmung, Intentionalität und Handlung als Zuweisungsprozesse modellieren – nicht als mentale „Objekte“ [9].</w:t>
      </w:r>
    </w:p>
    <w:p w14:paraId="63C329D6" w14:textId="77777777" w:rsidR="0064221F" w:rsidRPr="0064221F" w:rsidRDefault="0064221F" w:rsidP="007D659A">
      <w:r w:rsidRPr="0064221F">
        <w:t>In der Systembiologie können zelluläre oder neuronale Prozesse relational beschrieben werden – ohne Bezug auf substanzontologische Grundannahmen [10].</w:t>
      </w:r>
    </w:p>
    <w:p w14:paraId="5128D5C0" w14:textId="4157EDC1" w:rsidR="0064221F" w:rsidRPr="0064221F" w:rsidRDefault="0064221F" w:rsidP="007D659A">
      <w:r w:rsidRPr="0064221F">
        <w:t xml:space="preserve">In der Soziologie macht das </w:t>
      </w:r>
      <w:r w:rsidR="007D659A">
        <w:t>FRZK</w:t>
      </w:r>
      <w:r w:rsidRPr="0064221F">
        <w:t xml:space="preserve"> symbolische Interaktionen und kommunikative Verhältnisse systemisch modellierbar – über Zuweisungsfunktionen von Sinn und Rolle [11].</w:t>
      </w:r>
    </w:p>
    <w:p w14:paraId="269D0CE1" w14:textId="77777777" w:rsidR="0064221F" w:rsidRPr="0064221F" w:rsidRDefault="0064221F" w:rsidP="007D659A">
      <w:r w:rsidRPr="0064221F">
        <w:t>In der Medien- und Informationstheorie wird Bedeutung als Effekt semiotischer Differenz konstruiert – nicht als Eigenschaft von Zeichen [12].</w:t>
      </w:r>
    </w:p>
    <w:p w14:paraId="7203DD51" w14:textId="77777777" w:rsidR="0064221F" w:rsidRPr="0064221F" w:rsidRDefault="0064221F" w:rsidP="007D659A">
      <w:r w:rsidRPr="0064221F">
        <w:t xml:space="preserve">In der Mathematik und Logik reflektieren kategoriale Strukturen dieselbe Grundidee: Bedeutung entsteht durch </w:t>
      </w:r>
      <w:proofErr w:type="spellStart"/>
      <w:r w:rsidRPr="0064221F">
        <w:t>Morphismen</w:t>
      </w:r>
      <w:proofErr w:type="spellEnd"/>
      <w:r w:rsidRPr="0064221F">
        <w:t>, nicht durch Elemente [6][13].</w:t>
      </w:r>
    </w:p>
    <w:p w14:paraId="194E5481" w14:textId="36F19013" w:rsidR="0064221F" w:rsidRPr="0064221F" w:rsidRDefault="0064221F" w:rsidP="007D659A">
      <w:r w:rsidRPr="0064221F">
        <w:t xml:space="preserve">Durch diese breite strukturelle Anschlussfähigkeit erfüllt das </w:t>
      </w:r>
      <w:r w:rsidR="007D659A">
        <w:t>FRZK</w:t>
      </w:r>
      <w:r w:rsidRPr="0064221F">
        <w:t xml:space="preserve"> die Anforderungen an ein universelles epistemisches Designprinzip, das theoretische Klarheit mit modellpraktischer Anschlussfähigkeit vereint (vgl. Kap. 3.7–3.8) [1][2].</w:t>
      </w:r>
    </w:p>
    <w:p w14:paraId="49B4671E" w14:textId="77777777" w:rsidR="007D659A" w:rsidRPr="00831ECA" w:rsidRDefault="007D659A" w:rsidP="007D659A">
      <w:pPr>
        <w:spacing w:after="0"/>
        <w:rPr>
          <w:rFonts w:ascii="Times New Roman" w:hAnsi="Times New Roman"/>
        </w:rPr>
      </w:pPr>
      <w:r>
        <w:rPr>
          <w:rFonts w:ascii="Times New Roman" w:hAnsi="Times New Roman"/>
        </w:rPr>
        <w:pict w14:anchorId="310C8E1B">
          <v:rect id="_x0000_i1079" style="width:0;height:1.5pt" o:hralign="center" o:hrstd="t" o:hr="t" fillcolor="#a0a0a0" stroked="f"/>
        </w:pict>
      </w:r>
    </w:p>
    <w:p w14:paraId="6D0C97E0" w14:textId="77777777" w:rsidR="0064221F" w:rsidRPr="0064221F" w:rsidRDefault="0064221F" w:rsidP="007D659A">
      <w:pPr>
        <w:pStyle w:val="berschrift3"/>
      </w:pPr>
      <w:r w:rsidRPr="0064221F">
        <w:t>6.1.5 Gliederung und Zielsetzung von Kapitel 6</w:t>
      </w:r>
    </w:p>
    <w:p w14:paraId="172B635D" w14:textId="2C016A34" w:rsidR="0064221F" w:rsidRPr="0064221F" w:rsidRDefault="0064221F" w:rsidP="007D659A">
      <w:r w:rsidRPr="0064221F">
        <w:t xml:space="preserve">Kapitel 6 entfaltet die Innovation des </w:t>
      </w:r>
      <w:r w:rsidR="007D659A">
        <w:t>FRZK</w:t>
      </w:r>
      <w:r w:rsidRPr="0064221F">
        <w:t xml:space="preserve"> entlang dreier Achsen:</w:t>
      </w:r>
    </w:p>
    <w:p w14:paraId="768FAB57" w14:textId="77777777" w:rsidR="0064221F" w:rsidRPr="0064221F" w:rsidRDefault="0064221F" w:rsidP="007D659A">
      <w:pPr>
        <w:pStyle w:val="Aufzhlung"/>
      </w:pPr>
      <w:r w:rsidRPr="0064221F">
        <w:rPr>
          <w:b/>
          <w:bCs/>
        </w:rPr>
        <w:t>Epistemologisch</w:t>
      </w:r>
      <w:r w:rsidRPr="0064221F">
        <w:t xml:space="preserve"> – Was bedeutet es, Wissen funktional zu konstruieren?</w:t>
      </w:r>
    </w:p>
    <w:p w14:paraId="00AD3088" w14:textId="77777777" w:rsidR="0064221F" w:rsidRPr="0064221F" w:rsidRDefault="0064221F" w:rsidP="007D659A">
      <w:pPr>
        <w:pStyle w:val="Aufzhlung"/>
      </w:pPr>
      <w:r w:rsidRPr="0064221F">
        <w:rPr>
          <w:b/>
          <w:bCs/>
        </w:rPr>
        <w:t>Methodologisch</w:t>
      </w:r>
      <w:r w:rsidRPr="0064221F">
        <w:t xml:space="preserve"> – Wie entsteht ein Modell aus einem strukturlosen Zustand?</w:t>
      </w:r>
    </w:p>
    <w:p w14:paraId="0F2B71B4" w14:textId="77777777" w:rsidR="0064221F" w:rsidRPr="0064221F" w:rsidRDefault="0064221F" w:rsidP="007D659A">
      <w:pPr>
        <w:pStyle w:val="Aufzhlung"/>
      </w:pPr>
      <w:r w:rsidRPr="0064221F">
        <w:rPr>
          <w:b/>
          <w:bCs/>
        </w:rPr>
        <w:t>Systemisch</w:t>
      </w:r>
      <w:r w:rsidRPr="0064221F">
        <w:t xml:space="preserve"> – Wie können Prozesse und Beziehungen in verschiedenen Domänen modelliert werden?</w:t>
      </w:r>
    </w:p>
    <w:p w14:paraId="10B5C4E3" w14:textId="2B6DDE83" w:rsidR="0064221F" w:rsidRPr="0064221F" w:rsidRDefault="0064221F" w:rsidP="007D659A">
      <w:r w:rsidRPr="0064221F">
        <w:t xml:space="preserve">Die folgenden Abschnitte konkretisieren diese Aspekte: 6.2 vertieft die erkenntnistheoretische Grundidee, 6.3 bis 6.5 zeigen die funktionale Modellierung an einem Beispiel, und 6.6 ff. analysieren methodische und disziplinäre Konsequenzen. Damit soll die universelle Tragweite der Innovationsleistung durch das </w:t>
      </w:r>
      <w:r w:rsidR="007D659A">
        <w:t>FRZK</w:t>
      </w:r>
      <w:r w:rsidRPr="0064221F">
        <w:t xml:space="preserve"> sichtbar und operationalisierbar gemacht werden.</w:t>
      </w:r>
    </w:p>
    <w:p w14:paraId="284EE3D0" w14:textId="77777777" w:rsidR="0064221F" w:rsidRPr="0064221F" w:rsidRDefault="008D0DC3" w:rsidP="0064221F">
      <w:pPr>
        <w:spacing w:after="0"/>
        <w:rPr>
          <w:rFonts w:ascii="Times New Roman" w:hAnsi="Times New Roman"/>
        </w:rPr>
      </w:pPr>
      <w:r>
        <w:rPr>
          <w:rFonts w:ascii="Times New Roman" w:hAnsi="Times New Roman"/>
        </w:rPr>
        <w:pict w14:anchorId="21066F81">
          <v:rect id="_x0000_i1027" style="width:0;height:1.5pt" o:hralign="center" o:hrstd="t" o:hr="t" fillcolor="#a0a0a0" stroked="f"/>
        </w:pict>
      </w:r>
    </w:p>
    <w:p w14:paraId="31883FC2" w14:textId="4CE6791C" w:rsidR="00831ECA" w:rsidRPr="00831ECA" w:rsidRDefault="00831ECA" w:rsidP="007D659A">
      <w:pPr>
        <w:pStyle w:val="berschrift2"/>
      </w:pPr>
      <w:r w:rsidRPr="00831ECA">
        <w:t>6.2 – Innovation im ontologischen und systemischen Sinn</w:t>
      </w:r>
    </w:p>
    <w:p w14:paraId="35714B93" w14:textId="1C0B3C0A" w:rsidR="00831ECA" w:rsidRPr="00831ECA" w:rsidRDefault="00831ECA" w:rsidP="007D659A">
      <w:r w:rsidRPr="00831ECA">
        <w:t xml:space="preserve">Das </w:t>
      </w:r>
      <w:r w:rsidR="007D659A">
        <w:t>FRZK</w:t>
      </w:r>
      <w:r w:rsidRPr="00831ECA">
        <w:t xml:space="preserve"> ist nicht nur erkenntnistheoretisch innovativ (vgl. Abschnitt 6.1), sondern auch ontologisch: Es definiert Raum, Zeit, Objekte und Kausalitäten nicht als vorgegebene Entitäten, sondern als durch Zuweisungen emergente Konstrukte. Damit wird ein grundlegend anderes Weltmodell formuliert, das sich mit klassischen ontologischen Kategorien nicht mehr beschreiben lässt.</w:t>
      </w:r>
    </w:p>
    <w:p w14:paraId="6B4FDA2A" w14:textId="77777777" w:rsidR="007D659A" w:rsidRPr="00831ECA" w:rsidRDefault="007D659A" w:rsidP="007D659A">
      <w:pPr>
        <w:spacing w:after="0"/>
        <w:rPr>
          <w:rFonts w:ascii="Times New Roman" w:hAnsi="Times New Roman"/>
        </w:rPr>
      </w:pPr>
      <w:r>
        <w:rPr>
          <w:rFonts w:ascii="Times New Roman" w:hAnsi="Times New Roman"/>
        </w:rPr>
        <w:pict w14:anchorId="28E4C46A">
          <v:rect id="_x0000_i1080" style="width:0;height:1.5pt" o:hralign="center" o:hrstd="t" o:hr="t" fillcolor="#a0a0a0" stroked="f"/>
        </w:pict>
      </w:r>
    </w:p>
    <w:p w14:paraId="566D190C" w14:textId="77777777" w:rsidR="00831ECA" w:rsidRPr="00831ECA" w:rsidRDefault="00831ECA" w:rsidP="007D659A">
      <w:pPr>
        <w:pStyle w:val="berschrift3"/>
      </w:pPr>
      <w:r w:rsidRPr="00831ECA">
        <w:t>6.2.1 Raum, Zeit und Objekte als Zuweisungseffekte</w:t>
      </w:r>
    </w:p>
    <w:p w14:paraId="3266C89D" w14:textId="1F0C254B" w:rsidR="00831ECA" w:rsidRPr="00831ECA" w:rsidRDefault="00831ECA" w:rsidP="007D659A">
      <w:r w:rsidRPr="00831ECA">
        <w:t xml:space="preserve">In klassischen Modellen werden Raum, Zeit und Objekte als fundamentale Gegebenheiten vorausgesetzt. Im </w:t>
      </w:r>
      <w:r w:rsidR="007D659A">
        <w:t>FRZK</w:t>
      </w:r>
      <w:r w:rsidRPr="00831ECA">
        <w:t xml:space="preserve"> hingegen sind sie Resultate eines funktionalen Prozesses: Sie entstehen durch systematische Zuweisung von Differenzen, Koordinaten und Bedeutungsträgern an eine ursprünglich strukturlose Ausgangsmenge. Diese Perspektive wurde in Kapitel 3 (insbesondere 3.3 und 3.4) ausführlich entwickelt und zeigt, dass „Raum“ nicht als Container, sondern als Koordinatenwertsystem modelliert wird, das erst durch Beobachter- und Funktionszuweisung realisiert wird.</w:t>
      </w:r>
    </w:p>
    <w:p w14:paraId="2C2AEE0D" w14:textId="77777777" w:rsidR="00831ECA" w:rsidRPr="00831ECA" w:rsidRDefault="00831ECA" w:rsidP="007D659A">
      <w:r w:rsidRPr="00831ECA">
        <w:t>Diese Konstruktion steht in Übereinstimmung mit neueren Raumkonzeptionen der Physik, etwa der emergenten Raumzeit in der Stringtheorie [14] oder feldtheoretischen Interpretationen, in denen geometrische Strukturen aus interaktiven Feldern entstehen [15]. Auch in der Philosophie der Wissenschaft wird zunehmend betont, dass Begriffe wie „Raum“, „Zeit“ und „Objekt“ keine ontologischen Konstanten sind, sondern kontextabhängige Strukturierungen innerhalb theoretischer Modelle [16].</w:t>
      </w:r>
    </w:p>
    <w:p w14:paraId="2A068845" w14:textId="77777777" w:rsidR="007D659A" w:rsidRPr="00831ECA" w:rsidRDefault="007D659A" w:rsidP="007D659A">
      <w:pPr>
        <w:spacing w:after="0"/>
        <w:rPr>
          <w:rFonts w:ascii="Times New Roman" w:hAnsi="Times New Roman"/>
        </w:rPr>
      </w:pPr>
      <w:r>
        <w:rPr>
          <w:rFonts w:ascii="Times New Roman" w:hAnsi="Times New Roman"/>
        </w:rPr>
        <w:pict w14:anchorId="71717E48">
          <v:rect id="_x0000_i1081" style="width:0;height:1.5pt" o:hralign="center" o:hrstd="t" o:hr="t" fillcolor="#a0a0a0" stroked="f"/>
        </w:pict>
      </w:r>
    </w:p>
    <w:p w14:paraId="05FB3959" w14:textId="77777777" w:rsidR="00831ECA" w:rsidRPr="00831ECA" w:rsidRDefault="00831ECA" w:rsidP="007D659A">
      <w:pPr>
        <w:pStyle w:val="berschrift3"/>
      </w:pPr>
      <w:r w:rsidRPr="00831ECA">
        <w:t>6.2.2 Subjektive Emergenz als systemische Konstruktion</w:t>
      </w:r>
    </w:p>
    <w:p w14:paraId="11D3CFE5" w14:textId="775F9952" w:rsidR="00831ECA" w:rsidRPr="00831ECA" w:rsidRDefault="00831ECA" w:rsidP="007D659A">
      <w:r w:rsidRPr="00831ECA">
        <w:t xml:space="preserve">Das </w:t>
      </w:r>
      <w:r w:rsidR="007D659A">
        <w:t>FRZK</w:t>
      </w:r>
      <w:r w:rsidRPr="00831ECA">
        <w:t xml:space="preserve"> erlaubt es, auch Beobachter, Perspektive und Subjektivität nicht als „gegeben“ zu denken, sondern als Ergebnis funktionaler Rückkopplungsschleifen – das Subjekt ist Teil des Systems, das es beobachtet. Damit wird eine reflexive Systemstruktur formuliert: Der Beobachter erzeugt das Modell, durch das er sich selbst als Beobachter konstituiert (vgl. Kap. 3.5.5). Heinz von Foerster bezeichnet solche Systeme als „realisierende Beobachter“, die nicht nur beobachten, sondern ihre Beobachtungsstruktur selbst mitkonstruieren [17].</w:t>
      </w:r>
    </w:p>
    <w:p w14:paraId="05DB3F63" w14:textId="254E7549" w:rsidR="00831ECA" w:rsidRPr="00831ECA" w:rsidRDefault="00831ECA" w:rsidP="007D659A">
      <w:r w:rsidRPr="00831ECA">
        <w:t xml:space="preserve">Im </w:t>
      </w:r>
      <w:r w:rsidR="007D659A">
        <w:t>FRZK</w:t>
      </w:r>
      <w:r w:rsidRPr="00831ECA">
        <w:t xml:space="preserve"> wird dieser Gedanke formalisiert: Das Subjekt erscheint als Schnittpunkt derjenigen Zuweisungsfunktionen, die innerhalb eines Systems auf sich selbst referenzieren. Damit können auch Bewusstsein, Intentionalität oder Selbstwahrnehmung als </w:t>
      </w:r>
      <w:proofErr w:type="spellStart"/>
      <w:r w:rsidRPr="00831ECA">
        <w:t>Emergenzphänomene</w:t>
      </w:r>
      <w:proofErr w:type="spellEnd"/>
      <w:r w:rsidRPr="00831ECA">
        <w:t xml:space="preserve"> funktionaler Koordination verstanden werden – nicht als unteilbare Einheiten.</w:t>
      </w:r>
    </w:p>
    <w:p w14:paraId="471B7F79" w14:textId="77777777" w:rsidR="00831ECA" w:rsidRPr="00831ECA" w:rsidRDefault="00831ECA" w:rsidP="007D659A">
      <w:r w:rsidRPr="00831ECA">
        <w:t>Dies steht im Einklang mit Erkenntnissen der neueren Kognitionswissenschaft, in der Subjektivität zunehmend als rekursive Repräsentation innerhalb eines dynamischen Netzwerks modelliert wird [18].</w:t>
      </w:r>
    </w:p>
    <w:p w14:paraId="288204CA" w14:textId="77777777" w:rsidR="007D659A" w:rsidRPr="00831ECA" w:rsidRDefault="007D659A" w:rsidP="007D659A">
      <w:pPr>
        <w:spacing w:after="0"/>
        <w:rPr>
          <w:rFonts w:ascii="Times New Roman" w:hAnsi="Times New Roman"/>
        </w:rPr>
      </w:pPr>
      <w:r>
        <w:rPr>
          <w:rFonts w:ascii="Times New Roman" w:hAnsi="Times New Roman"/>
        </w:rPr>
        <w:pict w14:anchorId="57A67922">
          <v:rect id="_x0000_i1082" style="width:0;height:1.5pt" o:hralign="center" o:hrstd="t" o:hr="t" fillcolor="#a0a0a0" stroked="f"/>
        </w:pict>
      </w:r>
    </w:p>
    <w:p w14:paraId="04F61BE1" w14:textId="77777777" w:rsidR="00831ECA" w:rsidRPr="00831ECA" w:rsidRDefault="00831ECA" w:rsidP="007D659A">
      <w:pPr>
        <w:pStyle w:val="berschrift3"/>
      </w:pPr>
      <w:r w:rsidRPr="00831ECA">
        <w:t>6.2.3 Relevanz für eine allgemeine Systemtheorie</w:t>
      </w:r>
    </w:p>
    <w:p w14:paraId="70982ED3" w14:textId="7B5FC97B" w:rsidR="00831ECA" w:rsidRPr="00831ECA" w:rsidRDefault="00831ECA" w:rsidP="007D659A">
      <w:r w:rsidRPr="00831ECA">
        <w:t xml:space="preserve">Die ontologische Innovation des </w:t>
      </w:r>
      <w:r w:rsidR="007D659A">
        <w:t>FRZK</w:t>
      </w:r>
      <w:r w:rsidRPr="00831ECA">
        <w:t xml:space="preserve"> schlägt direkt auf systemtheoretische Modelle durch. Es wird kein System mehr als abgegrenzte Einheit mit festen Elementen gedacht, sondern als dynamisches Zuweisungsgefüge. Systemgrenzen entstehen durch Differenzierung, nicht durch räumliche oder stoffliche Abtrennung. Dies entspricht Ansätzen in der Theorie autopoietischer Systeme [19], aber auch in neueren Konzepten struktureller Kopplung und operativer Geschlossenheit, wie sie etwa Luhmann entwickelt hat [20].</w:t>
      </w:r>
    </w:p>
    <w:p w14:paraId="19493550" w14:textId="2B374C6B" w:rsidR="00831ECA" w:rsidRPr="00831ECA" w:rsidRDefault="00831ECA" w:rsidP="007D659A">
      <w:r w:rsidRPr="00831ECA">
        <w:t xml:space="preserve">Das </w:t>
      </w:r>
      <w:r w:rsidR="007D659A">
        <w:t>FRZK</w:t>
      </w:r>
      <w:r w:rsidRPr="00831ECA">
        <w:t xml:space="preserve"> liefert hier eine konzeptuelle und formale Fundierung: Die Systemstruktur ergibt sich aus der Architektur der Funktionszuweisungen – nicht aus dem Vorhandensein spezifischer „Teile“. Damit wird Systembildung selbst funktional rekonstruierbar.</w:t>
      </w:r>
    </w:p>
    <w:p w14:paraId="24B6A229" w14:textId="77777777" w:rsidR="007D659A" w:rsidRPr="00831ECA" w:rsidRDefault="007D659A" w:rsidP="007D659A">
      <w:pPr>
        <w:spacing w:after="0"/>
        <w:rPr>
          <w:rFonts w:ascii="Times New Roman" w:hAnsi="Times New Roman"/>
        </w:rPr>
      </w:pPr>
      <w:r>
        <w:rPr>
          <w:rFonts w:ascii="Times New Roman" w:hAnsi="Times New Roman"/>
        </w:rPr>
        <w:pict w14:anchorId="1EFE8164">
          <v:rect id="_x0000_i1083" style="width:0;height:1.5pt" o:hralign="center" o:hrstd="t" o:hr="t" fillcolor="#a0a0a0" stroked="f"/>
        </w:pict>
      </w:r>
    </w:p>
    <w:p w14:paraId="288EFDD4" w14:textId="77777777" w:rsidR="00831ECA" w:rsidRPr="00831ECA" w:rsidRDefault="00831ECA" w:rsidP="007D659A">
      <w:pPr>
        <w:pStyle w:val="berschrift3"/>
      </w:pPr>
      <w:r w:rsidRPr="00831ECA">
        <w:t>6.2.4 Konsequenzen für Modellbildung</w:t>
      </w:r>
    </w:p>
    <w:p w14:paraId="10AC7799" w14:textId="77777777" w:rsidR="00831ECA" w:rsidRPr="00831ECA" w:rsidRDefault="00831ECA" w:rsidP="007D659A">
      <w:r w:rsidRPr="00831ECA">
        <w:t>Diese Verschiebung von Ontologie zu Funktion hat tiefgreifende Konsequenzen für alle Bereiche der Modellbildung:</w:t>
      </w:r>
    </w:p>
    <w:p w14:paraId="4374EA4B" w14:textId="77777777" w:rsidR="00831ECA" w:rsidRPr="00831ECA" w:rsidRDefault="00831ECA" w:rsidP="007D659A">
      <w:pPr>
        <w:pStyle w:val="Aufzhlung"/>
      </w:pPr>
      <w:r w:rsidRPr="00831ECA">
        <w:rPr>
          <w:b/>
          <w:bCs/>
        </w:rPr>
        <w:t>Physik:</w:t>
      </w:r>
      <w:r w:rsidRPr="00831ECA">
        <w:t xml:space="preserve"> Raumzeit und Teilchen werden nicht als Entitäten, sondern als Effekte von Feldzuweisungen behandelt (vgl. Kap. 3.6).</w:t>
      </w:r>
    </w:p>
    <w:p w14:paraId="774D248C" w14:textId="77777777" w:rsidR="00831ECA" w:rsidRPr="00831ECA" w:rsidRDefault="00831ECA" w:rsidP="007D659A">
      <w:pPr>
        <w:pStyle w:val="Aufzhlung"/>
      </w:pPr>
      <w:r w:rsidRPr="00831ECA">
        <w:rPr>
          <w:b/>
          <w:bCs/>
        </w:rPr>
        <w:t>Biologie:</w:t>
      </w:r>
      <w:r w:rsidRPr="00831ECA">
        <w:t xml:space="preserve"> Zell- und Organfunktionen lassen sich als dynamische Kopplung von Signalen modellieren – ohne substanzielle „Lebenskerne“.</w:t>
      </w:r>
    </w:p>
    <w:p w14:paraId="657FFEE0" w14:textId="77777777" w:rsidR="00831ECA" w:rsidRPr="00831ECA" w:rsidRDefault="00831ECA" w:rsidP="007D659A">
      <w:pPr>
        <w:pStyle w:val="Aufzhlung"/>
      </w:pPr>
      <w:r w:rsidRPr="00831ECA">
        <w:rPr>
          <w:b/>
          <w:bCs/>
        </w:rPr>
        <w:t>Kognition:</w:t>
      </w:r>
      <w:r w:rsidRPr="00831ECA">
        <w:t xml:space="preserve"> Subjektivität wird als Resultat selbstreferenzieller Zuweisung modelliert.</w:t>
      </w:r>
    </w:p>
    <w:p w14:paraId="7A61C67E" w14:textId="77777777" w:rsidR="00831ECA" w:rsidRPr="00831ECA" w:rsidRDefault="00831ECA" w:rsidP="007D659A">
      <w:pPr>
        <w:pStyle w:val="Aufzhlung"/>
      </w:pPr>
      <w:r w:rsidRPr="00831ECA">
        <w:rPr>
          <w:b/>
          <w:bCs/>
        </w:rPr>
        <w:t>Technik:</w:t>
      </w:r>
      <w:r w:rsidRPr="00831ECA">
        <w:t xml:space="preserve"> Systeme werden nicht nach materiellen Komponenten, sondern nach Funktionstopologien beschrieben.</w:t>
      </w:r>
    </w:p>
    <w:p w14:paraId="1408B7ED" w14:textId="77777777" w:rsidR="00831ECA" w:rsidRPr="00831ECA" w:rsidRDefault="00831ECA" w:rsidP="007D659A">
      <w:pPr>
        <w:pStyle w:val="Aufzhlung"/>
      </w:pPr>
      <w:r w:rsidRPr="00831ECA">
        <w:rPr>
          <w:b/>
          <w:bCs/>
        </w:rPr>
        <w:t>Didaktik:</w:t>
      </w:r>
      <w:r w:rsidRPr="00831ECA">
        <w:t xml:space="preserve"> Lernprozesse können als Transformationen im Zuweisungsraum didaktischer Strukturfelder analysiert werden.</w:t>
      </w:r>
    </w:p>
    <w:p w14:paraId="2D84C528" w14:textId="33430318" w:rsidR="00831ECA" w:rsidRPr="00831ECA" w:rsidRDefault="00831ECA" w:rsidP="007D659A">
      <w:r w:rsidRPr="00831ECA">
        <w:t xml:space="preserve">Die Systeminnovation des </w:t>
      </w:r>
      <w:r w:rsidR="007D659A">
        <w:t>FRZK</w:t>
      </w:r>
      <w:r w:rsidRPr="00831ECA">
        <w:t xml:space="preserve"> liegt somit darin, dass es nicht nur Inhalte anders denkt, sondern die Grundlage der Modellierung selbst verschiebt – von Objekt und Abbild zu Struktur und Operation [21].</w:t>
      </w:r>
    </w:p>
    <w:p w14:paraId="598C6300" w14:textId="77777777" w:rsidR="00831ECA" w:rsidRPr="00831ECA" w:rsidRDefault="008D0DC3" w:rsidP="00831ECA">
      <w:pPr>
        <w:spacing w:after="0"/>
        <w:rPr>
          <w:rFonts w:ascii="Times New Roman" w:hAnsi="Times New Roman"/>
        </w:rPr>
      </w:pPr>
      <w:r>
        <w:rPr>
          <w:rFonts w:ascii="Times New Roman" w:hAnsi="Times New Roman"/>
        </w:rPr>
        <w:pict w14:anchorId="45DC5A7D">
          <v:rect id="_x0000_i1029" style="width:0;height:1.5pt" o:hralign="center" o:hrstd="t" o:hr="t" fillcolor="#a0a0a0" stroked="f"/>
        </w:pict>
      </w:r>
    </w:p>
    <w:p w14:paraId="4F41DB99" w14:textId="420079A4" w:rsidR="00831ECA" w:rsidRPr="00831ECA" w:rsidRDefault="00831ECA" w:rsidP="002D27D0">
      <w:pPr>
        <w:pStyle w:val="berschrift2"/>
      </w:pPr>
      <w:r w:rsidRPr="00831ECA">
        <w:t>6.3 – Innovation im didaktischen Sinn</w:t>
      </w:r>
    </w:p>
    <w:p w14:paraId="05749A20" w14:textId="535E0CD7" w:rsidR="00831ECA" w:rsidRPr="00831ECA" w:rsidRDefault="00831ECA" w:rsidP="007D659A">
      <w:r w:rsidRPr="00831ECA">
        <w:t xml:space="preserve">Das </w:t>
      </w:r>
      <w:r w:rsidR="007D659A">
        <w:t>FRZK</w:t>
      </w:r>
      <w:r w:rsidRPr="00831ECA">
        <w:t xml:space="preserve"> stellt nicht nur ein theoretisches Modell dar, sondern besitzt eine tiefgreifende Relevanz für Bildungsprozesse. Seine Konstruktion macht sichtbar, dass Komplexität nicht vermittelt, sondern iterativ erzeugt werden muss. Dies betrifft besonders die Vermittlung von physikalischen, mathematischen oder systemtheoretischen Inhalten, die häufig an der Unzugänglichkeit ihrer Begriffe scheitert.</w:t>
      </w:r>
    </w:p>
    <w:p w14:paraId="47331374" w14:textId="77777777" w:rsidR="007D659A" w:rsidRPr="00831ECA" w:rsidRDefault="007D659A" w:rsidP="007D659A">
      <w:pPr>
        <w:spacing w:after="0"/>
        <w:rPr>
          <w:rFonts w:ascii="Times New Roman" w:hAnsi="Times New Roman"/>
        </w:rPr>
      </w:pPr>
      <w:r>
        <w:rPr>
          <w:rFonts w:ascii="Times New Roman" w:hAnsi="Times New Roman"/>
        </w:rPr>
        <w:pict w14:anchorId="0D77C7A7">
          <v:rect id="_x0000_i1084" style="width:0;height:1.5pt" o:hralign="center" o:hrstd="t" o:hr="t" fillcolor="#a0a0a0" stroked="f"/>
        </w:pict>
      </w:r>
    </w:p>
    <w:p w14:paraId="654971A0" w14:textId="77777777" w:rsidR="00831ECA" w:rsidRPr="00831ECA" w:rsidRDefault="00831ECA" w:rsidP="002D27D0">
      <w:pPr>
        <w:pStyle w:val="berschrift3"/>
      </w:pPr>
      <w:r w:rsidRPr="00831ECA">
        <w:t>6.3.1 Vom Inhalt zur Struktur</w:t>
      </w:r>
    </w:p>
    <w:p w14:paraId="4D98E336" w14:textId="77777777" w:rsidR="00831ECA" w:rsidRPr="00831ECA" w:rsidRDefault="00831ECA" w:rsidP="002D27D0">
      <w:r w:rsidRPr="00831ECA">
        <w:t>Klassische Didaktik fokussiert auf Inhalte – etwa auf das „Verständnis von Energie“, „das Konzept der Kraft“, „das Prinzip der Addition“ oder „den Aufbau der Zelle“. Dabei wird oft stillschweigend vorausgesetzt, dass die Begriffe, auf die sich Inhalte beziehen, bereits existieren oder intuitiv zugänglich sind.</w:t>
      </w:r>
    </w:p>
    <w:p w14:paraId="7D517185" w14:textId="05113456" w:rsidR="00831ECA" w:rsidRPr="00831ECA" w:rsidRDefault="00831ECA" w:rsidP="002D27D0">
      <w:r w:rsidRPr="00831ECA">
        <w:t xml:space="preserve">Das </w:t>
      </w:r>
      <w:r w:rsidR="007D659A">
        <w:t>FRZK</w:t>
      </w:r>
      <w:r w:rsidRPr="00831ECA">
        <w:t xml:space="preserve"> verändert diese Perspektive grundlegend. Es zeigt, dass Begriffe wie Raum, Zeit, Feld oder Objekt selbst das Resultat strukturierter Zuweisung sind – und dass deren Vermittlung nicht durch Veranschaulichung, sondern durch kontrollierte Komplexitätssteigerung erfolgen muss. Damit wird Lernen selbst zu einem funktionalen Prozess: Nicht Inhalte werden internalisiert, sondern Strukturen werden aufgebaut (vgl. Kap. 3.4–3.6).</w:t>
      </w:r>
    </w:p>
    <w:p w14:paraId="387CF287" w14:textId="77777777" w:rsidR="00831ECA" w:rsidRPr="00831ECA" w:rsidRDefault="00831ECA" w:rsidP="002D27D0">
      <w:r w:rsidRPr="00831ECA">
        <w:t>In der Mathematikdidaktik wird dieser Zugang bereits seit längerem verfolgt – etwa im Rahmen des genetischen Lehrens, das Begriffsbildung nicht durch Erklärung, sondern durch Erzeugung konzipiert [22].</w:t>
      </w:r>
    </w:p>
    <w:p w14:paraId="47AD55F9" w14:textId="77777777" w:rsidR="002D27D0" w:rsidRPr="00831ECA" w:rsidRDefault="002D27D0" w:rsidP="002D27D0">
      <w:pPr>
        <w:spacing w:after="0"/>
        <w:rPr>
          <w:rFonts w:ascii="Times New Roman" w:hAnsi="Times New Roman"/>
        </w:rPr>
      </w:pPr>
      <w:r>
        <w:rPr>
          <w:rFonts w:ascii="Times New Roman" w:hAnsi="Times New Roman"/>
        </w:rPr>
        <w:pict w14:anchorId="05271716">
          <v:rect id="_x0000_i1086" style="width:0;height:1.5pt" o:hralign="center" o:hrstd="t" o:hr="t" fillcolor="#a0a0a0" stroked="f"/>
        </w:pict>
      </w:r>
    </w:p>
    <w:p w14:paraId="2C70FE95" w14:textId="77777777" w:rsidR="00831ECA" w:rsidRPr="00831ECA" w:rsidRDefault="00831ECA" w:rsidP="002D27D0">
      <w:pPr>
        <w:pStyle w:val="berschrift3"/>
      </w:pPr>
      <w:r w:rsidRPr="00831ECA">
        <w:t>6.3.2 Der Begriff als emergente Operation</w:t>
      </w:r>
    </w:p>
    <w:p w14:paraId="05E3764B" w14:textId="3AA90A7D" w:rsidR="00831ECA" w:rsidRPr="00831ECA" w:rsidRDefault="00831ECA" w:rsidP="002D27D0">
      <w:r w:rsidRPr="00831ECA">
        <w:t xml:space="preserve">Das </w:t>
      </w:r>
      <w:r w:rsidR="007D659A">
        <w:t>FRZK</w:t>
      </w:r>
      <w:r w:rsidRPr="00831ECA">
        <w:t xml:space="preserve"> erlaubt es, jeden Begriff als Ergebnis einer bestimmten Folge funktionaler Unterscheidungen zu rekonstruieren. Dies gilt nicht nur für physikalische Größen (z. B. Geschwindigkeit als Funktionsverhältnis von Weg und Zeit), sondern auch für semantische Kategorien (z. B. Ursache, Wirkung, Ordnung, Rolle, Information).</w:t>
      </w:r>
    </w:p>
    <w:p w14:paraId="023DDEC3" w14:textId="77777777" w:rsidR="00831ECA" w:rsidRPr="00831ECA" w:rsidRDefault="00831ECA" w:rsidP="002D27D0">
      <w:r w:rsidRPr="00831ECA">
        <w:t>Der Begriff wird dadurch selbst zum Ergebnis: Er entsteht aus Funktionssystemen, nicht als benennbares Objekt. Diese Sichtweise wurde in der Kognitionspsychologie vielfach bestätigt – etwa durch Untersuchungen zu „</w:t>
      </w:r>
      <w:proofErr w:type="spellStart"/>
      <w:r w:rsidRPr="00831ECA">
        <w:t>conceptual</w:t>
      </w:r>
      <w:proofErr w:type="spellEnd"/>
      <w:r w:rsidRPr="00831ECA">
        <w:t xml:space="preserve"> </w:t>
      </w:r>
      <w:proofErr w:type="spellStart"/>
      <w:r w:rsidRPr="00831ECA">
        <w:t>change</w:t>
      </w:r>
      <w:proofErr w:type="spellEnd"/>
      <w:r w:rsidRPr="00831ECA">
        <w:t>“ und „</w:t>
      </w:r>
      <w:proofErr w:type="spellStart"/>
      <w:r w:rsidRPr="00831ECA">
        <w:t>structure</w:t>
      </w:r>
      <w:proofErr w:type="spellEnd"/>
      <w:r w:rsidRPr="00831ECA">
        <w:t xml:space="preserve"> </w:t>
      </w:r>
      <w:proofErr w:type="spellStart"/>
      <w:r w:rsidRPr="00831ECA">
        <w:t>mapping</w:t>
      </w:r>
      <w:proofErr w:type="spellEnd"/>
      <w:r w:rsidRPr="00831ECA">
        <w:t>“ [23][24].</w:t>
      </w:r>
    </w:p>
    <w:p w14:paraId="17C25BA8" w14:textId="77777777" w:rsidR="002D27D0" w:rsidRPr="00831ECA" w:rsidRDefault="002D27D0" w:rsidP="002D27D0">
      <w:pPr>
        <w:spacing w:after="0"/>
        <w:rPr>
          <w:rFonts w:ascii="Times New Roman" w:hAnsi="Times New Roman"/>
        </w:rPr>
      </w:pPr>
      <w:r>
        <w:rPr>
          <w:rFonts w:ascii="Times New Roman" w:hAnsi="Times New Roman"/>
        </w:rPr>
        <w:pict w14:anchorId="5FC80706">
          <v:rect id="_x0000_i1087" style="width:0;height:1.5pt" o:hralign="center" o:hrstd="t" o:hr="t" fillcolor="#a0a0a0" stroked="f"/>
        </w:pict>
      </w:r>
    </w:p>
    <w:p w14:paraId="1A978535" w14:textId="77777777" w:rsidR="00831ECA" w:rsidRPr="00831ECA" w:rsidRDefault="00831ECA" w:rsidP="002D27D0">
      <w:pPr>
        <w:pStyle w:val="berschrift3"/>
      </w:pPr>
      <w:r w:rsidRPr="00831ECA">
        <w:t>6.3.3 Didaktische Konsequenzen: Modellierung statt Vermittlung</w:t>
      </w:r>
    </w:p>
    <w:p w14:paraId="41DDF5BB" w14:textId="76C591AF" w:rsidR="00831ECA" w:rsidRPr="00831ECA" w:rsidRDefault="00831ECA" w:rsidP="002D27D0">
      <w:r w:rsidRPr="00831ECA">
        <w:t xml:space="preserve">Der zentrale didaktische Impuls des </w:t>
      </w:r>
      <w:r w:rsidR="007D659A">
        <w:t>FRZK</w:t>
      </w:r>
      <w:r w:rsidRPr="00831ECA">
        <w:t xml:space="preserve"> besteht darin, dass Wissen nicht übergeben, sondern erzeugt wird – durch die sukzessive Verknüpfung von Differenz, Struktur und Relation. Daraus ergeben sich mehrere Konsequenzen für die didaktische Gestaltung:</w:t>
      </w:r>
    </w:p>
    <w:p w14:paraId="7B28EF9B" w14:textId="77777777" w:rsidR="00831ECA" w:rsidRPr="00831ECA" w:rsidRDefault="00831ECA" w:rsidP="002D27D0">
      <w:pPr>
        <w:pStyle w:val="Aufzhlung"/>
      </w:pPr>
      <w:r w:rsidRPr="00831ECA">
        <w:t xml:space="preserve">Begriffe müssen </w:t>
      </w:r>
      <w:r w:rsidRPr="00831ECA">
        <w:rPr>
          <w:b/>
          <w:bCs/>
        </w:rPr>
        <w:t>modellierbar</w:t>
      </w:r>
      <w:r w:rsidRPr="00831ECA">
        <w:t xml:space="preserve"> gemacht werden: Ihre Struktur muss erzeugbar sein – z. B. durch gestufte Darstellungen, Simulationen oder funktionale Analogien.</w:t>
      </w:r>
    </w:p>
    <w:p w14:paraId="6C7D03FE" w14:textId="77777777" w:rsidR="00831ECA" w:rsidRPr="00831ECA" w:rsidRDefault="00831ECA" w:rsidP="002D27D0">
      <w:pPr>
        <w:pStyle w:val="Aufzhlung"/>
      </w:pPr>
      <w:r w:rsidRPr="00831ECA">
        <w:t xml:space="preserve">Lehrprozesse müssen </w:t>
      </w:r>
      <w:r w:rsidRPr="00831ECA">
        <w:rPr>
          <w:b/>
          <w:bCs/>
        </w:rPr>
        <w:t>reflexiv</w:t>
      </w:r>
      <w:r w:rsidRPr="00831ECA">
        <w:t xml:space="preserve"> angelegt sein: Lernende müssen nicht nur verstehen, </w:t>
      </w:r>
      <w:r w:rsidRPr="00831ECA">
        <w:rPr>
          <w:i/>
          <w:iCs/>
        </w:rPr>
        <w:t>was</w:t>
      </w:r>
      <w:r w:rsidRPr="00831ECA">
        <w:t xml:space="preserve"> sie lernen, sondern </w:t>
      </w:r>
      <w:r w:rsidRPr="00831ECA">
        <w:rPr>
          <w:i/>
          <w:iCs/>
        </w:rPr>
        <w:t>wie</w:t>
      </w:r>
      <w:r w:rsidRPr="00831ECA">
        <w:t xml:space="preserve"> diese Strukturen entstehen.</w:t>
      </w:r>
    </w:p>
    <w:p w14:paraId="130F1CB0" w14:textId="77777777" w:rsidR="00831ECA" w:rsidRPr="00831ECA" w:rsidRDefault="00831ECA" w:rsidP="002D27D0">
      <w:pPr>
        <w:pStyle w:val="Aufzhlung"/>
      </w:pPr>
      <w:r w:rsidRPr="00831ECA">
        <w:t xml:space="preserve">Didaktische Umgebungen müssen </w:t>
      </w:r>
      <w:r w:rsidRPr="00831ECA">
        <w:rPr>
          <w:b/>
          <w:bCs/>
        </w:rPr>
        <w:t>offen</w:t>
      </w:r>
      <w:r w:rsidRPr="00831ECA">
        <w:t xml:space="preserve"> genug sein, um emergente Begriffsbildung zu ermöglichen – z. B. durch Explorationsräume, dynamische Modelle oder interaktive Systeme.</w:t>
      </w:r>
    </w:p>
    <w:p w14:paraId="45CC57B1" w14:textId="77777777" w:rsidR="00831ECA" w:rsidRPr="00831ECA" w:rsidRDefault="00831ECA" w:rsidP="002D27D0">
      <w:pPr>
        <w:pStyle w:val="Aufzhlung"/>
      </w:pPr>
      <w:r w:rsidRPr="00831ECA">
        <w:t xml:space="preserve">Die Rolle der Lehrperson verschiebt sich: Von der Vermittlerin von Inhalten zur </w:t>
      </w:r>
      <w:r w:rsidRPr="00831ECA">
        <w:rPr>
          <w:i/>
          <w:iCs/>
        </w:rPr>
        <w:t>Architektin funktionaler Lernräume</w:t>
      </w:r>
      <w:r w:rsidRPr="00831ECA">
        <w:t>.</w:t>
      </w:r>
    </w:p>
    <w:p w14:paraId="4B4CED47" w14:textId="77777777" w:rsidR="00831ECA" w:rsidRPr="00831ECA" w:rsidRDefault="00831ECA" w:rsidP="002D27D0">
      <w:r w:rsidRPr="00831ECA">
        <w:t xml:space="preserve">Diese Sicht steht in enger Verbindung zu konstruktivistischen Lehrmodellen und verkörpert zugleich deren epistemische Radikalisierung – da hier nicht nur die </w:t>
      </w:r>
      <w:r w:rsidRPr="00831ECA">
        <w:rPr>
          <w:i/>
          <w:iCs/>
        </w:rPr>
        <w:t>Bedeutung</w:t>
      </w:r>
      <w:r w:rsidRPr="00831ECA">
        <w:t xml:space="preserve">, sondern die </w:t>
      </w:r>
      <w:r w:rsidRPr="00831ECA">
        <w:rPr>
          <w:i/>
          <w:iCs/>
        </w:rPr>
        <w:t>ontologische Struktur</w:t>
      </w:r>
      <w:r w:rsidRPr="00831ECA">
        <w:t xml:space="preserve"> des Gelernten funktional rekonstruierbar wird (vgl. Kap. 3.7).</w:t>
      </w:r>
    </w:p>
    <w:p w14:paraId="218EF887" w14:textId="77777777" w:rsidR="002D27D0" w:rsidRPr="00831ECA" w:rsidRDefault="002D27D0" w:rsidP="002D27D0">
      <w:pPr>
        <w:spacing w:after="0"/>
        <w:rPr>
          <w:rFonts w:ascii="Times New Roman" w:hAnsi="Times New Roman"/>
        </w:rPr>
      </w:pPr>
      <w:r>
        <w:rPr>
          <w:rFonts w:ascii="Times New Roman" w:hAnsi="Times New Roman"/>
        </w:rPr>
        <w:pict w14:anchorId="1642F3C8">
          <v:rect id="_x0000_i1088" style="width:0;height:1.5pt" o:hralign="center" o:hrstd="t" o:hr="t" fillcolor="#a0a0a0" stroked="f"/>
        </w:pict>
      </w:r>
    </w:p>
    <w:p w14:paraId="61379DAC" w14:textId="77777777" w:rsidR="00831ECA" w:rsidRPr="00831ECA" w:rsidRDefault="00831ECA" w:rsidP="002D27D0">
      <w:pPr>
        <w:pStyle w:val="berschrift3"/>
      </w:pPr>
      <w:r w:rsidRPr="00831ECA">
        <w:t>6.3.4 Die produktive Funktion epistemischer Irritation</w:t>
      </w:r>
    </w:p>
    <w:p w14:paraId="2DA8CA5E" w14:textId="17EF5ED4" w:rsidR="00831ECA" w:rsidRPr="00831ECA" w:rsidRDefault="00831ECA" w:rsidP="002D27D0">
      <w:r w:rsidRPr="00831ECA">
        <w:t xml:space="preserve">Lernen im Sinne des </w:t>
      </w:r>
      <w:r w:rsidR="007D659A">
        <w:t>FRZK</w:t>
      </w:r>
      <w:r w:rsidRPr="00831ECA">
        <w:t xml:space="preserve"> ist kein linearer Prozess, sondern ein iteratives Spannungsverhältnis zwischen funktionaler Setzung und kognitiver Ordnung. Störungen, Missverständnisse und Konzeptwechsel sind nicht als Fehler zu verstehen, sondern als produktive Elemente epistemischer Restrukturierung.</w:t>
      </w:r>
    </w:p>
    <w:p w14:paraId="3F684DCB" w14:textId="3C005BD5" w:rsidR="00831ECA" w:rsidRPr="00831ECA" w:rsidRDefault="00831ECA" w:rsidP="002D27D0">
      <w:r w:rsidRPr="00831ECA">
        <w:t>Dies entspricht didaktischen Konzepten wie dem „</w:t>
      </w:r>
      <w:proofErr w:type="spellStart"/>
      <w:r w:rsidRPr="00831ECA">
        <w:t>Conceptual</w:t>
      </w:r>
      <w:proofErr w:type="spellEnd"/>
      <w:r w:rsidRPr="00831ECA">
        <w:t xml:space="preserve"> Conflict“ [25] oder dem „</w:t>
      </w:r>
      <w:proofErr w:type="spellStart"/>
      <w:r w:rsidRPr="00831ECA">
        <w:t>Cognitive</w:t>
      </w:r>
      <w:proofErr w:type="spellEnd"/>
      <w:r w:rsidRPr="00831ECA">
        <w:t xml:space="preserve"> </w:t>
      </w:r>
      <w:proofErr w:type="spellStart"/>
      <w:r w:rsidRPr="00831ECA">
        <w:t>Dissonance</w:t>
      </w:r>
      <w:proofErr w:type="spellEnd"/>
      <w:r w:rsidRPr="00831ECA">
        <w:t xml:space="preserve"> Approach“ [26], bei denen Lernprozesse durch systematische Irritation und Neuordnung stimuliert werden. Das </w:t>
      </w:r>
      <w:r w:rsidR="007D659A">
        <w:t>FRZK</w:t>
      </w:r>
      <w:r w:rsidRPr="00831ECA">
        <w:t xml:space="preserve"> liefert dafür ein formales Modell: Jede kognitive Struktur ist das Resultat einer bestimmten Folge von Funktionszuweisungen – und jede Irritation entspricht einer Störung in diesem Gefüge, die zur Emergenz neuer Ordnung führen kann.</w:t>
      </w:r>
    </w:p>
    <w:p w14:paraId="4CBD54B2" w14:textId="77777777" w:rsidR="002D27D0" w:rsidRPr="00831ECA" w:rsidRDefault="002D27D0" w:rsidP="002D27D0">
      <w:pPr>
        <w:spacing w:after="0"/>
        <w:rPr>
          <w:rFonts w:ascii="Times New Roman" w:hAnsi="Times New Roman"/>
        </w:rPr>
      </w:pPr>
      <w:r>
        <w:rPr>
          <w:rFonts w:ascii="Times New Roman" w:hAnsi="Times New Roman"/>
        </w:rPr>
        <w:pict w14:anchorId="04E127B7">
          <v:rect id="_x0000_i1089" style="width:0;height:1.5pt" o:hralign="center" o:hrstd="t" o:hr="t" fillcolor="#a0a0a0" stroked="f"/>
        </w:pict>
      </w:r>
    </w:p>
    <w:p w14:paraId="1F7D2FD4" w14:textId="77777777" w:rsidR="00831ECA" w:rsidRPr="00831ECA" w:rsidRDefault="00831ECA" w:rsidP="002D27D0">
      <w:pPr>
        <w:pStyle w:val="berschrift3"/>
      </w:pPr>
      <w:r w:rsidRPr="00831ECA">
        <w:t>6.3.5 Der Beobachter als Teil des didaktischen Systems</w:t>
      </w:r>
    </w:p>
    <w:p w14:paraId="20A08BA5" w14:textId="6089827E" w:rsidR="00831ECA" w:rsidRPr="00831ECA" w:rsidRDefault="00831ECA" w:rsidP="002D27D0">
      <w:r w:rsidRPr="00831ECA">
        <w:t xml:space="preserve">Besonders innovativ ist, dass das </w:t>
      </w:r>
      <w:r w:rsidR="007D659A">
        <w:t>FRZK</w:t>
      </w:r>
      <w:r w:rsidRPr="00831ECA">
        <w:t xml:space="preserve"> auch die Rolle der Beobachterin im Lernprozess funktional integriert: Die Lehrende ist nicht „außerhalb“ des Systems, sondern Teil des funktionalen Bezugssystems. Sie beeinflusst durch ihre Zuweisungen (Fragen, Rückmeldungen, Erwartungen) die Struktur des Systems – und wird zugleich durch dessen Dynamik beeinflusst.</w:t>
      </w:r>
    </w:p>
    <w:p w14:paraId="4A19F230" w14:textId="7DE4F118" w:rsidR="00831ECA" w:rsidRPr="00831ECA" w:rsidRDefault="00831ECA" w:rsidP="002D27D0">
      <w:r w:rsidRPr="00831ECA">
        <w:t xml:space="preserve">Damit wird das </w:t>
      </w:r>
      <w:r w:rsidR="007D659A">
        <w:t>FRZK</w:t>
      </w:r>
      <w:r w:rsidRPr="00831ECA">
        <w:t xml:space="preserve"> anschlussfähig an metakognitive und reflexive </w:t>
      </w:r>
      <w:proofErr w:type="spellStart"/>
      <w:r w:rsidRPr="00831ECA">
        <w:t>Didaktikansätze</w:t>
      </w:r>
      <w:proofErr w:type="spellEnd"/>
      <w:r w:rsidRPr="00831ECA">
        <w:t>, die Lehrende und Lernende als gemeinsam strukturierende Subjekte begreifen [27]. Es liefert die formale Grundlage, um solche wechselseitigen Strukturbildungsprozesse auch jenseits klassischer Unterrichtsmodelle zu denken – etwa in digitalen Lernräumen, simulationsbasierten Umgebungen oder interaktiven Modellplattformen.</w:t>
      </w:r>
    </w:p>
    <w:p w14:paraId="606CEC95" w14:textId="77777777" w:rsidR="00831ECA" w:rsidRPr="00831ECA" w:rsidRDefault="008D0DC3" w:rsidP="00831ECA">
      <w:pPr>
        <w:spacing w:after="0"/>
        <w:rPr>
          <w:rFonts w:ascii="Times New Roman" w:hAnsi="Times New Roman"/>
        </w:rPr>
      </w:pPr>
      <w:r>
        <w:rPr>
          <w:rFonts w:ascii="Times New Roman" w:hAnsi="Times New Roman"/>
        </w:rPr>
        <w:pict w14:anchorId="38AC90F5">
          <v:rect id="_x0000_i1031" style="width:0;height:1.5pt" o:hralign="center" o:hrstd="t" o:hr="t" fillcolor="#a0a0a0" stroked="f"/>
        </w:pict>
      </w:r>
    </w:p>
    <w:p w14:paraId="7C8FE4CA" w14:textId="2BC3EA5E" w:rsidR="00831ECA" w:rsidRPr="00831ECA" w:rsidRDefault="00831ECA" w:rsidP="002D27D0">
      <w:pPr>
        <w:pStyle w:val="berschrift2"/>
      </w:pPr>
      <w:r w:rsidRPr="00831ECA">
        <w:t>6.4 – Innovation im methodischen Sinn</w:t>
      </w:r>
    </w:p>
    <w:p w14:paraId="095C0D58" w14:textId="15F10F6A" w:rsidR="00831ECA" w:rsidRPr="00831ECA" w:rsidRDefault="00831ECA" w:rsidP="008D0DC3">
      <w:r w:rsidRPr="00831ECA">
        <w:t xml:space="preserve">Das </w:t>
      </w:r>
      <w:r w:rsidR="007D659A">
        <w:t>FRZK</w:t>
      </w:r>
      <w:r w:rsidRPr="00831ECA">
        <w:t xml:space="preserve"> ist nicht nur erkenntnistheoretisch, ontologisch und didaktisch innovativ, sondern auch methodisch. Es liefert einen systematischen Ansatz, wie komplexe Modelle aus einem strukturlosen Zustand heraus entstehen können – ohne Vorannahmen, Axiome oder ontologische Vorgaben. Diese methodische Radikalität erlaubt es, Modellbildung selbst als Prozess zu modellieren.</w:t>
      </w:r>
    </w:p>
    <w:p w14:paraId="3A120AF6" w14:textId="77777777" w:rsidR="008D0DC3" w:rsidRPr="00831ECA" w:rsidRDefault="008D0DC3" w:rsidP="008D0DC3">
      <w:pPr>
        <w:spacing w:after="0"/>
        <w:rPr>
          <w:rFonts w:ascii="Times New Roman" w:hAnsi="Times New Roman"/>
        </w:rPr>
      </w:pPr>
      <w:r>
        <w:rPr>
          <w:rFonts w:ascii="Times New Roman" w:hAnsi="Times New Roman"/>
        </w:rPr>
        <w:pict w14:anchorId="79F4A95B">
          <v:rect id="_x0000_i1092" style="width:0;height:1.5pt" o:hralign="center" o:hrstd="t" o:hr="t" fillcolor="#a0a0a0" stroked="f"/>
        </w:pict>
      </w:r>
    </w:p>
    <w:p w14:paraId="2B78A98F" w14:textId="77777777" w:rsidR="00831ECA" w:rsidRPr="00831ECA" w:rsidRDefault="00831ECA" w:rsidP="008D0DC3">
      <w:pPr>
        <w:pStyle w:val="berschrift3"/>
      </w:pPr>
      <w:r w:rsidRPr="00831ECA">
        <w:t>6.4.1 Vom Nichts zur Struktur: Modellbildung als emergente Konstruktion</w:t>
      </w:r>
    </w:p>
    <w:p w14:paraId="4F0D9C74" w14:textId="15FC1DDE" w:rsidR="00831ECA" w:rsidRPr="00831ECA" w:rsidRDefault="00831ECA" w:rsidP="008D0DC3">
      <w:r w:rsidRPr="00831ECA">
        <w:t xml:space="preserve">In klassischen wissenschaftlichen Modellen wird meist von gegebenen Entitäten ausgegangen: Massepunkte, Kräfte, Felder, Teilchen, Zahlenräume etc. Das </w:t>
      </w:r>
      <w:r w:rsidR="007D659A">
        <w:t>FRZK</w:t>
      </w:r>
      <w:r w:rsidRPr="00831ECA">
        <w:t xml:space="preserve"> hingegen beginnt – methodisch gesehen – mit einer leeren Ausgangsmenge (MU), </w:t>
      </w:r>
      <w:proofErr w:type="gramStart"/>
      <w:r w:rsidRPr="00831ECA">
        <w:t>auf die iterativ Zuweisungen</w:t>
      </w:r>
      <w:proofErr w:type="gramEnd"/>
      <w:r w:rsidRPr="00831ECA">
        <w:t xml:space="preserve"> vorgenommen werden. Aus diesen Zuweisungen entstehen – schrittweise – Struktur, Differenz, Metrik, Dynamik und schließlich Bedeutung (vgl. Kap. 3.1–3.4).</w:t>
      </w:r>
    </w:p>
    <w:p w14:paraId="5837EF3F" w14:textId="77777777" w:rsidR="00831ECA" w:rsidRPr="00831ECA" w:rsidRDefault="00831ECA" w:rsidP="008D0DC3">
      <w:r w:rsidRPr="00831ECA">
        <w:t>Diese methodische Konstruktion ist hochgradig systematisch und zugleich reflexiv: Jeder Schritt der Zuweisung erzeugt neue Räume möglicher Operationen. Modellbildung ist somit kein Abbilden, sondern ein sukzessives Generieren von Möglichkeitsräumen [28].</w:t>
      </w:r>
    </w:p>
    <w:p w14:paraId="74E22D4F" w14:textId="77777777" w:rsidR="00831ECA" w:rsidRPr="00831ECA" w:rsidRDefault="00831ECA" w:rsidP="008D0DC3">
      <w:r w:rsidRPr="00831ECA">
        <w:t>Diese Sichtweise ist verwandt mit der Modellierung in der mathematischen Kategorientheorie, in der aus morphischen Beziehungen Systeme konstruiert werden, ohne dass festgelegte Entitäten vorausgesetzt sind [29].</w:t>
      </w:r>
    </w:p>
    <w:p w14:paraId="38FD446A" w14:textId="77777777" w:rsidR="008D0DC3" w:rsidRPr="00831ECA" w:rsidRDefault="008D0DC3" w:rsidP="008D0DC3">
      <w:pPr>
        <w:spacing w:after="0"/>
        <w:rPr>
          <w:rFonts w:ascii="Times New Roman" w:hAnsi="Times New Roman"/>
        </w:rPr>
      </w:pPr>
      <w:r>
        <w:rPr>
          <w:rFonts w:ascii="Times New Roman" w:hAnsi="Times New Roman"/>
        </w:rPr>
        <w:pict w14:anchorId="613B3F6E">
          <v:rect id="_x0000_i1093" style="width:0;height:1.5pt" o:hralign="center" o:hrstd="t" o:hr="t" fillcolor="#a0a0a0" stroked="f"/>
        </w:pict>
      </w:r>
    </w:p>
    <w:p w14:paraId="23F11F58" w14:textId="77777777" w:rsidR="00831ECA" w:rsidRPr="00831ECA" w:rsidRDefault="00831ECA" w:rsidP="008D0DC3">
      <w:pPr>
        <w:pStyle w:val="berschrift3"/>
      </w:pPr>
      <w:r w:rsidRPr="00831ECA">
        <w:t>6.4.2 Die Iteration als konstitutives Prinzip</w:t>
      </w:r>
    </w:p>
    <w:p w14:paraId="744C3F51" w14:textId="77777777" w:rsidR="00831ECA" w:rsidRPr="00831ECA" w:rsidRDefault="00831ECA" w:rsidP="008D0DC3">
      <w:r w:rsidRPr="00831ECA">
        <w:t>Kern der methodischen Innovation ist die Iteration: Modellbildung geschieht nicht durch Anwendung eines Gesetzes, sondern durch wiederholte Anwendung funktionaler Operationen auf vorherige Strukturen. Dies erzeugt nicht nur Tiefe und Komplexität, sondern erlaubt auch die Rückverfolgbarkeit der Modellstruktur bis zum Ausgangspunkt.</w:t>
      </w:r>
    </w:p>
    <w:p w14:paraId="2C260A27" w14:textId="57F5B782" w:rsidR="00831ECA" w:rsidRPr="00831ECA" w:rsidRDefault="00831ECA" w:rsidP="008D0DC3">
      <w:r w:rsidRPr="00831ECA">
        <w:t xml:space="preserve">In der Informatik spricht man von rekursiven Modellen, in der Mathematik von Funktionsfolgen, in der Biologie von Entwicklungszyklen – im </w:t>
      </w:r>
      <w:r w:rsidR="007D659A">
        <w:t>FRZK</w:t>
      </w:r>
      <w:r w:rsidRPr="00831ECA">
        <w:t xml:space="preserve"> ist die Iteration das Grundprinzip jeder Modellbildung. Dabei wird jeder Iterationsschritt funktional kontrolliert, d. h. mit Kriterien der Kohärenz, Anschlussfähigkeit und emergenten Stabilität versehen (vgl. Kap. 3.5.3).</w:t>
      </w:r>
    </w:p>
    <w:p w14:paraId="4A603A3B" w14:textId="77777777" w:rsidR="00831ECA" w:rsidRPr="00831ECA" w:rsidRDefault="00831ECA" w:rsidP="008D0DC3">
      <w:r w:rsidRPr="00831ECA">
        <w:t>Diese strukturierte Iteration steht im Einklang mit Konzepten des „Design-</w:t>
      </w:r>
      <w:proofErr w:type="spellStart"/>
      <w:r w:rsidRPr="00831ECA">
        <w:t>Based</w:t>
      </w:r>
      <w:proofErr w:type="spellEnd"/>
      <w:r w:rsidRPr="00831ECA">
        <w:t xml:space="preserve"> Research“, wie sie in der Bildungsforschung entwickelt wurden [30].</w:t>
      </w:r>
    </w:p>
    <w:p w14:paraId="2E2A9BE3" w14:textId="77777777" w:rsidR="008D0DC3" w:rsidRPr="00831ECA" w:rsidRDefault="008D0DC3" w:rsidP="008D0DC3">
      <w:pPr>
        <w:spacing w:after="0"/>
        <w:rPr>
          <w:rFonts w:ascii="Times New Roman" w:hAnsi="Times New Roman"/>
        </w:rPr>
      </w:pPr>
      <w:r>
        <w:rPr>
          <w:rFonts w:ascii="Times New Roman" w:hAnsi="Times New Roman"/>
        </w:rPr>
        <w:pict w14:anchorId="67366E19">
          <v:rect id="_x0000_i1094" style="width:0;height:1.5pt" o:hralign="center" o:hrstd="t" o:hr="t" fillcolor="#a0a0a0" stroked="f"/>
        </w:pict>
      </w:r>
    </w:p>
    <w:p w14:paraId="68A6CEE2" w14:textId="77777777" w:rsidR="00831ECA" w:rsidRPr="00831ECA" w:rsidRDefault="00831ECA" w:rsidP="008D0DC3">
      <w:pPr>
        <w:pStyle w:val="berschrift3"/>
      </w:pPr>
      <w:r w:rsidRPr="00831ECA">
        <w:t>6.4.3 Komplexität durch minimale Regeln</w:t>
      </w:r>
    </w:p>
    <w:p w14:paraId="625BB20E" w14:textId="43FB07C5" w:rsidR="00831ECA" w:rsidRPr="00831ECA" w:rsidRDefault="00831ECA" w:rsidP="008D0DC3">
      <w:r w:rsidRPr="00831ECA">
        <w:t xml:space="preserve">Ein weiterer methodischer Aspekt besteht darin, dass das </w:t>
      </w:r>
      <w:r w:rsidR="007D659A">
        <w:t>FRZK</w:t>
      </w:r>
      <w:r w:rsidRPr="00831ECA">
        <w:t xml:space="preserve"> mit extrem wenigen Voraussetzungen auskommt: Es genügen einfache Zuweisungsoperationen, um hochkomplexe Strukturen entstehen zu lassen. Diese Idee ist bekannt aus der Theorie komplexer Systeme – etwa aus der zellulären Automatenforschung (z. B. </w:t>
      </w:r>
      <w:proofErr w:type="spellStart"/>
      <w:r w:rsidRPr="00831ECA">
        <w:t>Wolfram’s</w:t>
      </w:r>
      <w:proofErr w:type="spellEnd"/>
      <w:r w:rsidRPr="00831ECA">
        <w:t xml:space="preserve"> Rule 30) oder aus dem Feld der künstlichen Evolution [31].</w:t>
      </w:r>
    </w:p>
    <w:p w14:paraId="72CAA9E3" w14:textId="30854D77" w:rsidR="00831ECA" w:rsidRPr="00831ECA" w:rsidRDefault="00831ECA" w:rsidP="008D0DC3">
      <w:r w:rsidRPr="00831ECA">
        <w:t xml:space="preserve">Das </w:t>
      </w:r>
      <w:r w:rsidR="007D659A">
        <w:t>FRZK</w:t>
      </w:r>
      <w:r w:rsidRPr="00831ECA">
        <w:t xml:space="preserve"> zeigt jedoch: Solche Prozesse lassen sich nicht nur simulativ, sondern epistemisch begründen – als methodisches Prinzip der Erkenntniskonstruktion. Die Reduktion auf minimale Operationen schafft eine Art epistemologischen Generator: Aus einfachen Operationen entstehen Bedeutung, Ordnung, Dynamik und schließlich Realität.</w:t>
      </w:r>
    </w:p>
    <w:p w14:paraId="446C8F41" w14:textId="77777777" w:rsidR="008D0DC3" w:rsidRPr="00831ECA" w:rsidRDefault="008D0DC3" w:rsidP="008D0DC3">
      <w:pPr>
        <w:spacing w:after="0"/>
        <w:rPr>
          <w:rFonts w:ascii="Times New Roman" w:hAnsi="Times New Roman"/>
        </w:rPr>
      </w:pPr>
      <w:r>
        <w:rPr>
          <w:rFonts w:ascii="Times New Roman" w:hAnsi="Times New Roman"/>
        </w:rPr>
        <w:pict w14:anchorId="33AB0F09">
          <v:rect id="_x0000_i1095" style="width:0;height:1.5pt" o:hralign="center" o:hrstd="t" o:hr="t" fillcolor="#a0a0a0" stroked="f"/>
        </w:pict>
      </w:r>
    </w:p>
    <w:p w14:paraId="63E44B65" w14:textId="77777777" w:rsidR="00831ECA" w:rsidRPr="00831ECA" w:rsidRDefault="00831ECA" w:rsidP="008D0DC3">
      <w:pPr>
        <w:pStyle w:val="berschrift3"/>
      </w:pPr>
      <w:r w:rsidRPr="00831ECA">
        <w:t>6.4.4 Reflexive Methodologie</w:t>
      </w:r>
    </w:p>
    <w:p w14:paraId="482D4B1E" w14:textId="74C65958" w:rsidR="00831ECA" w:rsidRPr="00831ECA" w:rsidRDefault="00831ECA" w:rsidP="008D0DC3">
      <w:r w:rsidRPr="00831ECA">
        <w:t xml:space="preserve">Ein entscheidender Vorteil der </w:t>
      </w:r>
      <w:r w:rsidR="007D659A">
        <w:t>FRZK</w:t>
      </w:r>
      <w:r w:rsidRPr="00831ECA">
        <w:t>-Methode ist ihre Reflexivität: Jeder Modellierungsschritt ist nicht nur durchführbar, sondern erklärbar. Es handelt sich also um eine vollständig dokumentierte Konstruktionspraxis, die sich selbst zum Gegenstand der Analyse machen kann.</w:t>
      </w:r>
    </w:p>
    <w:p w14:paraId="0CA7872F" w14:textId="6ABF6F30" w:rsidR="00831ECA" w:rsidRPr="00831ECA" w:rsidRDefault="00831ECA" w:rsidP="008D0DC3">
      <w:r w:rsidRPr="00831ECA">
        <w:t xml:space="preserve">Dies unterscheidet das </w:t>
      </w:r>
      <w:r w:rsidR="007D659A">
        <w:t>FRZK</w:t>
      </w:r>
      <w:r w:rsidRPr="00831ECA">
        <w:t xml:space="preserve"> von vielen heuristischen oder simulationsbasierten Modellen, die oft mit „</w:t>
      </w:r>
      <w:proofErr w:type="spellStart"/>
      <w:r w:rsidRPr="00831ECA">
        <w:t>black box</w:t>
      </w:r>
      <w:proofErr w:type="spellEnd"/>
      <w:r w:rsidRPr="00831ECA">
        <w:t xml:space="preserve">“-Verfahren arbeiten. Im </w:t>
      </w:r>
      <w:r w:rsidR="007D659A">
        <w:t>FRZK</w:t>
      </w:r>
      <w:r w:rsidRPr="00831ECA">
        <w:t xml:space="preserve"> hingegen ist jede Struktur auf ihre konstitutiven Zuweisungen rückführbar – was es ideal macht für didaktische, wissenschaftstheoretische und erkenntniskritische Zwecke.</w:t>
      </w:r>
    </w:p>
    <w:p w14:paraId="11F9BBEB" w14:textId="77777777" w:rsidR="00831ECA" w:rsidRPr="00831ECA" w:rsidRDefault="00831ECA" w:rsidP="008D0DC3">
      <w:r w:rsidRPr="00831ECA">
        <w:t>Methodologisch steht es damit in der Linie reflexiver Systemtheorien [32], epistemischer Modellierung [33] und der Methodologie dynamischer Strukturbildung [34].</w:t>
      </w:r>
    </w:p>
    <w:p w14:paraId="34AACF6F" w14:textId="77777777" w:rsidR="00831ECA" w:rsidRPr="00831ECA" w:rsidRDefault="008D0DC3" w:rsidP="00831ECA">
      <w:pPr>
        <w:spacing w:after="0"/>
        <w:rPr>
          <w:rFonts w:ascii="Times New Roman" w:hAnsi="Times New Roman"/>
        </w:rPr>
      </w:pPr>
      <w:r>
        <w:rPr>
          <w:rFonts w:ascii="Times New Roman" w:hAnsi="Times New Roman"/>
        </w:rPr>
        <w:pict w14:anchorId="61F12E73">
          <v:rect id="_x0000_i1033" style="width:0;height:1.5pt" o:hralign="center" o:hrstd="t" o:hr="t" fillcolor="#a0a0a0" stroked="f"/>
        </w:pict>
      </w:r>
    </w:p>
    <w:p w14:paraId="4DE85949" w14:textId="780EF551" w:rsidR="00831ECA" w:rsidRPr="008D0DC3" w:rsidRDefault="00831ECA" w:rsidP="008D0DC3">
      <w:pPr>
        <w:pStyle w:val="berschrift2"/>
      </w:pPr>
      <w:r w:rsidRPr="00831ECA">
        <w:t>6.5 – Innovation durch generische Modellierung</w:t>
      </w:r>
    </w:p>
    <w:p w14:paraId="65B61FBB" w14:textId="673616EC" w:rsidR="00831ECA" w:rsidRPr="00831ECA" w:rsidRDefault="00831ECA" w:rsidP="008D0DC3">
      <w:r w:rsidRPr="00831ECA">
        <w:t xml:space="preserve">Das </w:t>
      </w:r>
      <w:r w:rsidR="007D659A">
        <w:t>FRZK</w:t>
      </w:r>
      <w:r w:rsidRPr="00831ECA">
        <w:t xml:space="preserve"> erlaubt es, komplexe Systeme generisch zu modellieren. Damit ist nicht gemeint, dass es ein abstraktes Obermodell liefert, das auf alles anwendbar ist, sondern dass es die Regeln bereitstellt, mit denen spezifische Modelle überhaupt konstruiert werden können. Es handelt sich also um ein </w:t>
      </w:r>
      <w:r w:rsidRPr="00831ECA">
        <w:rPr>
          <w:b/>
          <w:bCs/>
        </w:rPr>
        <w:t>Modell der Modellbildung</w:t>
      </w:r>
      <w:r w:rsidRPr="00831ECA">
        <w:t>, das nicht durch Inhalte, sondern durch Funktionsprinzipien bestimmt ist.</w:t>
      </w:r>
    </w:p>
    <w:p w14:paraId="5EC57C34" w14:textId="77777777" w:rsidR="008D0DC3" w:rsidRPr="00831ECA" w:rsidRDefault="008D0DC3" w:rsidP="008D0DC3">
      <w:pPr>
        <w:spacing w:after="0"/>
        <w:rPr>
          <w:rFonts w:ascii="Times New Roman" w:hAnsi="Times New Roman"/>
        </w:rPr>
      </w:pPr>
      <w:r>
        <w:rPr>
          <w:rFonts w:ascii="Times New Roman" w:hAnsi="Times New Roman"/>
        </w:rPr>
        <w:pict w14:anchorId="13C0994B">
          <v:rect id="_x0000_i1096" style="width:0;height:1.5pt" o:hralign="center" o:hrstd="t" o:hr="t" fillcolor="#a0a0a0" stroked="f"/>
        </w:pict>
      </w:r>
    </w:p>
    <w:p w14:paraId="16EC3D73" w14:textId="77777777" w:rsidR="00831ECA" w:rsidRPr="00831ECA" w:rsidRDefault="00831ECA" w:rsidP="008D0DC3">
      <w:pPr>
        <w:pStyle w:val="berschrift3"/>
      </w:pPr>
      <w:r w:rsidRPr="00831ECA">
        <w:t xml:space="preserve">6.5.1 </w:t>
      </w:r>
      <w:proofErr w:type="spellStart"/>
      <w:r w:rsidRPr="00831ECA">
        <w:t>Generik</w:t>
      </w:r>
      <w:proofErr w:type="spellEnd"/>
      <w:r w:rsidRPr="00831ECA">
        <w:t xml:space="preserve"> als Funktionsprinzip</w:t>
      </w:r>
    </w:p>
    <w:p w14:paraId="7FFE298F" w14:textId="05D69675" w:rsidR="00831ECA" w:rsidRPr="00831ECA" w:rsidRDefault="00831ECA" w:rsidP="008D0DC3">
      <w:r w:rsidRPr="00831ECA">
        <w:t xml:space="preserve">Die generische Kraft des </w:t>
      </w:r>
      <w:r w:rsidR="007D659A">
        <w:t>FRZK</w:t>
      </w:r>
      <w:r w:rsidRPr="00831ECA">
        <w:t xml:space="preserve"> liegt darin, dass es nicht einzelne Systeme beschreibt, sondern die Funktionsweise systemischer Konstitution. Es ist in der Lage, </w:t>
      </w:r>
      <w:r w:rsidRPr="00831ECA">
        <w:rPr>
          <w:i/>
          <w:iCs/>
        </w:rPr>
        <w:t>jegliche</w:t>
      </w:r>
      <w:r w:rsidRPr="00831ECA">
        <w:t xml:space="preserve"> Relation zwischen </w:t>
      </w:r>
      <w:r w:rsidRPr="00831ECA">
        <w:rPr>
          <w:i/>
          <w:iCs/>
        </w:rPr>
        <w:t>beliebigen</w:t>
      </w:r>
      <w:r w:rsidRPr="00831ECA">
        <w:t xml:space="preserve"> Elementen – seien sie physikalisch, kognitiv, sozial oder symbolisch – auf Basis von Funktionszuweisungen zu organisieren. Dadurch wird Modellbildung selbst </w:t>
      </w:r>
      <w:proofErr w:type="spellStart"/>
      <w:r w:rsidRPr="00831ECA">
        <w:t>formalisierbar</w:t>
      </w:r>
      <w:proofErr w:type="spellEnd"/>
      <w:r w:rsidRPr="00831ECA">
        <w:t xml:space="preserve"> – nicht als Übertragung, sondern als Konstitutionsprozess (vgl. Kap. 3.7.1–3.7.3).</w:t>
      </w:r>
    </w:p>
    <w:p w14:paraId="548D4969" w14:textId="77777777" w:rsidR="00831ECA" w:rsidRPr="00831ECA" w:rsidRDefault="00831ECA" w:rsidP="008D0DC3">
      <w:r w:rsidRPr="00831ECA">
        <w:t>Diese generische Form konvergiert mit Vorstellungen von „generativen Grammatiken“ in der Linguistik [35], universellen Mappings in der Kognitionswissenschaft [36] und meta-modellierender Frameworks in der Systemtheorie [37].</w:t>
      </w:r>
    </w:p>
    <w:p w14:paraId="3FBC9804" w14:textId="77777777" w:rsidR="008D0DC3" w:rsidRPr="00831ECA" w:rsidRDefault="008D0DC3" w:rsidP="008D0DC3">
      <w:pPr>
        <w:spacing w:after="0"/>
        <w:rPr>
          <w:rFonts w:ascii="Times New Roman" w:hAnsi="Times New Roman"/>
        </w:rPr>
      </w:pPr>
      <w:r>
        <w:rPr>
          <w:rFonts w:ascii="Times New Roman" w:hAnsi="Times New Roman"/>
        </w:rPr>
        <w:pict w14:anchorId="593ACC4D">
          <v:rect id="_x0000_i1097" style="width:0;height:1.5pt" o:hralign="center" o:hrstd="t" o:hr="t" fillcolor="#a0a0a0" stroked="f"/>
        </w:pict>
      </w:r>
    </w:p>
    <w:p w14:paraId="4B4621BA" w14:textId="77777777" w:rsidR="00831ECA" w:rsidRPr="00831ECA" w:rsidRDefault="00831ECA" w:rsidP="008D0DC3">
      <w:pPr>
        <w:pStyle w:val="berschrift3"/>
      </w:pPr>
      <w:r w:rsidRPr="00831ECA">
        <w:t>6.5.2 Bedeutung durch Struktur</w:t>
      </w:r>
    </w:p>
    <w:p w14:paraId="5C88BB94" w14:textId="5E0CE526" w:rsidR="00831ECA" w:rsidRPr="00831ECA" w:rsidRDefault="00831ECA" w:rsidP="008D0DC3">
      <w:r w:rsidRPr="00831ECA">
        <w:t xml:space="preserve">Im </w:t>
      </w:r>
      <w:r w:rsidR="007D659A">
        <w:t>FRZK</w:t>
      </w:r>
      <w:r w:rsidRPr="00831ECA">
        <w:t xml:space="preserve"> entsteht Bedeutung nicht durch Benennung oder Repräsentation, sondern durch Struktur – genauer: durch die relationale Einbettung von Positionen in funktionalen Netzwerken. Dies macht Modellierung unabhängig von semantischen Vorannahmen: Was „Kraft“, „Leben“, „Person“ oder „Intentionalität“ bedeutet, ergibt sich aus ihrer Position im funktionalen Beziehungsgeflecht, nicht aus einer wie auch immer gearteten Realitätsentsprechung.</w:t>
      </w:r>
    </w:p>
    <w:p w14:paraId="049102E6" w14:textId="77777777" w:rsidR="00831ECA" w:rsidRPr="00831ECA" w:rsidRDefault="00831ECA" w:rsidP="008D0DC3">
      <w:r w:rsidRPr="00831ECA">
        <w:t xml:space="preserve">Diese Sichtweise ist anschlussfähig an die Semiotik von Charles S. Peirce [38], die Netzwerktheorie von </w:t>
      </w:r>
      <w:proofErr w:type="spellStart"/>
      <w:r w:rsidRPr="00831ECA">
        <w:t>Barabási</w:t>
      </w:r>
      <w:proofErr w:type="spellEnd"/>
      <w:r w:rsidRPr="00831ECA">
        <w:t xml:space="preserve"> [39] und kategoriale Modellierung in der Logik [40].</w:t>
      </w:r>
    </w:p>
    <w:p w14:paraId="1A3911E0" w14:textId="77777777" w:rsidR="008D0DC3" w:rsidRPr="00831ECA" w:rsidRDefault="008D0DC3" w:rsidP="008D0DC3">
      <w:pPr>
        <w:spacing w:after="0"/>
        <w:rPr>
          <w:rFonts w:ascii="Times New Roman" w:hAnsi="Times New Roman"/>
        </w:rPr>
      </w:pPr>
      <w:r>
        <w:rPr>
          <w:rFonts w:ascii="Times New Roman" w:hAnsi="Times New Roman"/>
        </w:rPr>
        <w:pict w14:anchorId="41209676">
          <v:rect id="_x0000_i1098" style="width:0;height:1.5pt" o:hralign="center" o:hrstd="t" o:hr="t" fillcolor="#a0a0a0" stroked="f"/>
        </w:pict>
      </w:r>
    </w:p>
    <w:p w14:paraId="4A28D4C5" w14:textId="77777777" w:rsidR="00831ECA" w:rsidRPr="00831ECA" w:rsidRDefault="00831ECA" w:rsidP="008D0DC3">
      <w:pPr>
        <w:pStyle w:val="berschrift3"/>
      </w:pPr>
      <w:r w:rsidRPr="00831ECA">
        <w:t>6.5.3 Übertragbarkeit und Emergenz</w:t>
      </w:r>
    </w:p>
    <w:p w14:paraId="1B7771A5" w14:textId="6A10D379" w:rsidR="00831ECA" w:rsidRPr="00831ECA" w:rsidRDefault="00831ECA" w:rsidP="008D0DC3">
      <w:r w:rsidRPr="00831ECA">
        <w:t xml:space="preserve">Ein generisches Modell muss übertragbar sein – aber nicht im Sinne von „Ein Modell für alles“, sondern im Sinne einer methodologischen Universalität. Das </w:t>
      </w:r>
      <w:r w:rsidR="007D659A">
        <w:t>FRZK</w:t>
      </w:r>
      <w:r w:rsidRPr="00831ECA">
        <w:t xml:space="preserve"> erfüllt dieses Kriterium, weil es keine Inhalte voraussetzt, sondern nur Operationen. Diese Operationen – Zuweisung, Iteration, Relation, Rückkopplung – sind unabhängig vom jeweiligen Gegenstand.</w:t>
      </w:r>
    </w:p>
    <w:p w14:paraId="504F85E1" w14:textId="31D5D950" w:rsidR="00831ECA" w:rsidRPr="00831ECA" w:rsidRDefault="00831ECA" w:rsidP="008D0DC3">
      <w:r w:rsidRPr="00831ECA">
        <w:t xml:space="preserve">Damit kann das </w:t>
      </w:r>
      <w:r w:rsidR="007D659A">
        <w:t>FRZK</w:t>
      </w:r>
      <w:r w:rsidRPr="00831ECA">
        <w:t xml:space="preserve"> überall dort zur Anwendung kommen, wo Systeme aus Differenz, Struktur und Dynamik emergieren – also in der Physik, der Biologie, der Technik, der Kommunikation und im sozialen Handeln. Es ist nicht inhaltlich universell, sondern </w:t>
      </w:r>
      <w:r w:rsidRPr="00831ECA">
        <w:rPr>
          <w:i/>
          <w:iCs/>
        </w:rPr>
        <w:t>operationell</w:t>
      </w:r>
      <w:r w:rsidRPr="00831ECA">
        <w:t>.</w:t>
      </w:r>
    </w:p>
    <w:p w14:paraId="15CFF8C2" w14:textId="77777777" w:rsidR="00831ECA" w:rsidRPr="00831ECA" w:rsidRDefault="00831ECA" w:rsidP="008D0DC3">
      <w:r w:rsidRPr="00831ECA">
        <w:t>Diese operationelle Universalität wurde auch in der Theoriebildung zu komplexen adaptiven Systemen gefordert [41] und ist ein zentraler Anspruch der allgemeinen Modellierungssystematik [42].</w:t>
      </w:r>
    </w:p>
    <w:p w14:paraId="3F9513B2" w14:textId="77777777" w:rsidR="008D0DC3" w:rsidRPr="00831ECA" w:rsidRDefault="008D0DC3" w:rsidP="008D0DC3">
      <w:pPr>
        <w:spacing w:after="0"/>
        <w:rPr>
          <w:rFonts w:ascii="Times New Roman" w:hAnsi="Times New Roman"/>
        </w:rPr>
      </w:pPr>
      <w:r>
        <w:rPr>
          <w:rFonts w:ascii="Times New Roman" w:hAnsi="Times New Roman"/>
        </w:rPr>
        <w:pict w14:anchorId="1A6F6C29">
          <v:rect id="_x0000_i1099" style="width:0;height:1.5pt" o:hralign="center" o:hrstd="t" o:hr="t" fillcolor="#a0a0a0" stroked="f"/>
        </w:pict>
      </w:r>
    </w:p>
    <w:p w14:paraId="6686F328" w14:textId="77777777" w:rsidR="00831ECA" w:rsidRPr="00831ECA" w:rsidRDefault="00831ECA" w:rsidP="008D0DC3">
      <w:pPr>
        <w:pStyle w:val="berschrift3"/>
      </w:pPr>
      <w:r w:rsidRPr="00831ECA">
        <w:t>6.5.4 Funktionale Anschlussfähigkeit</w:t>
      </w:r>
    </w:p>
    <w:p w14:paraId="622B26B6" w14:textId="0A5522C5" w:rsidR="00831ECA" w:rsidRPr="00831ECA" w:rsidRDefault="00831ECA" w:rsidP="008D0DC3">
      <w:r w:rsidRPr="00831ECA">
        <w:t xml:space="preserve">Durch seine generische Struktur ist das </w:t>
      </w:r>
      <w:r w:rsidR="007D659A">
        <w:t>FRZK</w:t>
      </w:r>
      <w:r w:rsidRPr="00831ECA">
        <w:t xml:space="preserve"> anschlussfähig an bestehende formale Systeme – etwa kategoriale Typentheorie, dynamische Systemmodelle, relationale Datenstrukturen, neuronale Netzwerke, simulationsgestützte Modellierung oder netzwerktheoretische Darstellungen. Es dient nicht als Alternative, sondern als übergreifender Rahmen, in dem diese Systeme miteinander in Beziehung gesetzt und vergleichbar gemacht werden können.</w:t>
      </w:r>
    </w:p>
    <w:p w14:paraId="2C790483" w14:textId="115CEF3A" w:rsidR="00831ECA" w:rsidRPr="00831ECA" w:rsidRDefault="00831ECA" w:rsidP="008D0DC3">
      <w:r w:rsidRPr="00831ECA">
        <w:t xml:space="preserve">Das </w:t>
      </w:r>
      <w:r w:rsidR="007D659A">
        <w:t>FRZK</w:t>
      </w:r>
      <w:r w:rsidRPr="00831ECA">
        <w:t xml:space="preserve"> fungiert damit als eine Art </w:t>
      </w:r>
      <w:r w:rsidRPr="00831ECA">
        <w:rPr>
          <w:i/>
          <w:iCs/>
        </w:rPr>
        <w:t>epistemisches Interface</w:t>
      </w:r>
      <w:r w:rsidRPr="00831ECA">
        <w:t xml:space="preserve"> zwischen unterschiedlichen Modellierungswelten – ein methodologisches Betriebssystem für strukturbasierte Erkenntnisprozesse (vgl. Kap. 3.8).</w:t>
      </w:r>
    </w:p>
    <w:p w14:paraId="39AEDAC0" w14:textId="77777777" w:rsidR="00831ECA" w:rsidRPr="00831ECA" w:rsidRDefault="008D0DC3" w:rsidP="00831ECA">
      <w:pPr>
        <w:spacing w:after="0"/>
        <w:rPr>
          <w:rFonts w:ascii="Times New Roman" w:hAnsi="Times New Roman"/>
        </w:rPr>
      </w:pPr>
      <w:r>
        <w:rPr>
          <w:rFonts w:ascii="Times New Roman" w:hAnsi="Times New Roman"/>
        </w:rPr>
        <w:pict w14:anchorId="7E84E297">
          <v:rect id="_x0000_i1035" style="width:0;height:1.5pt" o:hralign="center" o:hrstd="t" o:hr="t" fillcolor="#a0a0a0" stroked="f"/>
        </w:pict>
      </w:r>
    </w:p>
    <w:p w14:paraId="6D41FFDD" w14:textId="7A304184" w:rsidR="00831ECA" w:rsidRPr="00831ECA" w:rsidRDefault="00831ECA" w:rsidP="00831ECA">
      <w:pPr>
        <w:spacing w:before="100" w:beforeAutospacing="1" w:after="100" w:afterAutospacing="1"/>
        <w:outlineLvl w:val="2"/>
        <w:rPr>
          <w:rFonts w:ascii="Times New Roman" w:hAnsi="Times New Roman"/>
          <w:b/>
          <w:bCs/>
          <w:sz w:val="27"/>
          <w:szCs w:val="27"/>
        </w:rPr>
      </w:pPr>
      <w:r w:rsidRPr="00831ECA">
        <w:rPr>
          <w:rFonts w:ascii="Times New Roman" w:hAnsi="Times New Roman"/>
          <w:b/>
          <w:bCs/>
          <w:sz w:val="27"/>
          <w:szCs w:val="27"/>
        </w:rPr>
        <w:t xml:space="preserve">6.6 – </w:t>
      </w:r>
      <w:r w:rsidRPr="00831ECA">
        <w:rPr>
          <w:rFonts w:ascii="Times New Roman" w:hAnsi="Times New Roman"/>
          <w:b/>
          <w:bCs/>
          <w:i/>
          <w:iCs/>
          <w:sz w:val="27"/>
          <w:szCs w:val="27"/>
        </w:rPr>
        <w:t>Innovation durch didaktische Felder</w:t>
      </w:r>
    </w:p>
    <w:p w14:paraId="14ADFE13" w14:textId="2CAE589B"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Die bislang entwickelten Prinzipien – epistemisch, ontologisch, methodisch, systemisch – lassen sich im Rahmen des </w:t>
      </w:r>
      <w:r w:rsidR="007D659A">
        <w:rPr>
          <w:rFonts w:ascii="Times New Roman" w:hAnsi="Times New Roman"/>
        </w:rPr>
        <w:t>FRZK</w:t>
      </w:r>
      <w:r w:rsidRPr="00831ECA">
        <w:rPr>
          <w:rFonts w:ascii="Times New Roman" w:hAnsi="Times New Roman"/>
        </w:rPr>
        <w:t xml:space="preserve"> in ein didaktisches Design überführen, das nicht auf Inhalte, sondern auf Struktur- und Bedeutungserzeugung zielt. Die Innovation liegt hierbei in der Einführung sogenannter </w:t>
      </w:r>
      <w:r w:rsidRPr="00831ECA">
        <w:rPr>
          <w:rFonts w:ascii="Times New Roman" w:hAnsi="Times New Roman"/>
          <w:i/>
          <w:iCs/>
        </w:rPr>
        <w:t>didaktischer Felder</w:t>
      </w:r>
      <w:r w:rsidRPr="00831ECA">
        <w:rPr>
          <w:rFonts w:ascii="Times New Roman" w:hAnsi="Times New Roman"/>
        </w:rPr>
        <w:t>, innerhalb derer Lernprozesse nicht durch Vermittlung, sondern durch strukturelle Anordnung ermöglicht werden.</w:t>
      </w:r>
    </w:p>
    <w:p w14:paraId="71F8EDB9" w14:textId="77777777" w:rsidR="00831ECA" w:rsidRPr="00831ECA" w:rsidRDefault="00831ECA" w:rsidP="00831ECA">
      <w:pPr>
        <w:spacing w:before="100" w:beforeAutospacing="1" w:after="100" w:afterAutospacing="1"/>
        <w:outlineLvl w:val="3"/>
        <w:rPr>
          <w:rFonts w:ascii="Times New Roman" w:hAnsi="Times New Roman"/>
          <w:b/>
          <w:bCs/>
        </w:rPr>
      </w:pPr>
      <w:r w:rsidRPr="00831ECA">
        <w:rPr>
          <w:rFonts w:ascii="Times New Roman" w:hAnsi="Times New Roman"/>
          <w:b/>
          <w:bCs/>
        </w:rPr>
        <w:t>6.6.1 Didaktische Felder als funktionale Räume</w:t>
      </w:r>
    </w:p>
    <w:p w14:paraId="75C4D5B4" w14:textId="41385692"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Ein didaktisches Feld ist ein strukturierter Raum von Zuweisungsmöglichkeiten, in dem Bedeutungen nicht vorgegeben, sondern erzeugt werden. Solche Felder lassen sich im </w:t>
      </w:r>
      <w:r w:rsidR="007D659A">
        <w:rPr>
          <w:rFonts w:ascii="Times New Roman" w:hAnsi="Times New Roman"/>
        </w:rPr>
        <w:t>FRZK</w:t>
      </w:r>
      <w:r w:rsidRPr="00831ECA">
        <w:rPr>
          <w:rFonts w:ascii="Times New Roman" w:hAnsi="Times New Roman"/>
        </w:rPr>
        <w:t xml:space="preserve"> als dynamische Struktursysteme modellieren, die durch koordinierte Zuweisungen von Raum-, Zeit- und Funktionsdimensionen konstituiert werden (vgl. Kap. 3.5.2 und 3.7.4).</w:t>
      </w:r>
    </w:p>
    <w:p w14:paraId="1B475234"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Die Lernenden bewegen sich innerhalb dieser Felder, indem sie Strukturen erzeugen, verwerfen, rekonfigurieren. Die Lehrperson hat hierbei nicht die Rolle eines Vermittlers, sondern eines </w:t>
      </w:r>
      <w:r w:rsidRPr="00831ECA">
        <w:rPr>
          <w:rFonts w:ascii="Times New Roman" w:hAnsi="Times New Roman"/>
          <w:i/>
          <w:iCs/>
        </w:rPr>
        <w:t>Feldarchitekten</w:t>
      </w:r>
      <w:r w:rsidRPr="00831ECA">
        <w:rPr>
          <w:rFonts w:ascii="Times New Roman" w:hAnsi="Times New Roman"/>
        </w:rPr>
        <w:t xml:space="preserve">, der die Struktur des Raums so gestaltet, dass produktive </w:t>
      </w:r>
      <w:proofErr w:type="spellStart"/>
      <w:r w:rsidRPr="00831ECA">
        <w:rPr>
          <w:rFonts w:ascii="Times New Roman" w:hAnsi="Times New Roman"/>
        </w:rPr>
        <w:t>Emergenzprozesse</w:t>
      </w:r>
      <w:proofErr w:type="spellEnd"/>
      <w:r w:rsidRPr="00831ECA">
        <w:rPr>
          <w:rFonts w:ascii="Times New Roman" w:hAnsi="Times New Roman"/>
        </w:rPr>
        <w:t xml:space="preserve"> möglich werden.</w:t>
      </w:r>
    </w:p>
    <w:p w14:paraId="1A295974"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Dieser Ansatz entspricht systemischen Lernmodellen, etwa im Sinne der </w:t>
      </w:r>
      <w:proofErr w:type="spellStart"/>
      <w:r w:rsidRPr="00831ECA">
        <w:rPr>
          <w:rFonts w:ascii="Times New Roman" w:hAnsi="Times New Roman"/>
          <w:i/>
          <w:iCs/>
        </w:rPr>
        <w:t>scaffolding</w:t>
      </w:r>
      <w:proofErr w:type="spellEnd"/>
      <w:r w:rsidRPr="00831ECA">
        <w:rPr>
          <w:rFonts w:ascii="Times New Roman" w:hAnsi="Times New Roman"/>
        </w:rPr>
        <w:t xml:space="preserve">-Theorie [43], der Konzeptstrukturierung durch </w:t>
      </w:r>
      <w:proofErr w:type="spellStart"/>
      <w:r w:rsidRPr="00831ECA">
        <w:rPr>
          <w:rFonts w:ascii="Times New Roman" w:hAnsi="Times New Roman"/>
          <w:i/>
          <w:iCs/>
        </w:rPr>
        <w:t>epistemic</w:t>
      </w:r>
      <w:proofErr w:type="spellEnd"/>
      <w:r w:rsidRPr="00831ECA">
        <w:rPr>
          <w:rFonts w:ascii="Times New Roman" w:hAnsi="Times New Roman"/>
          <w:i/>
          <w:iCs/>
        </w:rPr>
        <w:t xml:space="preserve"> </w:t>
      </w:r>
      <w:proofErr w:type="spellStart"/>
      <w:r w:rsidRPr="00831ECA">
        <w:rPr>
          <w:rFonts w:ascii="Times New Roman" w:hAnsi="Times New Roman"/>
          <w:i/>
          <w:iCs/>
        </w:rPr>
        <w:t>framing</w:t>
      </w:r>
      <w:proofErr w:type="spellEnd"/>
      <w:r w:rsidRPr="00831ECA">
        <w:rPr>
          <w:rFonts w:ascii="Times New Roman" w:hAnsi="Times New Roman"/>
        </w:rPr>
        <w:t xml:space="preserve"> [44] oder dem Ansatz der </w:t>
      </w:r>
      <w:r w:rsidRPr="00831ECA">
        <w:rPr>
          <w:rFonts w:ascii="Times New Roman" w:hAnsi="Times New Roman"/>
          <w:i/>
          <w:iCs/>
        </w:rPr>
        <w:t>didaktischen Rekonstruktion</w:t>
      </w:r>
      <w:r w:rsidRPr="00831ECA">
        <w:rPr>
          <w:rFonts w:ascii="Times New Roman" w:hAnsi="Times New Roman"/>
        </w:rPr>
        <w:t xml:space="preserve"> [45].</w:t>
      </w:r>
    </w:p>
    <w:p w14:paraId="3F597256" w14:textId="77777777" w:rsidR="00831ECA" w:rsidRPr="00831ECA" w:rsidRDefault="00831ECA" w:rsidP="00831ECA">
      <w:pPr>
        <w:spacing w:before="100" w:beforeAutospacing="1" w:after="100" w:afterAutospacing="1"/>
        <w:outlineLvl w:val="3"/>
        <w:rPr>
          <w:rFonts w:ascii="Times New Roman" w:hAnsi="Times New Roman"/>
          <w:b/>
          <w:bCs/>
        </w:rPr>
      </w:pPr>
      <w:r w:rsidRPr="00831ECA">
        <w:rPr>
          <w:rFonts w:ascii="Times New Roman" w:hAnsi="Times New Roman"/>
          <w:b/>
          <w:bCs/>
        </w:rPr>
        <w:t>6.6.2 Räume für strukturelle Selbstorganisation</w:t>
      </w:r>
    </w:p>
    <w:p w14:paraId="658413BF" w14:textId="13B1B1F8"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Didaktische Felder im </w:t>
      </w:r>
      <w:r w:rsidR="007D659A">
        <w:rPr>
          <w:rFonts w:ascii="Times New Roman" w:hAnsi="Times New Roman"/>
        </w:rPr>
        <w:t>FRZK</w:t>
      </w:r>
      <w:r w:rsidRPr="00831ECA">
        <w:rPr>
          <w:rFonts w:ascii="Times New Roman" w:hAnsi="Times New Roman"/>
        </w:rPr>
        <w:t xml:space="preserve"> ermöglichen strukturelle Selbstorganisation: Lernprozesse entstehen durch die dynamische Wechselwirkung zwischen Beobachtung, Strukturzuweisung und Reflexion. Damit wird Lernen nicht als Wissensakkumulation, sondern als Emergenz epistemischer Differenz verstanden – eine systematische Selbststrukturierung des Lernsubjekts im funktionalen Raum.</w:t>
      </w:r>
    </w:p>
    <w:p w14:paraId="16F683AB"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Diese Sichtweise steht in enger Verbindung zu Theorien des situierten Lernens [46], zur dynamischen Lernfeldtheorie [47] und zu Konzepten des selbstorganisierten Lernens in digitalen Umgebungen [48].</w:t>
      </w:r>
    </w:p>
    <w:p w14:paraId="0A260593" w14:textId="16BDC60B"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Das </w:t>
      </w:r>
      <w:r w:rsidR="007D659A">
        <w:rPr>
          <w:rFonts w:ascii="Times New Roman" w:hAnsi="Times New Roman"/>
        </w:rPr>
        <w:t>FRZK</w:t>
      </w:r>
      <w:r w:rsidRPr="00831ECA">
        <w:rPr>
          <w:rFonts w:ascii="Times New Roman" w:hAnsi="Times New Roman"/>
        </w:rPr>
        <w:t xml:space="preserve"> liefert für diese Konzepte die formale Grundlage: Die Strukturen, die innerhalb eines didaktischen Feldes entstehen, sind exakt rekonstruierbar – und können dadurch systematisch analysiert, modifiziert und verbessert werden.</w:t>
      </w:r>
    </w:p>
    <w:p w14:paraId="6FB092B2" w14:textId="77777777" w:rsidR="00831ECA" w:rsidRPr="00831ECA" w:rsidRDefault="00831ECA" w:rsidP="00831ECA">
      <w:pPr>
        <w:spacing w:before="100" w:beforeAutospacing="1" w:after="100" w:afterAutospacing="1"/>
        <w:outlineLvl w:val="3"/>
        <w:rPr>
          <w:rFonts w:ascii="Times New Roman" w:hAnsi="Times New Roman"/>
          <w:b/>
          <w:bCs/>
        </w:rPr>
      </w:pPr>
      <w:r w:rsidRPr="00831ECA">
        <w:rPr>
          <w:rFonts w:ascii="Times New Roman" w:hAnsi="Times New Roman"/>
          <w:b/>
          <w:bCs/>
        </w:rPr>
        <w:t>6.6.3 Bedeutung als Bewegung im Feld</w:t>
      </w:r>
    </w:p>
    <w:p w14:paraId="63F89CA4"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Innerhalb eines didaktischen Feldes ist Bedeutung keine Eigenschaft eines Zeichens oder Inhalts, sondern das Resultat einer Bewegung im funktionalen Raum. Lernen besteht dann darin, </w:t>
      </w:r>
      <w:r w:rsidRPr="00831ECA">
        <w:rPr>
          <w:rFonts w:ascii="Times New Roman" w:hAnsi="Times New Roman"/>
          <w:i/>
          <w:iCs/>
        </w:rPr>
        <w:t>Differenzen</w:t>
      </w:r>
      <w:r w:rsidRPr="00831ECA">
        <w:rPr>
          <w:rFonts w:ascii="Times New Roman" w:hAnsi="Times New Roman"/>
        </w:rPr>
        <w:t xml:space="preserve"> zu erzeugen – nicht Antworten zu geben.</w:t>
      </w:r>
    </w:p>
    <w:p w14:paraId="539E21A9"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Diese Perspektive radikalisiert den Konstruktivismus: Wissen ist nicht das Ergebnis eines Verstehensprozesses, sondern der </w:t>
      </w:r>
      <w:r w:rsidRPr="00831ECA">
        <w:rPr>
          <w:rFonts w:ascii="Times New Roman" w:hAnsi="Times New Roman"/>
          <w:i/>
          <w:iCs/>
        </w:rPr>
        <w:t>Effekt einer Serie funktionaler Übergänge</w:t>
      </w:r>
      <w:r w:rsidRPr="00831ECA">
        <w:rPr>
          <w:rFonts w:ascii="Times New Roman" w:hAnsi="Times New Roman"/>
        </w:rPr>
        <w:t xml:space="preserve"> im Strukturraum. Jeder neue Begriff, jede neue Einsicht ist eine topologische Transformation – ein Sprung in eine neue Funktionszone.</w:t>
      </w:r>
    </w:p>
    <w:p w14:paraId="747E2150"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Diese Denkweise ist verwandt mit Positionen der sog. </w:t>
      </w:r>
      <w:proofErr w:type="spellStart"/>
      <w:r w:rsidRPr="00831ECA">
        <w:rPr>
          <w:rFonts w:ascii="Times New Roman" w:hAnsi="Times New Roman"/>
          <w:i/>
          <w:iCs/>
        </w:rPr>
        <w:t>commognitive</w:t>
      </w:r>
      <w:proofErr w:type="spellEnd"/>
      <w:r w:rsidRPr="00831ECA">
        <w:rPr>
          <w:rFonts w:ascii="Times New Roman" w:hAnsi="Times New Roman"/>
        </w:rPr>
        <w:t xml:space="preserve"> Didaktik [49], </w:t>
      </w:r>
      <w:proofErr w:type="gramStart"/>
      <w:r w:rsidRPr="00831ECA">
        <w:rPr>
          <w:rFonts w:ascii="Times New Roman" w:hAnsi="Times New Roman"/>
        </w:rPr>
        <w:t>in der Lernen</w:t>
      </w:r>
      <w:proofErr w:type="gramEnd"/>
      <w:r w:rsidRPr="00831ECA">
        <w:rPr>
          <w:rFonts w:ascii="Times New Roman" w:hAnsi="Times New Roman"/>
        </w:rPr>
        <w:t xml:space="preserve"> als Umbau kognitiver Diskurspraktiken verstanden wird, sowie mit der semiotischen Lernanalyse [50], in der Bedeutung aus Differenz und Position hervorgeht – nicht aus Inhalt.</w:t>
      </w:r>
    </w:p>
    <w:p w14:paraId="25D100DC" w14:textId="77777777" w:rsidR="00831ECA" w:rsidRPr="00831ECA" w:rsidRDefault="00831ECA" w:rsidP="00831ECA">
      <w:pPr>
        <w:spacing w:before="100" w:beforeAutospacing="1" w:after="100" w:afterAutospacing="1"/>
        <w:outlineLvl w:val="3"/>
        <w:rPr>
          <w:rFonts w:ascii="Times New Roman" w:hAnsi="Times New Roman"/>
          <w:b/>
          <w:bCs/>
        </w:rPr>
      </w:pPr>
      <w:r w:rsidRPr="00831ECA">
        <w:rPr>
          <w:rFonts w:ascii="Times New Roman" w:hAnsi="Times New Roman"/>
          <w:b/>
          <w:bCs/>
        </w:rPr>
        <w:t>6.6.4 Systemdidaktik als emergente Gestaltung</w:t>
      </w:r>
    </w:p>
    <w:p w14:paraId="5E1AC911" w14:textId="42ED2548"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Das </w:t>
      </w:r>
      <w:r w:rsidR="007D659A">
        <w:rPr>
          <w:rFonts w:ascii="Times New Roman" w:hAnsi="Times New Roman"/>
        </w:rPr>
        <w:t>FRZK</w:t>
      </w:r>
      <w:r w:rsidRPr="00831ECA">
        <w:rPr>
          <w:rFonts w:ascii="Times New Roman" w:hAnsi="Times New Roman"/>
        </w:rPr>
        <w:t xml:space="preserve"> ermöglicht schließlich eine </w:t>
      </w:r>
      <w:r w:rsidRPr="00831ECA">
        <w:rPr>
          <w:rFonts w:ascii="Times New Roman" w:hAnsi="Times New Roman"/>
          <w:i/>
          <w:iCs/>
        </w:rPr>
        <w:t>Systemdidaktik</w:t>
      </w:r>
      <w:r w:rsidRPr="00831ECA">
        <w:rPr>
          <w:rFonts w:ascii="Times New Roman" w:hAnsi="Times New Roman"/>
        </w:rPr>
        <w:t xml:space="preserve">, die nicht auf Instruktion, sondern auf Emergenz zielt. Didaktische Felder werden nicht geplant, sondern entworfen – als dynamische Räume, in denen Lernen als strukturelle Selbstorganisation möglich wird. Die Lehrperson wird damit zur </w:t>
      </w:r>
      <w:r w:rsidRPr="00831ECA">
        <w:rPr>
          <w:rFonts w:ascii="Times New Roman" w:hAnsi="Times New Roman"/>
          <w:i/>
          <w:iCs/>
        </w:rPr>
        <w:t>Gestalterin epistemischer Felder</w:t>
      </w:r>
      <w:r w:rsidRPr="00831ECA">
        <w:rPr>
          <w:rFonts w:ascii="Times New Roman" w:hAnsi="Times New Roman"/>
        </w:rPr>
        <w:t>.</w:t>
      </w:r>
    </w:p>
    <w:p w14:paraId="44A08683"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Diese Idee steht im Einklang mit Ansätzen der designbasierten Didaktik, mit offenen Lernarchitekturen und mit reflexiven Bildungsformaten, wie sie z. B. in der Future Skills Education, in der digitalen Modellbildung und in projektbasierten Szenarien erprobt werden [51][52].</w:t>
      </w:r>
    </w:p>
    <w:p w14:paraId="5D553AA9" w14:textId="301C90B5"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Das </w:t>
      </w:r>
      <w:r w:rsidR="007D659A">
        <w:rPr>
          <w:rFonts w:ascii="Times New Roman" w:hAnsi="Times New Roman"/>
        </w:rPr>
        <w:t>FRZK</w:t>
      </w:r>
      <w:r w:rsidRPr="00831ECA">
        <w:rPr>
          <w:rFonts w:ascii="Times New Roman" w:hAnsi="Times New Roman"/>
        </w:rPr>
        <w:t xml:space="preserve"> bietet hier nicht nur ein didaktisches Konzept, sondern ein präzises Strukturmodell – und hebt die Gestaltung des Lernens damit auf eine neue systemische Ebene.</w:t>
      </w:r>
    </w:p>
    <w:p w14:paraId="29B854E4" w14:textId="77777777" w:rsidR="00831ECA" w:rsidRPr="00831ECA" w:rsidRDefault="008D0DC3" w:rsidP="00831ECA">
      <w:pPr>
        <w:spacing w:after="0"/>
        <w:rPr>
          <w:rFonts w:ascii="Times New Roman" w:hAnsi="Times New Roman"/>
        </w:rPr>
      </w:pPr>
      <w:r>
        <w:rPr>
          <w:rFonts w:ascii="Times New Roman" w:hAnsi="Times New Roman"/>
        </w:rPr>
        <w:pict w14:anchorId="6E4F24C1">
          <v:rect id="_x0000_i1037" style="width:0;height:1.5pt" o:hralign="center" o:hrstd="t" o:hr="t" fillcolor="#a0a0a0" stroked="f"/>
        </w:pict>
      </w:r>
    </w:p>
    <w:p w14:paraId="01394961" w14:textId="49F0046B" w:rsidR="00831ECA" w:rsidRPr="00831ECA" w:rsidRDefault="00831ECA" w:rsidP="00831ECA">
      <w:pPr>
        <w:spacing w:before="100" w:beforeAutospacing="1" w:after="100" w:afterAutospacing="1"/>
        <w:outlineLvl w:val="2"/>
        <w:rPr>
          <w:rFonts w:ascii="Times New Roman" w:hAnsi="Times New Roman"/>
          <w:b/>
          <w:bCs/>
          <w:sz w:val="27"/>
          <w:szCs w:val="27"/>
        </w:rPr>
      </w:pPr>
      <w:r w:rsidRPr="00831ECA">
        <w:rPr>
          <w:rFonts w:ascii="Segoe UI Emoji" w:hAnsi="Segoe UI Emoji" w:cs="Segoe UI Emoji"/>
          <w:b/>
          <w:bCs/>
          <w:sz w:val="27"/>
          <w:szCs w:val="27"/>
        </w:rPr>
        <w:t>✅</w:t>
      </w:r>
      <w:r w:rsidRPr="00831ECA">
        <w:rPr>
          <w:rFonts w:ascii="Times New Roman" w:hAnsi="Times New Roman"/>
          <w:b/>
          <w:bCs/>
          <w:sz w:val="27"/>
          <w:szCs w:val="27"/>
        </w:rPr>
        <w:t xml:space="preserve"> Neuer Abschnitt </w:t>
      </w:r>
      <w:r w:rsidR="00326179">
        <w:rPr>
          <w:rFonts w:ascii="Times New Roman" w:hAnsi="Times New Roman"/>
          <w:b/>
          <w:bCs/>
          <w:sz w:val="27"/>
          <w:szCs w:val="27"/>
        </w:rPr>
        <w:t>6.7</w:t>
      </w:r>
      <w:r w:rsidRPr="00831ECA">
        <w:rPr>
          <w:rFonts w:ascii="Times New Roman" w:hAnsi="Times New Roman"/>
          <w:b/>
          <w:bCs/>
          <w:sz w:val="27"/>
          <w:szCs w:val="27"/>
        </w:rPr>
        <w:t xml:space="preserve"> – </w:t>
      </w:r>
      <w:r w:rsidRPr="00831ECA">
        <w:rPr>
          <w:rFonts w:ascii="Times New Roman" w:hAnsi="Times New Roman"/>
          <w:b/>
          <w:bCs/>
          <w:i/>
          <w:iCs/>
          <w:sz w:val="27"/>
          <w:szCs w:val="27"/>
        </w:rPr>
        <w:t>Kooperation und Gemeinschaftsinnovation</w:t>
      </w:r>
    </w:p>
    <w:p w14:paraId="0DC0B80D" w14:textId="77777777" w:rsidR="00831ECA" w:rsidRPr="00831ECA" w:rsidRDefault="008D0DC3" w:rsidP="00831ECA">
      <w:pPr>
        <w:spacing w:after="0"/>
        <w:rPr>
          <w:rFonts w:ascii="Times New Roman" w:hAnsi="Times New Roman"/>
        </w:rPr>
      </w:pPr>
      <w:r>
        <w:rPr>
          <w:rFonts w:ascii="Times New Roman" w:hAnsi="Times New Roman"/>
        </w:rPr>
        <w:pict w14:anchorId="69D97F36">
          <v:rect id="_x0000_i1038" style="width:0;height:1.5pt" o:hralign="center" o:hrstd="t" o:hr="t" fillcolor="#a0a0a0" stroked="f"/>
        </w:pict>
      </w:r>
    </w:p>
    <w:p w14:paraId="35618BD6" w14:textId="324B35B0"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Das </w:t>
      </w:r>
      <w:r w:rsidR="007D659A">
        <w:rPr>
          <w:rFonts w:ascii="Times New Roman" w:hAnsi="Times New Roman"/>
        </w:rPr>
        <w:t>FRZK</w:t>
      </w:r>
      <w:r w:rsidRPr="00831ECA">
        <w:rPr>
          <w:rFonts w:ascii="Times New Roman" w:hAnsi="Times New Roman"/>
        </w:rPr>
        <w:t xml:space="preserve"> eröffnet neue Perspektiven auf kooperative Innovationsprozesse, indem es Gemeinschaften nicht als Zusammenschluss von Individuen, sondern als emergente funktionale Felder versteht. Diese Felder entstehen nicht durch Mitgliedschaft oder Kommunikation allein, sondern durch strukturierte Zuweisung von Rollen, Praktiken, Bedeutungsräumen und epistemischen Funktionen.</w:t>
      </w:r>
    </w:p>
    <w:p w14:paraId="7A3E7029" w14:textId="7CB89D58" w:rsidR="00831ECA" w:rsidRPr="00831ECA" w:rsidRDefault="00326179" w:rsidP="00831ECA">
      <w:pPr>
        <w:spacing w:before="100" w:beforeAutospacing="1" w:after="100" w:afterAutospacing="1"/>
        <w:outlineLvl w:val="3"/>
        <w:rPr>
          <w:rFonts w:ascii="Times New Roman" w:hAnsi="Times New Roman"/>
          <w:b/>
          <w:bCs/>
        </w:rPr>
      </w:pPr>
      <w:r>
        <w:rPr>
          <w:rFonts w:ascii="Times New Roman" w:hAnsi="Times New Roman"/>
          <w:b/>
          <w:bCs/>
        </w:rPr>
        <w:t>6.7</w:t>
      </w:r>
      <w:r w:rsidR="00831ECA" w:rsidRPr="00831ECA">
        <w:rPr>
          <w:rFonts w:ascii="Times New Roman" w:hAnsi="Times New Roman"/>
          <w:b/>
          <w:bCs/>
        </w:rPr>
        <w:t xml:space="preserve">.1 Communities </w:t>
      </w:r>
      <w:proofErr w:type="spellStart"/>
      <w:r w:rsidR="00831ECA" w:rsidRPr="00831ECA">
        <w:rPr>
          <w:rFonts w:ascii="Times New Roman" w:hAnsi="Times New Roman"/>
          <w:b/>
          <w:bCs/>
        </w:rPr>
        <w:t>of</w:t>
      </w:r>
      <w:proofErr w:type="spellEnd"/>
      <w:r w:rsidR="00831ECA" w:rsidRPr="00831ECA">
        <w:rPr>
          <w:rFonts w:ascii="Times New Roman" w:hAnsi="Times New Roman"/>
          <w:b/>
          <w:bCs/>
        </w:rPr>
        <w:t xml:space="preserve"> Practice als dynamische Strukturfelder</w:t>
      </w:r>
    </w:p>
    <w:p w14:paraId="4861CE2A" w14:textId="57A3C642"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In klassischen Lerntheorien werden Gemeinschaften als Kontexte des Wissenstransfers verstanden. Im </w:t>
      </w:r>
      <w:r w:rsidR="007D659A">
        <w:rPr>
          <w:rFonts w:ascii="Times New Roman" w:hAnsi="Times New Roman"/>
        </w:rPr>
        <w:t>FRZK</w:t>
      </w:r>
      <w:r w:rsidRPr="00831ECA">
        <w:rPr>
          <w:rFonts w:ascii="Times New Roman" w:hAnsi="Times New Roman"/>
        </w:rPr>
        <w:t xml:space="preserve"> dagegen erscheinen </w:t>
      </w:r>
      <w:r w:rsidRPr="00831ECA">
        <w:rPr>
          <w:rFonts w:ascii="Times New Roman" w:hAnsi="Times New Roman"/>
          <w:i/>
          <w:iCs/>
        </w:rPr>
        <w:t xml:space="preserve">Communities </w:t>
      </w:r>
      <w:proofErr w:type="spellStart"/>
      <w:r w:rsidRPr="00831ECA">
        <w:rPr>
          <w:rFonts w:ascii="Times New Roman" w:hAnsi="Times New Roman"/>
          <w:i/>
          <w:iCs/>
        </w:rPr>
        <w:t>of</w:t>
      </w:r>
      <w:proofErr w:type="spellEnd"/>
      <w:r w:rsidRPr="00831ECA">
        <w:rPr>
          <w:rFonts w:ascii="Times New Roman" w:hAnsi="Times New Roman"/>
          <w:i/>
          <w:iCs/>
        </w:rPr>
        <w:t xml:space="preserve"> Practice</w:t>
      </w:r>
      <w:r w:rsidRPr="00831ECA">
        <w:rPr>
          <w:rFonts w:ascii="Times New Roman" w:hAnsi="Times New Roman"/>
        </w:rPr>
        <w:t xml:space="preserve"> (</w:t>
      </w:r>
      <w:proofErr w:type="spellStart"/>
      <w:r w:rsidRPr="00831ECA">
        <w:rPr>
          <w:rFonts w:ascii="Times New Roman" w:hAnsi="Times New Roman"/>
        </w:rPr>
        <w:t>CoPs</w:t>
      </w:r>
      <w:proofErr w:type="spellEnd"/>
      <w:r w:rsidRPr="00831ECA">
        <w:rPr>
          <w:rFonts w:ascii="Times New Roman" w:hAnsi="Times New Roman"/>
        </w:rPr>
        <w:t xml:space="preserve">) als konstituierte Felder epistemischer Koordination, in denen Bedeutung durch rekursive Rollen- und Strukturzuschreibungen emergiert. Lernen geschieht hier nicht durch Rezeption, sondern durch </w:t>
      </w:r>
      <w:r w:rsidRPr="00831ECA">
        <w:rPr>
          <w:rFonts w:ascii="Times New Roman" w:hAnsi="Times New Roman"/>
          <w:b/>
          <w:bCs/>
        </w:rPr>
        <w:t>Einbindung in funktionale Rollenräume</w:t>
      </w:r>
      <w:r w:rsidRPr="00831ECA">
        <w:rPr>
          <w:rFonts w:ascii="Times New Roman" w:hAnsi="Times New Roman"/>
        </w:rPr>
        <w:t>, in denen Wissen durch situierte Handlung erzeugt und stabilisiert wird.</w:t>
      </w:r>
    </w:p>
    <w:p w14:paraId="6B2F0DD4" w14:textId="48439FF0" w:rsidR="00831ECA" w:rsidRPr="00831ECA" w:rsidRDefault="00831ECA" w:rsidP="00831ECA">
      <w:pPr>
        <w:spacing w:before="100" w:beforeAutospacing="1" w:after="100" w:afterAutospacing="1"/>
        <w:rPr>
          <w:rFonts w:ascii="Times New Roman" w:hAnsi="Times New Roman"/>
        </w:rPr>
      </w:pPr>
      <w:proofErr w:type="spellStart"/>
      <w:r w:rsidRPr="00831ECA">
        <w:rPr>
          <w:rFonts w:ascii="Times New Roman" w:hAnsi="Times New Roman"/>
        </w:rPr>
        <w:t>Lave</w:t>
      </w:r>
      <w:proofErr w:type="spellEnd"/>
      <w:r w:rsidRPr="00831ECA">
        <w:rPr>
          <w:rFonts w:ascii="Times New Roman" w:hAnsi="Times New Roman"/>
        </w:rPr>
        <w:t xml:space="preserve"> und Wenger beschreiben diesen Vorgang als „legitime periphere Partizipation“ [53] – das </w:t>
      </w:r>
      <w:r w:rsidR="007D659A">
        <w:rPr>
          <w:rFonts w:ascii="Times New Roman" w:hAnsi="Times New Roman"/>
        </w:rPr>
        <w:t>FRZK</w:t>
      </w:r>
      <w:r w:rsidRPr="00831ECA">
        <w:rPr>
          <w:rFonts w:ascii="Times New Roman" w:hAnsi="Times New Roman"/>
        </w:rPr>
        <w:t xml:space="preserve"> erlaubt es, diesen Prozess formal zu rekonstruieren: Als Bewegung im Feld strukturierter Zuweisungen (vgl. Kap. 3.7.2), </w:t>
      </w:r>
      <w:proofErr w:type="gramStart"/>
      <w:r w:rsidRPr="00831ECA">
        <w:rPr>
          <w:rFonts w:ascii="Times New Roman" w:hAnsi="Times New Roman"/>
        </w:rPr>
        <w:t>bei der Subjekte</w:t>
      </w:r>
      <w:proofErr w:type="gramEnd"/>
      <w:r w:rsidRPr="00831ECA">
        <w:rPr>
          <w:rFonts w:ascii="Times New Roman" w:hAnsi="Times New Roman"/>
        </w:rPr>
        <w:t xml:space="preserve"> durch ihre funktionale Position zu Trägern kollektiver Struktur werden.</w:t>
      </w:r>
    </w:p>
    <w:p w14:paraId="07325F6D" w14:textId="30C453A1" w:rsidR="00831ECA" w:rsidRPr="00831ECA" w:rsidRDefault="00326179" w:rsidP="00831ECA">
      <w:pPr>
        <w:spacing w:before="100" w:beforeAutospacing="1" w:after="100" w:afterAutospacing="1"/>
        <w:outlineLvl w:val="3"/>
        <w:rPr>
          <w:rFonts w:ascii="Times New Roman" w:hAnsi="Times New Roman"/>
          <w:b/>
          <w:bCs/>
        </w:rPr>
      </w:pPr>
      <w:r>
        <w:rPr>
          <w:rFonts w:ascii="Times New Roman" w:hAnsi="Times New Roman"/>
          <w:b/>
          <w:bCs/>
        </w:rPr>
        <w:t>6.7</w:t>
      </w:r>
      <w:r w:rsidR="00831ECA" w:rsidRPr="00831ECA">
        <w:rPr>
          <w:rFonts w:ascii="Times New Roman" w:hAnsi="Times New Roman"/>
          <w:b/>
          <w:bCs/>
        </w:rPr>
        <w:t>.2 Innovationsnetzwerke als emergente Felder</w:t>
      </w:r>
    </w:p>
    <w:p w14:paraId="3283912B" w14:textId="066FD50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In Innovationsforschung und Soziologie werden Netzwerke oft als Mengen verknüpfter Akteure analysiert. Das </w:t>
      </w:r>
      <w:r w:rsidR="007D659A">
        <w:rPr>
          <w:rFonts w:ascii="Times New Roman" w:hAnsi="Times New Roman"/>
        </w:rPr>
        <w:t>FRZK</w:t>
      </w:r>
      <w:r w:rsidRPr="00831ECA">
        <w:rPr>
          <w:rFonts w:ascii="Times New Roman" w:hAnsi="Times New Roman"/>
        </w:rPr>
        <w:t xml:space="preserve"> geht darüber hinaus: Innovationsnetzwerke entstehen als </w:t>
      </w:r>
      <w:r w:rsidRPr="00831ECA">
        <w:rPr>
          <w:rFonts w:ascii="Times New Roman" w:hAnsi="Times New Roman"/>
          <w:b/>
          <w:bCs/>
        </w:rPr>
        <w:t>kohärente Strukturräume</w:t>
      </w:r>
      <w:r w:rsidRPr="00831ECA">
        <w:rPr>
          <w:rFonts w:ascii="Times New Roman" w:hAnsi="Times New Roman"/>
        </w:rPr>
        <w:t>, in denen funktionale Differenzen, symbolische Rollen und kommunikative Praktiken zueinander in systematischer Relation stehen. Die eigentliche Innovation entsteht dabei nicht aus dem Wissen einzelner, sondern aus der strukturellen Kopplung ihrer Positionen.</w:t>
      </w:r>
    </w:p>
    <w:p w14:paraId="7C64FDC7" w14:textId="02C98C6C"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Diese Perspektive erlaubt es, Innovationsräume als funktionale Felder zu gestalten – etwa in Form von interdisziplinären Projektzonen, Kreativgemeinschaften oder kollaborativen </w:t>
      </w:r>
      <w:proofErr w:type="spellStart"/>
      <w:r w:rsidRPr="00831ECA">
        <w:rPr>
          <w:rFonts w:ascii="Times New Roman" w:hAnsi="Times New Roman"/>
        </w:rPr>
        <w:t>Lernökologien</w:t>
      </w:r>
      <w:proofErr w:type="spellEnd"/>
      <w:r w:rsidRPr="00831ECA">
        <w:rPr>
          <w:rFonts w:ascii="Times New Roman" w:hAnsi="Times New Roman"/>
        </w:rPr>
        <w:t xml:space="preserve">. Die Architektur dieser Felder lässt sich im </w:t>
      </w:r>
      <w:r w:rsidR="007D659A">
        <w:rPr>
          <w:rFonts w:ascii="Times New Roman" w:hAnsi="Times New Roman"/>
        </w:rPr>
        <w:t>FRZK</w:t>
      </w:r>
      <w:r w:rsidRPr="00831ECA">
        <w:rPr>
          <w:rFonts w:ascii="Times New Roman" w:hAnsi="Times New Roman"/>
        </w:rPr>
        <w:t xml:space="preserve"> gezielt modellieren: Welche Differenzen, Relationen und Rückkopplungen müssen implementiert sein, damit emergente Innovation möglich wird?</w:t>
      </w:r>
    </w:p>
    <w:p w14:paraId="4968AF5B"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Diese Idee ist anschlussfähig an Forschung zu „generativen Kooperationssystemen“ [54] sowie zur Gestaltung innovativer Lernumgebungen [55].</w:t>
      </w:r>
    </w:p>
    <w:p w14:paraId="501C1DD5" w14:textId="1B081C99" w:rsidR="00831ECA" w:rsidRPr="00831ECA" w:rsidRDefault="00326179" w:rsidP="00831ECA">
      <w:pPr>
        <w:spacing w:before="100" w:beforeAutospacing="1" w:after="100" w:afterAutospacing="1"/>
        <w:outlineLvl w:val="3"/>
        <w:rPr>
          <w:rFonts w:ascii="Times New Roman" w:hAnsi="Times New Roman"/>
          <w:b/>
          <w:bCs/>
        </w:rPr>
      </w:pPr>
      <w:r>
        <w:rPr>
          <w:rFonts w:ascii="Times New Roman" w:hAnsi="Times New Roman"/>
          <w:b/>
          <w:bCs/>
        </w:rPr>
        <w:t>6.7</w:t>
      </w:r>
      <w:r w:rsidR="00831ECA" w:rsidRPr="00831ECA">
        <w:rPr>
          <w:rFonts w:ascii="Times New Roman" w:hAnsi="Times New Roman"/>
          <w:b/>
          <w:bCs/>
        </w:rPr>
        <w:t>.3 Emergenz durch kollektive Zuweisung</w:t>
      </w:r>
    </w:p>
    <w:p w14:paraId="61B1642C" w14:textId="7B527D75"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Besonders innovativ ist die Fähigkeit des </w:t>
      </w:r>
      <w:r w:rsidR="007D659A">
        <w:rPr>
          <w:rFonts w:ascii="Times New Roman" w:hAnsi="Times New Roman"/>
        </w:rPr>
        <w:t>FRZK</w:t>
      </w:r>
      <w:r w:rsidRPr="00831ECA">
        <w:rPr>
          <w:rFonts w:ascii="Times New Roman" w:hAnsi="Times New Roman"/>
        </w:rPr>
        <w:t xml:space="preserve">, kollektive Prozesse der Zuweisung formal zu modellieren. In klassischen Modellen bleibt offen, wie kollektive Intentionalität oder gemeinsame Praxis entsteht. Im </w:t>
      </w:r>
      <w:r w:rsidR="007D659A">
        <w:rPr>
          <w:rFonts w:ascii="Times New Roman" w:hAnsi="Times New Roman"/>
        </w:rPr>
        <w:t>FRZK</w:t>
      </w:r>
      <w:r w:rsidRPr="00831ECA">
        <w:rPr>
          <w:rFonts w:ascii="Times New Roman" w:hAnsi="Times New Roman"/>
        </w:rPr>
        <w:t xml:space="preserve"> kann die Emergenz kollektiver Bedeutungen als Resultat synchroner Zuweisungsprozesse verstanden werden: Eine Innovation „entsteht“, wenn eine neue Struktur in einem Feld von Differenz-Relationen als kohärent anerkannt und stabilisiert wird.</w:t>
      </w:r>
    </w:p>
    <w:p w14:paraId="6D5CC61F"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 xml:space="preserve">Dabei ist Kooperation nicht nur Interaktion, sondern ein </w:t>
      </w:r>
      <w:r w:rsidRPr="00831ECA">
        <w:rPr>
          <w:rFonts w:ascii="Times New Roman" w:hAnsi="Times New Roman"/>
          <w:b/>
          <w:bCs/>
        </w:rPr>
        <w:t>Prozess funktionaler Synchronisation</w:t>
      </w:r>
      <w:r w:rsidRPr="00831ECA">
        <w:rPr>
          <w:rFonts w:ascii="Times New Roman" w:hAnsi="Times New Roman"/>
        </w:rPr>
        <w:t xml:space="preserve"> – ein systemischer Vollzug, bei dem neue Strukturen aus der Kopplung heterogener Funktionspositionen hervorgehen. Die Gemeinschaft wird damit selbst zum epistemischen Subjekt – konstituiert durch das Feld, das sie strukturiert.</w:t>
      </w:r>
    </w:p>
    <w:p w14:paraId="1B2980CF" w14:textId="77777777" w:rsidR="00831ECA" w:rsidRPr="00831ECA" w:rsidRDefault="00831ECA" w:rsidP="00831ECA">
      <w:pPr>
        <w:spacing w:before="100" w:beforeAutospacing="1" w:after="100" w:afterAutospacing="1"/>
        <w:rPr>
          <w:rFonts w:ascii="Times New Roman" w:hAnsi="Times New Roman"/>
        </w:rPr>
      </w:pPr>
      <w:r w:rsidRPr="00831ECA">
        <w:rPr>
          <w:rFonts w:ascii="Times New Roman" w:hAnsi="Times New Roman"/>
        </w:rPr>
        <w:t>Diese Perspektive geht über systemtheoretische Sozialmodelle hinaus und liefert ein präzises Mittel zur Gestaltung emergenter Innovationskulturen – sowohl in Bildung als auch Forschung und Organisation (vgl. Kap. 3.8.1).</w:t>
      </w:r>
    </w:p>
    <w:p w14:paraId="223F4E42" w14:textId="77777777" w:rsidR="00831ECA" w:rsidRPr="00831ECA" w:rsidRDefault="008D0DC3" w:rsidP="00831ECA">
      <w:pPr>
        <w:spacing w:after="0"/>
        <w:rPr>
          <w:rFonts w:ascii="Times New Roman" w:hAnsi="Times New Roman"/>
        </w:rPr>
      </w:pPr>
      <w:r>
        <w:rPr>
          <w:rFonts w:ascii="Times New Roman" w:hAnsi="Times New Roman"/>
        </w:rPr>
        <w:pict w14:anchorId="57F23071">
          <v:rect id="_x0000_i1039" style="width:0;height:1.5pt" o:hralign="center" o:hrstd="t" o:hr="t" fillcolor="#a0a0a0" stroked="f"/>
        </w:pict>
      </w:r>
    </w:p>
    <w:p w14:paraId="2FE0C12A" w14:textId="77777777" w:rsidR="00326179" w:rsidRPr="00326179" w:rsidRDefault="00326179" w:rsidP="00326179">
      <w:pPr>
        <w:spacing w:before="100" w:beforeAutospacing="1" w:after="100" w:afterAutospacing="1"/>
        <w:outlineLvl w:val="2"/>
        <w:rPr>
          <w:rFonts w:ascii="Times New Roman" w:hAnsi="Times New Roman"/>
          <w:b/>
          <w:bCs/>
          <w:sz w:val="27"/>
          <w:szCs w:val="27"/>
        </w:rPr>
      </w:pPr>
      <w:r w:rsidRPr="00326179">
        <w:rPr>
          <w:rFonts w:ascii="Segoe UI Emoji" w:hAnsi="Segoe UI Emoji" w:cs="Segoe UI Emoji"/>
          <w:b/>
          <w:bCs/>
          <w:sz w:val="27"/>
          <w:szCs w:val="27"/>
        </w:rPr>
        <w:t>✅</w:t>
      </w:r>
      <w:r w:rsidRPr="00326179">
        <w:rPr>
          <w:rFonts w:ascii="Times New Roman" w:hAnsi="Times New Roman"/>
          <w:b/>
          <w:bCs/>
          <w:sz w:val="27"/>
          <w:szCs w:val="27"/>
        </w:rPr>
        <w:t xml:space="preserve"> Neuer Abschnitt 6.8 – </w:t>
      </w:r>
      <w:r w:rsidRPr="00326179">
        <w:rPr>
          <w:rFonts w:ascii="Times New Roman" w:hAnsi="Times New Roman"/>
          <w:b/>
          <w:bCs/>
          <w:i/>
          <w:iCs/>
          <w:sz w:val="27"/>
          <w:szCs w:val="27"/>
        </w:rPr>
        <w:t xml:space="preserve">Räume und Architektur als </w:t>
      </w:r>
      <w:proofErr w:type="spellStart"/>
      <w:r w:rsidRPr="00326179">
        <w:rPr>
          <w:rFonts w:ascii="Times New Roman" w:hAnsi="Times New Roman"/>
          <w:b/>
          <w:bCs/>
          <w:i/>
          <w:iCs/>
          <w:sz w:val="27"/>
          <w:szCs w:val="27"/>
        </w:rPr>
        <w:t>Emergenzfelder</w:t>
      </w:r>
      <w:proofErr w:type="spellEnd"/>
    </w:p>
    <w:p w14:paraId="5C5F221A" w14:textId="77777777" w:rsidR="00326179" w:rsidRPr="00326179" w:rsidRDefault="008D0DC3" w:rsidP="00326179">
      <w:pPr>
        <w:spacing w:after="0"/>
        <w:rPr>
          <w:rFonts w:ascii="Times New Roman" w:hAnsi="Times New Roman"/>
        </w:rPr>
      </w:pPr>
      <w:r>
        <w:rPr>
          <w:rFonts w:ascii="Times New Roman" w:hAnsi="Times New Roman"/>
        </w:rPr>
        <w:pict w14:anchorId="3BB6A15A">
          <v:rect id="_x0000_i1040" style="width:0;height:1.5pt" o:hralign="center" o:hrstd="t" o:hr="t" fillcolor="#a0a0a0" stroked="f"/>
        </w:pict>
      </w:r>
    </w:p>
    <w:p w14:paraId="48AC21FA" w14:textId="77BF1E0E"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Ein oft übersehener Aspekt epistemischer Innovation liegt in der Bedeutung von physischen, sozialen und symbolischen Räumen. Das </w:t>
      </w:r>
      <w:r w:rsidR="007D659A">
        <w:rPr>
          <w:rFonts w:ascii="Times New Roman" w:hAnsi="Times New Roman"/>
        </w:rPr>
        <w:t>FRZK</w:t>
      </w:r>
      <w:r w:rsidRPr="00326179">
        <w:rPr>
          <w:rFonts w:ascii="Times New Roman" w:hAnsi="Times New Roman"/>
        </w:rPr>
        <w:t xml:space="preserve"> erlaubt es, auch architektonische, räumliche und gestaltete Umgebungen als funktionale Felder zu modellieren – nicht als Container für Lernen, sondern als strukturierende Systeme emergenter Ordnung.</w:t>
      </w:r>
    </w:p>
    <w:p w14:paraId="0EA04831"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6.8.1 Architektur als Zuweisungsstruktur</w:t>
      </w:r>
    </w:p>
    <w:p w14:paraId="35FE4782" w14:textId="29EF54B4"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Im </w:t>
      </w:r>
      <w:r w:rsidR="007D659A">
        <w:rPr>
          <w:rFonts w:ascii="Times New Roman" w:hAnsi="Times New Roman"/>
        </w:rPr>
        <w:t>FRZK</w:t>
      </w:r>
      <w:r w:rsidRPr="00326179">
        <w:rPr>
          <w:rFonts w:ascii="Times New Roman" w:hAnsi="Times New Roman"/>
        </w:rPr>
        <w:t xml:space="preserve"> wird Raum nicht als vorgegebene Dimension behandelt, sondern als Resultat einer spezifischen Zuweisung (vgl. Kap. 3.3). Diese Zuweisung erzeugt Differenz – z. B. oben/unten, innen/außen, zugänglich/geschlossen – und stiftet dadurch funktionale Bedeutung. Übertragen auf architektonische oder soziale Räume bedeutet das: Ein Raum „bedeutet“ nicht durch seine Form, sondern durch die Struktur der möglichen Bewegungen, Differenzierungen und Positionierungen, die er zulässt.</w:t>
      </w:r>
    </w:p>
    <w:p w14:paraId="770A198B" w14:textId="28626B6C"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Lernumgebungen – ob Klassenzimmer, Bibliothek, </w:t>
      </w:r>
      <w:proofErr w:type="spellStart"/>
      <w:r w:rsidRPr="00326179">
        <w:rPr>
          <w:rFonts w:ascii="Times New Roman" w:hAnsi="Times New Roman"/>
        </w:rPr>
        <w:t>Makerspace</w:t>
      </w:r>
      <w:proofErr w:type="spellEnd"/>
      <w:r w:rsidRPr="00326179">
        <w:rPr>
          <w:rFonts w:ascii="Times New Roman" w:hAnsi="Times New Roman"/>
        </w:rPr>
        <w:t xml:space="preserve"> oder Online-Plattform – erzeugen demnach nicht Wissen, sondern </w:t>
      </w:r>
      <w:r w:rsidRPr="00326179">
        <w:rPr>
          <w:rFonts w:ascii="Times New Roman" w:hAnsi="Times New Roman"/>
          <w:b/>
          <w:bCs/>
        </w:rPr>
        <w:t>Bedingungen der funktionalen Differenzbildung</w:t>
      </w:r>
      <w:r w:rsidRPr="00326179">
        <w:rPr>
          <w:rFonts w:ascii="Times New Roman" w:hAnsi="Times New Roman"/>
        </w:rPr>
        <w:t xml:space="preserve">. Das </w:t>
      </w:r>
      <w:r w:rsidR="007D659A">
        <w:rPr>
          <w:rFonts w:ascii="Times New Roman" w:hAnsi="Times New Roman"/>
        </w:rPr>
        <w:t>FRZK</w:t>
      </w:r>
      <w:r w:rsidRPr="00326179">
        <w:rPr>
          <w:rFonts w:ascii="Times New Roman" w:hAnsi="Times New Roman"/>
        </w:rPr>
        <w:t xml:space="preserve"> macht diese Prozesse sichtbar und modellierbar.</w:t>
      </w:r>
    </w:p>
    <w:p w14:paraId="5982E919"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Dies steht im Einklang mit neueren didaktischen Raumkonzepten, die etwa betonen, dass flexible Möbelanordnungen, offene Zonen oder Übergangsflächen das Denken, Handeln und Kooperieren beeinflussen [56].</w:t>
      </w:r>
    </w:p>
    <w:p w14:paraId="0E354AD0"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6.8.2 Emergenz durch räumliche Struktur</w:t>
      </w:r>
    </w:p>
    <w:p w14:paraId="2D83C22A" w14:textId="752BCA1C"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Räume haben eine epistemische Funktion: Sie ermöglichen bestimmte Lernformen, Perspektivenwechsel und soziale Konfigurationen – oder sie verhindern sie. Das </w:t>
      </w:r>
      <w:r w:rsidR="007D659A">
        <w:rPr>
          <w:rFonts w:ascii="Times New Roman" w:hAnsi="Times New Roman"/>
        </w:rPr>
        <w:t>FRZK</w:t>
      </w:r>
      <w:r w:rsidRPr="00326179">
        <w:rPr>
          <w:rFonts w:ascii="Times New Roman" w:hAnsi="Times New Roman"/>
        </w:rPr>
        <w:t xml:space="preserve"> erlaubt es, solche Räume als Felder von Differenzpotentialen zu modellieren: Jeder Raum erzeugt ein System möglicher Zuweisungen, das sich auf Wahrnehmung, Interaktion und kognitive Strukturierung auswirkt.</w:t>
      </w:r>
    </w:p>
    <w:p w14:paraId="32BC8C5E"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Damit kann Architektur als </w:t>
      </w:r>
      <w:proofErr w:type="spellStart"/>
      <w:r w:rsidRPr="00326179">
        <w:rPr>
          <w:rFonts w:ascii="Times New Roman" w:hAnsi="Times New Roman"/>
          <w:b/>
          <w:bCs/>
        </w:rPr>
        <w:t>Emergenzfeld</w:t>
      </w:r>
      <w:proofErr w:type="spellEnd"/>
      <w:r w:rsidRPr="00326179">
        <w:rPr>
          <w:rFonts w:ascii="Times New Roman" w:hAnsi="Times New Roman"/>
        </w:rPr>
        <w:t xml:space="preserve"> verstanden werden: Räume erzeugen nicht Wissen, sondern ermöglichen die Emergenz strukturierter Erfahrung.</w:t>
      </w:r>
    </w:p>
    <w:p w14:paraId="0661B417" w14:textId="04A39726"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In der Bildungspolitik wird zunehmend auf sogenannte „Innovative Learning Environments“ (ILEs) gesetzt, die genau auf solche </w:t>
      </w:r>
      <w:proofErr w:type="spellStart"/>
      <w:r w:rsidRPr="00326179">
        <w:rPr>
          <w:rFonts w:ascii="Times New Roman" w:hAnsi="Times New Roman"/>
        </w:rPr>
        <w:t>Emergenzpotenziale</w:t>
      </w:r>
      <w:proofErr w:type="spellEnd"/>
      <w:r w:rsidRPr="00326179">
        <w:rPr>
          <w:rFonts w:ascii="Times New Roman" w:hAnsi="Times New Roman"/>
        </w:rPr>
        <w:t xml:space="preserve"> abzielen – allerdings häufig ohne systematische Modellierung [57]. Das </w:t>
      </w:r>
      <w:r w:rsidR="007D659A">
        <w:rPr>
          <w:rFonts w:ascii="Times New Roman" w:hAnsi="Times New Roman"/>
        </w:rPr>
        <w:t>FRZK</w:t>
      </w:r>
      <w:r w:rsidRPr="00326179">
        <w:rPr>
          <w:rFonts w:ascii="Times New Roman" w:hAnsi="Times New Roman"/>
        </w:rPr>
        <w:t xml:space="preserve"> schließt hier eine Lücke, indem es Raum als Funktionsmatrix epistemischer Bewegung auffasst.</w:t>
      </w:r>
    </w:p>
    <w:p w14:paraId="6D4683D6"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6.8.3 Didaktische Architektur als Gestaltung epistemischer Felder</w:t>
      </w:r>
    </w:p>
    <w:p w14:paraId="453C8C66" w14:textId="3CF09B83"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Didaktische Räume – ob analog oder digital – können im </w:t>
      </w:r>
      <w:r w:rsidR="007D659A">
        <w:rPr>
          <w:rFonts w:ascii="Times New Roman" w:hAnsi="Times New Roman"/>
        </w:rPr>
        <w:t>FRZK</w:t>
      </w:r>
      <w:r w:rsidRPr="00326179">
        <w:rPr>
          <w:rFonts w:ascii="Times New Roman" w:hAnsi="Times New Roman"/>
        </w:rPr>
        <w:t xml:space="preserve"> als gezielte Konfiguration von funktionalen Zuweisungsdimensionen entworfen werden. Damit wird </w:t>
      </w:r>
      <w:r w:rsidRPr="00326179">
        <w:rPr>
          <w:rFonts w:ascii="Times New Roman" w:hAnsi="Times New Roman"/>
          <w:b/>
          <w:bCs/>
        </w:rPr>
        <w:t>Gestaltung zur epistemischen Operation</w:t>
      </w:r>
      <w:r w:rsidRPr="00326179">
        <w:rPr>
          <w:rFonts w:ascii="Times New Roman" w:hAnsi="Times New Roman"/>
        </w:rPr>
        <w:t>: Es geht nicht um das Einrichten von Räumen, sondern um das Entwerfen von Zuweisungsfeldern, in denen Lernen, Erkenntnis und Selbststrukturierung möglich werden.</w:t>
      </w:r>
    </w:p>
    <w:p w14:paraId="3EE2EF02"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Beispielsweise lässt sich ein offenes Lernatelier als Mehrdimensionales Differenzfeld beschreiben, in dem soziale, räumliche und kognitive Bewegungen ineinandergreifen. Die Architektur „vermittelt“ nicht Inhalte, sondern erzeugt strukturelle Freiräume – und damit </w:t>
      </w:r>
      <w:proofErr w:type="spellStart"/>
      <w:r w:rsidRPr="00326179">
        <w:rPr>
          <w:rFonts w:ascii="Times New Roman" w:hAnsi="Times New Roman"/>
        </w:rPr>
        <w:t>Emergenzchancen</w:t>
      </w:r>
      <w:proofErr w:type="spellEnd"/>
      <w:r w:rsidRPr="00326179">
        <w:rPr>
          <w:rFonts w:ascii="Times New Roman" w:hAnsi="Times New Roman"/>
        </w:rPr>
        <w:t>.</w:t>
      </w:r>
    </w:p>
    <w:p w14:paraId="22F80448" w14:textId="6A47FB54"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Diese Idee ist anschlussfähig an Konzepte wie „Learning </w:t>
      </w:r>
      <w:proofErr w:type="spellStart"/>
      <w:r w:rsidRPr="00326179">
        <w:rPr>
          <w:rFonts w:ascii="Times New Roman" w:hAnsi="Times New Roman"/>
        </w:rPr>
        <w:t>Landscapes</w:t>
      </w:r>
      <w:proofErr w:type="spellEnd"/>
      <w:r w:rsidRPr="00326179">
        <w:rPr>
          <w:rFonts w:ascii="Times New Roman" w:hAnsi="Times New Roman"/>
        </w:rPr>
        <w:t>“ [58] oder „</w:t>
      </w:r>
      <w:proofErr w:type="spellStart"/>
      <w:r w:rsidRPr="00326179">
        <w:rPr>
          <w:rFonts w:ascii="Times New Roman" w:hAnsi="Times New Roman"/>
        </w:rPr>
        <w:t>Epistemic</w:t>
      </w:r>
      <w:proofErr w:type="spellEnd"/>
      <w:r w:rsidRPr="00326179">
        <w:rPr>
          <w:rFonts w:ascii="Times New Roman" w:hAnsi="Times New Roman"/>
        </w:rPr>
        <w:t xml:space="preserve"> </w:t>
      </w:r>
      <w:proofErr w:type="spellStart"/>
      <w:r w:rsidRPr="00326179">
        <w:rPr>
          <w:rFonts w:ascii="Times New Roman" w:hAnsi="Times New Roman"/>
        </w:rPr>
        <w:t>Architectures</w:t>
      </w:r>
      <w:proofErr w:type="spellEnd"/>
      <w:r w:rsidRPr="00326179">
        <w:rPr>
          <w:rFonts w:ascii="Times New Roman" w:hAnsi="Times New Roman"/>
        </w:rPr>
        <w:t xml:space="preserve">“ [59], wird jedoch im </w:t>
      </w:r>
      <w:r w:rsidR="007D659A">
        <w:rPr>
          <w:rFonts w:ascii="Times New Roman" w:hAnsi="Times New Roman"/>
        </w:rPr>
        <w:t>FRZK</w:t>
      </w:r>
      <w:r w:rsidRPr="00326179">
        <w:rPr>
          <w:rFonts w:ascii="Times New Roman" w:hAnsi="Times New Roman"/>
        </w:rPr>
        <w:t xml:space="preserve"> formal fundiert und modellierbar gemacht (vgl. Kap. 3.7.3 und 3.8.2).</w:t>
      </w:r>
    </w:p>
    <w:p w14:paraId="1FC90EDB"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6.8.4 Übergangszonen, Schwellen und symbolische Architekturen</w:t>
      </w:r>
    </w:p>
    <w:p w14:paraId="7F4BB315" w14:textId="16832F75"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Besonders interessant sind Übergangszonen – physisch wie symbolisch: Schwellenräume, Gänge, hybride Zonen zwischen digital und analog. Im </w:t>
      </w:r>
      <w:r w:rsidR="007D659A">
        <w:rPr>
          <w:rFonts w:ascii="Times New Roman" w:hAnsi="Times New Roman"/>
        </w:rPr>
        <w:t>FRZK</w:t>
      </w:r>
      <w:r w:rsidRPr="00326179">
        <w:rPr>
          <w:rFonts w:ascii="Times New Roman" w:hAnsi="Times New Roman"/>
        </w:rPr>
        <w:t xml:space="preserve"> können diese als Zonen erhöhter funktionaler Offenheit verstanden werden: Hier ist die Zuweisung noch nicht fixiert, die Struktur noch nicht verfestigt – genau das macht sie zu Orten hoher Innovationsdichte.</w:t>
      </w:r>
    </w:p>
    <w:p w14:paraId="1622306E"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Das betrifft nicht nur Architektur im klassischen Sinn, sondern auch semantische Räume, symbolische Praktiken, Rituale oder mediale Interfaces. Der Zugang zu einer Bibliothek, die Gestaltung einer Startseite, der Übergang vom Gespräch zur Reflexion – all dies sind funktionale Schwellen, deren Gestaltung emergente Struktur ermöglicht oder verhindert.</w:t>
      </w:r>
    </w:p>
    <w:p w14:paraId="38A8B2EB" w14:textId="0A497D5C"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Solche Übergangsarchitekturen bieten besonders hohe Anschlussfähigkeit für das </w:t>
      </w:r>
      <w:r w:rsidR="007D659A">
        <w:rPr>
          <w:rFonts w:ascii="Times New Roman" w:hAnsi="Times New Roman"/>
        </w:rPr>
        <w:t>FRZK</w:t>
      </w:r>
      <w:r w:rsidRPr="00326179">
        <w:rPr>
          <w:rFonts w:ascii="Times New Roman" w:hAnsi="Times New Roman"/>
        </w:rPr>
        <w:t>: Sie sind weder statisch noch beliebig – sondern präzise formbare Felder epistemischer Dynamik.</w:t>
      </w:r>
    </w:p>
    <w:p w14:paraId="3AE4BBBC" w14:textId="77777777" w:rsidR="00326179" w:rsidRPr="00326179" w:rsidRDefault="008D0DC3" w:rsidP="00326179">
      <w:pPr>
        <w:spacing w:after="0"/>
        <w:rPr>
          <w:rFonts w:ascii="Times New Roman" w:hAnsi="Times New Roman"/>
        </w:rPr>
      </w:pPr>
      <w:r>
        <w:rPr>
          <w:rFonts w:ascii="Times New Roman" w:hAnsi="Times New Roman"/>
        </w:rPr>
        <w:pict w14:anchorId="6858C093">
          <v:rect id="_x0000_i1041" style="width:0;height:1.5pt" o:hralign="center" o:hrstd="t" o:hr="t" fillcolor="#a0a0a0" stroked="f"/>
        </w:pict>
      </w:r>
    </w:p>
    <w:p w14:paraId="2D5B8F7F" w14:textId="77777777" w:rsidR="00326179" w:rsidRPr="00326179" w:rsidRDefault="00326179" w:rsidP="00326179">
      <w:pPr>
        <w:spacing w:before="100" w:beforeAutospacing="1" w:after="100" w:afterAutospacing="1"/>
        <w:outlineLvl w:val="2"/>
        <w:rPr>
          <w:rFonts w:ascii="Times New Roman" w:hAnsi="Times New Roman"/>
          <w:b/>
          <w:bCs/>
          <w:sz w:val="27"/>
          <w:szCs w:val="27"/>
        </w:rPr>
      </w:pPr>
      <w:r w:rsidRPr="00326179">
        <w:rPr>
          <w:rFonts w:ascii="Segoe UI Emoji" w:hAnsi="Segoe UI Emoji" w:cs="Segoe UI Emoji"/>
          <w:b/>
          <w:bCs/>
          <w:sz w:val="27"/>
          <w:szCs w:val="27"/>
        </w:rPr>
        <w:t>✅</w:t>
      </w:r>
      <w:r w:rsidRPr="00326179">
        <w:rPr>
          <w:rFonts w:ascii="Times New Roman" w:hAnsi="Times New Roman"/>
          <w:b/>
          <w:bCs/>
          <w:sz w:val="27"/>
          <w:szCs w:val="27"/>
        </w:rPr>
        <w:t xml:space="preserve"> Neuer Abschnitt 6.9 – </w:t>
      </w:r>
      <w:r w:rsidRPr="00326179">
        <w:rPr>
          <w:rFonts w:ascii="Times New Roman" w:hAnsi="Times New Roman"/>
          <w:b/>
          <w:bCs/>
          <w:i/>
          <w:iCs/>
          <w:sz w:val="27"/>
          <w:szCs w:val="27"/>
        </w:rPr>
        <w:t>Digitale Zuweisungsräume und hybride Felder</w:t>
      </w:r>
    </w:p>
    <w:p w14:paraId="2C9CC757" w14:textId="77777777" w:rsidR="00326179" w:rsidRPr="00326179" w:rsidRDefault="008D0DC3" w:rsidP="00326179">
      <w:pPr>
        <w:spacing w:after="0"/>
        <w:rPr>
          <w:rFonts w:ascii="Times New Roman" w:hAnsi="Times New Roman"/>
        </w:rPr>
      </w:pPr>
      <w:r>
        <w:rPr>
          <w:rFonts w:ascii="Times New Roman" w:hAnsi="Times New Roman"/>
        </w:rPr>
        <w:pict w14:anchorId="077D5839">
          <v:rect id="_x0000_i1042" style="width:0;height:1.5pt" o:hralign="center" o:hrstd="t" o:hr="t" fillcolor="#a0a0a0" stroked="f"/>
        </w:pict>
      </w:r>
    </w:p>
    <w:p w14:paraId="15982408" w14:textId="78CE0A43"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Die Digitalisierung erzeugt nicht einfach neue Medienformate, sondern eröffnet genuin neue epistemische Felder. Das </w:t>
      </w:r>
      <w:r w:rsidR="007D659A">
        <w:rPr>
          <w:rFonts w:ascii="Times New Roman" w:hAnsi="Times New Roman"/>
        </w:rPr>
        <w:t>FRZK</w:t>
      </w:r>
      <w:r w:rsidRPr="00326179">
        <w:rPr>
          <w:rFonts w:ascii="Times New Roman" w:hAnsi="Times New Roman"/>
        </w:rPr>
        <w:t xml:space="preserve"> ermöglicht es, diese Felder nicht bloß als technische Plattformen zu verstehen, sondern als systemische Strukturräume, in denen Lernen, Kommunikation und Koordination als Zuweisungsvorgänge realisiert werden.</w:t>
      </w:r>
    </w:p>
    <w:p w14:paraId="08AB0F11"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6.9.1 Digitalität als funktionales Zuweisungssystem</w:t>
      </w:r>
    </w:p>
    <w:p w14:paraId="256DAF95" w14:textId="472A9006"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Im digitalen Raum entfällt die physische Verankerung von Handlung, Präsenz, Materialität – stattdessen werden Prozesse vollständig über symbolische Strukturen vermittelt. Aus Sicht des </w:t>
      </w:r>
      <w:r w:rsidR="007D659A">
        <w:rPr>
          <w:rFonts w:ascii="Times New Roman" w:hAnsi="Times New Roman"/>
        </w:rPr>
        <w:t>FRZK</w:t>
      </w:r>
      <w:r w:rsidRPr="00326179">
        <w:rPr>
          <w:rFonts w:ascii="Times New Roman" w:hAnsi="Times New Roman"/>
        </w:rPr>
        <w:t xml:space="preserve"> bedeutet das: Digitale Räume sind reine Zuweisungsfelder – hochgradig formalisierte Systeme funktionaler Adressen, Beziehungen und Übergänge.</w:t>
      </w:r>
    </w:p>
    <w:p w14:paraId="7BF5A7A4"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Lernprozesse in digitalen Umgebungen lassen sich daher als Bewegungen im Zuweisungsraum modellieren: Jede Klickfolge, jede Navigation, jede Interaktion erzeugt eine neue Struktur im Feld. Der Raum „reagiert“ nicht als Medium, sondern als funktionslogischer Akteur. Diese Strukturierung erfolgt nicht durch materielle Grenzen, sondern durch Interface-Architekturen, Feedback-Loops und semantische Differenzierungen (vgl. Kap. 3.5.4 und 3.6.2).</w:t>
      </w:r>
    </w:p>
    <w:p w14:paraId="1A2D277B"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6.9.2 Didaktische Digitalräume als emergente Felder</w:t>
      </w:r>
    </w:p>
    <w:p w14:paraId="5150588C" w14:textId="3769B46D" w:rsidR="00326179" w:rsidRPr="00326179" w:rsidRDefault="00326179" w:rsidP="00326179">
      <w:pPr>
        <w:spacing w:before="100" w:beforeAutospacing="1" w:after="100" w:afterAutospacing="1"/>
        <w:rPr>
          <w:rFonts w:ascii="Times New Roman" w:hAnsi="Times New Roman"/>
        </w:rPr>
      </w:pPr>
      <w:proofErr w:type="spellStart"/>
      <w:r w:rsidRPr="00326179">
        <w:rPr>
          <w:rFonts w:ascii="Times New Roman" w:hAnsi="Times New Roman"/>
        </w:rPr>
        <w:t>Blended</w:t>
      </w:r>
      <w:proofErr w:type="spellEnd"/>
      <w:r w:rsidRPr="00326179">
        <w:rPr>
          <w:rFonts w:ascii="Times New Roman" w:hAnsi="Times New Roman"/>
        </w:rPr>
        <w:t xml:space="preserve"> Learning, </w:t>
      </w:r>
      <w:proofErr w:type="spellStart"/>
      <w:r w:rsidRPr="00326179">
        <w:rPr>
          <w:rFonts w:ascii="Times New Roman" w:hAnsi="Times New Roman"/>
        </w:rPr>
        <w:t>Flipped</w:t>
      </w:r>
      <w:proofErr w:type="spellEnd"/>
      <w:r w:rsidRPr="00326179">
        <w:rPr>
          <w:rFonts w:ascii="Times New Roman" w:hAnsi="Times New Roman"/>
        </w:rPr>
        <w:t xml:space="preserve"> Classroom, MOOCs oder immersive VR-Umgebungen sind keine Varianten klassischen Lernens, sondern neue Realisierungsebenen epistemischer Felder. Aus Sicht des </w:t>
      </w:r>
      <w:r w:rsidR="007D659A">
        <w:rPr>
          <w:rFonts w:ascii="Times New Roman" w:hAnsi="Times New Roman"/>
        </w:rPr>
        <w:t>FRZK</w:t>
      </w:r>
      <w:r w:rsidRPr="00326179">
        <w:rPr>
          <w:rFonts w:ascii="Times New Roman" w:hAnsi="Times New Roman"/>
        </w:rPr>
        <w:t xml:space="preserve"> handelt es sich dabei um </w:t>
      </w:r>
      <w:r w:rsidRPr="00326179">
        <w:rPr>
          <w:rFonts w:ascii="Times New Roman" w:hAnsi="Times New Roman"/>
          <w:b/>
          <w:bCs/>
        </w:rPr>
        <w:t>emergente Topologien</w:t>
      </w:r>
      <w:r w:rsidRPr="00326179">
        <w:rPr>
          <w:rFonts w:ascii="Times New Roman" w:hAnsi="Times New Roman"/>
        </w:rPr>
        <w:t>, die aus Differenz, Adressierung und Rückkopplung aufgebaut sind. Lernende bewegen sich darin nicht linear, sondern konstruieren Struktur durch individuelle Navigationspfade.</w:t>
      </w:r>
    </w:p>
    <w:p w14:paraId="1261DBE9"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Didaktisch wird dadurch ein radikaler Rollenwechsel möglich: Lernarchitektur ersetzt Inhaltsvermittlung. Die Gestaltung digitaler Umgebungen wird zur Gestaltung epistemischer Felder.</w:t>
      </w:r>
    </w:p>
    <w:p w14:paraId="4F3E4672"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Dies entspricht Erkenntnissen aus der lernpsychologischen Forschung zur personalisierten Navigation [60] und wird im Bereich der lernanalytischen Systeme zunehmend empirisch unterfüttert [61].</w:t>
      </w:r>
    </w:p>
    <w:p w14:paraId="23216439"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6.9.3 Hybride Felder zwischen analog und digital</w:t>
      </w:r>
    </w:p>
    <w:p w14:paraId="530EAC42"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Besonders zukunftsweisend sind hybride Konstellationen – </w:t>
      </w:r>
      <w:proofErr w:type="gramStart"/>
      <w:r w:rsidRPr="00326179">
        <w:rPr>
          <w:rFonts w:ascii="Times New Roman" w:hAnsi="Times New Roman"/>
        </w:rPr>
        <w:t>etwa</w:t>
      </w:r>
      <w:proofErr w:type="gramEnd"/>
      <w:r w:rsidRPr="00326179">
        <w:rPr>
          <w:rFonts w:ascii="Times New Roman" w:hAnsi="Times New Roman"/>
        </w:rPr>
        <w:t xml:space="preserve"> wenn physische Räume durch digitale Ebenen ergänzt werden: Ein analoger Raum mit QR-Codes, Sensoren, </w:t>
      </w:r>
      <w:proofErr w:type="spellStart"/>
      <w:r w:rsidRPr="00326179">
        <w:rPr>
          <w:rFonts w:ascii="Times New Roman" w:hAnsi="Times New Roman"/>
        </w:rPr>
        <w:t>Augmented</w:t>
      </w:r>
      <w:proofErr w:type="spellEnd"/>
      <w:r w:rsidRPr="00326179">
        <w:rPr>
          <w:rFonts w:ascii="Times New Roman" w:hAnsi="Times New Roman"/>
        </w:rPr>
        <w:t xml:space="preserve"> Reality oder Smart Boards erzeugt </w:t>
      </w:r>
      <w:proofErr w:type="spellStart"/>
      <w:r w:rsidRPr="00326179">
        <w:rPr>
          <w:rFonts w:ascii="Times New Roman" w:hAnsi="Times New Roman"/>
          <w:b/>
          <w:bCs/>
        </w:rPr>
        <w:t>multilayered</w:t>
      </w:r>
      <w:proofErr w:type="spellEnd"/>
      <w:r w:rsidRPr="00326179">
        <w:rPr>
          <w:rFonts w:ascii="Times New Roman" w:hAnsi="Times New Roman"/>
          <w:b/>
          <w:bCs/>
        </w:rPr>
        <w:t xml:space="preserve"> </w:t>
      </w:r>
      <w:proofErr w:type="spellStart"/>
      <w:r w:rsidRPr="00326179">
        <w:rPr>
          <w:rFonts w:ascii="Times New Roman" w:hAnsi="Times New Roman"/>
          <w:b/>
          <w:bCs/>
        </w:rPr>
        <w:t>Assignments</w:t>
      </w:r>
      <w:proofErr w:type="spellEnd"/>
      <w:r w:rsidRPr="00326179">
        <w:rPr>
          <w:rFonts w:ascii="Times New Roman" w:hAnsi="Times New Roman"/>
        </w:rPr>
        <w:t xml:space="preserve"> – Zuweisungen, die auf mehreren Ebenen gleichzeitig wirken.</w:t>
      </w:r>
    </w:p>
    <w:p w14:paraId="74F339BD" w14:textId="2260182E"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Das </w:t>
      </w:r>
      <w:r w:rsidR="007D659A">
        <w:rPr>
          <w:rFonts w:ascii="Times New Roman" w:hAnsi="Times New Roman"/>
        </w:rPr>
        <w:t>FRZK</w:t>
      </w:r>
      <w:r w:rsidRPr="00326179">
        <w:rPr>
          <w:rFonts w:ascii="Times New Roman" w:hAnsi="Times New Roman"/>
        </w:rPr>
        <w:t xml:space="preserve"> erlaubt es, solche hybriden Felder präzise zu modellieren: Sie bestehen aus mehreren Zuweisungsschichten (z. B. physisch, semantisch, interaktiv), die miteinander verkoppelt sind. Der Lernende ist darin kein Konsument, sondern ein aktiver Knotenpunkt im Struktursystem – ein bewegter Beobachter, der durch seine Handlungen Bedeutungsräume erzeugt.</w:t>
      </w:r>
    </w:p>
    <w:p w14:paraId="31FAF8BA" w14:textId="77777777"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Hybride Räume sind daher besonders innovationsfähig: Sie erzeugen Übergänge, Irritationen, Interferenzen – und ermöglichen somit epistemische Emergenz. Forschung zu „</w:t>
      </w:r>
      <w:proofErr w:type="spellStart"/>
      <w:r w:rsidRPr="00326179">
        <w:rPr>
          <w:rFonts w:ascii="Times New Roman" w:hAnsi="Times New Roman"/>
        </w:rPr>
        <w:t>seamless</w:t>
      </w:r>
      <w:proofErr w:type="spellEnd"/>
      <w:r w:rsidRPr="00326179">
        <w:rPr>
          <w:rFonts w:ascii="Times New Roman" w:hAnsi="Times New Roman"/>
        </w:rPr>
        <w:t xml:space="preserve"> </w:t>
      </w:r>
      <w:proofErr w:type="spellStart"/>
      <w:r w:rsidRPr="00326179">
        <w:rPr>
          <w:rFonts w:ascii="Times New Roman" w:hAnsi="Times New Roman"/>
        </w:rPr>
        <w:t>learning</w:t>
      </w:r>
      <w:proofErr w:type="spellEnd"/>
      <w:r w:rsidRPr="00326179">
        <w:rPr>
          <w:rFonts w:ascii="Times New Roman" w:hAnsi="Times New Roman"/>
        </w:rPr>
        <w:t xml:space="preserve"> </w:t>
      </w:r>
      <w:proofErr w:type="spellStart"/>
      <w:r w:rsidRPr="00326179">
        <w:rPr>
          <w:rFonts w:ascii="Times New Roman" w:hAnsi="Times New Roman"/>
        </w:rPr>
        <w:t>environments</w:t>
      </w:r>
      <w:proofErr w:type="spellEnd"/>
      <w:r w:rsidRPr="00326179">
        <w:rPr>
          <w:rFonts w:ascii="Times New Roman" w:hAnsi="Times New Roman"/>
        </w:rPr>
        <w:t>“ [62] und zu interaktiven Lernökosystemen [63] zeigt, wie diese Potenziale methodisch nutzbar gemacht werden können.</w:t>
      </w:r>
    </w:p>
    <w:p w14:paraId="0424D529" w14:textId="77777777" w:rsidR="00326179" w:rsidRPr="00326179" w:rsidRDefault="00326179" w:rsidP="00326179">
      <w:pPr>
        <w:spacing w:before="100" w:beforeAutospacing="1" w:after="100" w:afterAutospacing="1"/>
        <w:outlineLvl w:val="3"/>
        <w:rPr>
          <w:rFonts w:ascii="Times New Roman" w:hAnsi="Times New Roman"/>
          <w:b/>
          <w:bCs/>
        </w:rPr>
      </w:pPr>
      <w:r w:rsidRPr="00326179">
        <w:rPr>
          <w:rFonts w:ascii="Times New Roman" w:hAnsi="Times New Roman"/>
          <w:b/>
          <w:bCs/>
        </w:rPr>
        <w:t>6.9.4 Digitale Interfaces als funktionale Schwellen</w:t>
      </w:r>
    </w:p>
    <w:p w14:paraId="1412345A" w14:textId="3303BB0E"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Interfaces – also Benutzeroberflächen – sind im </w:t>
      </w:r>
      <w:r w:rsidR="007D659A">
        <w:rPr>
          <w:rFonts w:ascii="Times New Roman" w:hAnsi="Times New Roman"/>
        </w:rPr>
        <w:t>FRZK</w:t>
      </w:r>
      <w:r w:rsidRPr="00326179">
        <w:rPr>
          <w:rFonts w:ascii="Times New Roman" w:hAnsi="Times New Roman"/>
        </w:rPr>
        <w:t xml:space="preserve"> nicht bloß technische Vermittler, sondern funktionale Schwellen: Sie regeln, welche Differenzen überhaupt sichtbar, zugänglich oder operierbar werden. Damit sind sie epistemisch entscheidend: Ein Interface ist eine </w:t>
      </w:r>
      <w:r w:rsidRPr="00326179">
        <w:rPr>
          <w:rFonts w:ascii="Times New Roman" w:hAnsi="Times New Roman"/>
          <w:b/>
          <w:bCs/>
        </w:rPr>
        <w:t>Ontologie in Designform</w:t>
      </w:r>
      <w:r w:rsidRPr="00326179">
        <w:rPr>
          <w:rFonts w:ascii="Times New Roman" w:hAnsi="Times New Roman"/>
        </w:rPr>
        <w:t>.</w:t>
      </w:r>
    </w:p>
    <w:p w14:paraId="196F2BDA" w14:textId="7B929240"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Die Gestaltung digitaler Interfaces lässt sich mit dem </w:t>
      </w:r>
      <w:r w:rsidR="007D659A">
        <w:rPr>
          <w:rFonts w:ascii="Times New Roman" w:hAnsi="Times New Roman"/>
        </w:rPr>
        <w:t>FRZK</w:t>
      </w:r>
      <w:r w:rsidRPr="00326179">
        <w:rPr>
          <w:rFonts w:ascii="Times New Roman" w:hAnsi="Times New Roman"/>
        </w:rPr>
        <w:t xml:space="preserve"> nicht nur evaluieren, sondern konstruieren: Als gezielte Organisation von Zuweisungsoptionen – etwa durch Farbgebung, Symbolstruktur, Navigation, Feedback oder Kontextsensitivität.</w:t>
      </w:r>
    </w:p>
    <w:p w14:paraId="58F204CA" w14:textId="74120E1D" w:rsidR="00326179" w:rsidRPr="00326179" w:rsidRDefault="00326179" w:rsidP="00326179">
      <w:pPr>
        <w:spacing w:before="100" w:beforeAutospacing="1" w:after="100" w:afterAutospacing="1"/>
        <w:rPr>
          <w:rFonts w:ascii="Times New Roman" w:hAnsi="Times New Roman"/>
        </w:rPr>
      </w:pPr>
      <w:r w:rsidRPr="00326179">
        <w:rPr>
          <w:rFonts w:ascii="Times New Roman" w:hAnsi="Times New Roman"/>
        </w:rPr>
        <w:t xml:space="preserve">Das </w:t>
      </w:r>
      <w:r w:rsidR="007D659A">
        <w:rPr>
          <w:rFonts w:ascii="Times New Roman" w:hAnsi="Times New Roman"/>
        </w:rPr>
        <w:t>FRZK</w:t>
      </w:r>
      <w:r w:rsidRPr="00326179">
        <w:rPr>
          <w:rFonts w:ascii="Times New Roman" w:hAnsi="Times New Roman"/>
        </w:rPr>
        <w:t xml:space="preserve"> bietet damit ein epistemisch fundiertes Werkzeug für die Gestaltung und Analyse digitaler Lernumgebungen, Interfaces und Interaktionsräume – nicht als Anwendung, sondern als </w:t>
      </w:r>
      <w:proofErr w:type="spellStart"/>
      <w:r w:rsidRPr="00326179">
        <w:rPr>
          <w:rFonts w:ascii="Times New Roman" w:hAnsi="Times New Roman"/>
        </w:rPr>
        <w:t>Emergenzfeld</w:t>
      </w:r>
      <w:proofErr w:type="spellEnd"/>
      <w:r w:rsidRPr="00326179">
        <w:rPr>
          <w:rFonts w:ascii="Times New Roman" w:hAnsi="Times New Roman"/>
        </w:rPr>
        <w:t xml:space="preserve"> (vgl. Kap. 3.8.3).</w:t>
      </w:r>
    </w:p>
    <w:p w14:paraId="57AE94DE" w14:textId="77777777" w:rsidR="00326179" w:rsidRPr="00326179" w:rsidRDefault="008D0DC3" w:rsidP="00326179">
      <w:pPr>
        <w:spacing w:after="0"/>
        <w:rPr>
          <w:rFonts w:ascii="Times New Roman" w:hAnsi="Times New Roman"/>
        </w:rPr>
      </w:pPr>
      <w:r>
        <w:rPr>
          <w:rFonts w:ascii="Times New Roman" w:hAnsi="Times New Roman"/>
        </w:rPr>
        <w:pict w14:anchorId="6EAE3CB3">
          <v:rect id="_x0000_i1043" style="width:0;height:1.5pt" o:hralign="center" o:hrstd="t" o:hr="t" fillcolor="#a0a0a0" stroked="f"/>
        </w:pict>
      </w:r>
    </w:p>
    <w:p w14:paraId="1948C352" w14:textId="77777777" w:rsidR="00326179" w:rsidRDefault="00326179" w:rsidP="00326179">
      <w:pPr>
        <w:pStyle w:val="berschrift3"/>
        <w:rPr>
          <w:sz w:val="27"/>
          <w:szCs w:val="27"/>
        </w:rPr>
      </w:pPr>
      <w:r>
        <w:rPr>
          <w:rFonts w:ascii="Segoe UI Emoji" w:hAnsi="Segoe UI Emoji" w:cs="Segoe UI Emoji"/>
        </w:rPr>
        <w:t>✅</w:t>
      </w:r>
      <w:r>
        <w:t xml:space="preserve"> Neuer Abschnitt 6.10 – </w:t>
      </w:r>
      <w:r>
        <w:rPr>
          <w:rStyle w:val="Hervorhebung"/>
        </w:rPr>
        <w:t>Kreative Hybridfelder: Emergenz durch Interdisziplinarität</w:t>
      </w:r>
    </w:p>
    <w:p w14:paraId="1779EE6B" w14:textId="77777777" w:rsidR="00326179" w:rsidRDefault="008D0DC3" w:rsidP="00326179">
      <w:r>
        <w:pict w14:anchorId="6696682F">
          <v:rect id="_x0000_i1044" style="width:0;height:1.5pt" o:hralign="center" o:hrstd="t" o:hr="t" fillcolor="#a0a0a0" stroked="f"/>
        </w:pict>
      </w:r>
    </w:p>
    <w:p w14:paraId="3BBC393E" w14:textId="68DB9EEE" w:rsidR="00326179" w:rsidRDefault="00326179" w:rsidP="00326179">
      <w:pPr>
        <w:pStyle w:val="StandardWeb"/>
      </w:pPr>
      <w:r>
        <w:t xml:space="preserve">Kreative Prozesse – in Wissenschaft, Bildung, Kunst oder Technik – entstehen selten innerhalb homogener Strukturen. Vielmehr benötigen sie Spannungsfelder, Übergänge und Störungen. Das </w:t>
      </w:r>
      <w:r w:rsidR="007D659A">
        <w:t>FRZK</w:t>
      </w:r>
      <w:r>
        <w:t xml:space="preserve"> bietet ein präzises Modell dafür: Es zeigt, dass Innovation und Emergenz vor allem dort entstehen, wo heterogene Funktionsräume überlappen, kollidieren oder verschaltet werden. Genau hier entstehen </w:t>
      </w:r>
      <w:r>
        <w:rPr>
          <w:rStyle w:val="Hervorhebung"/>
        </w:rPr>
        <w:t>kreative Hybridfelder</w:t>
      </w:r>
      <w:r>
        <w:t xml:space="preserve"> – Zonen, in denen durch funktionale Interferenz neue Strukturen emergieren.</w:t>
      </w:r>
    </w:p>
    <w:p w14:paraId="3EECC61B" w14:textId="77777777" w:rsidR="00326179" w:rsidRDefault="00326179" w:rsidP="00326179">
      <w:pPr>
        <w:pStyle w:val="berschrift4"/>
      </w:pPr>
      <w:r>
        <w:t>6.10.1 Interdisziplinarität als Feldkopplung</w:t>
      </w:r>
    </w:p>
    <w:p w14:paraId="1C78D7B2" w14:textId="0BA443C8" w:rsidR="00326179" w:rsidRDefault="00326179" w:rsidP="00326179">
      <w:pPr>
        <w:pStyle w:val="StandardWeb"/>
      </w:pPr>
      <w:r>
        <w:t xml:space="preserve">Im </w:t>
      </w:r>
      <w:r w:rsidR="007D659A">
        <w:t>FRZK</w:t>
      </w:r>
      <w:r>
        <w:t xml:space="preserve"> kann Interdisziplinarität als Kopplung vormals getrennt operierender Funktionssysteme modelliert werden. Dies geschieht nicht durch bloße Aggregation, sondern durch die gezielte </w:t>
      </w:r>
      <w:r>
        <w:rPr>
          <w:rStyle w:val="Fett"/>
        </w:rPr>
        <w:t>Verknüpfung von Zuweisungslogiken</w:t>
      </w:r>
      <w:r>
        <w:t>, die sich gegenseitig irritieren, herausfordern und transformieren.</w:t>
      </w:r>
    </w:p>
    <w:p w14:paraId="62F791FE" w14:textId="77777777" w:rsidR="00326179" w:rsidRDefault="00326179" w:rsidP="00326179">
      <w:pPr>
        <w:pStyle w:val="StandardWeb"/>
      </w:pPr>
      <w:r>
        <w:t xml:space="preserve">So kann etwa eine physikalische Beschreibung eines Systems (z. B. Kräfte, Felder) mit einer biologischen (z. B. Zellstoffwechsel), einer soziologischen (z. B. Rollen) und einer semantischen Perspektive (z. B. Bedeutungsrahmen) in einem </w:t>
      </w:r>
      <w:r>
        <w:rPr>
          <w:rStyle w:val="Hervorhebung"/>
        </w:rPr>
        <w:t>gemeinsamen Zuweisungsraum</w:t>
      </w:r>
      <w:r>
        <w:t xml:space="preserve"> integriert werden. Die Emergenz entsteht aus der funktionalen Interaktion dieser Teilsysteme – nicht aus ihrer inhaltlichen Überlagerung.</w:t>
      </w:r>
    </w:p>
    <w:p w14:paraId="4EA89E4E" w14:textId="77777777" w:rsidR="00326179" w:rsidRDefault="00326179" w:rsidP="00326179">
      <w:pPr>
        <w:pStyle w:val="StandardWeb"/>
      </w:pPr>
      <w:r>
        <w:t>Diese Sichtweise steht in engem Zusammenhang mit Systemkonzepten des „transdisziplinären Wissensraums“ [64] und mit der Theorie „generativer Komplexität“ [65].</w:t>
      </w:r>
    </w:p>
    <w:p w14:paraId="35CDF8CB" w14:textId="77777777" w:rsidR="00326179" w:rsidRDefault="00326179" w:rsidP="00326179">
      <w:pPr>
        <w:pStyle w:val="berschrift4"/>
      </w:pPr>
      <w:r>
        <w:t>6.10.2 STEAM als emergentes Hybridmodell</w:t>
      </w:r>
    </w:p>
    <w:p w14:paraId="39CE5126" w14:textId="386F9FA8" w:rsidR="00326179" w:rsidRDefault="00326179" w:rsidP="00326179">
      <w:pPr>
        <w:pStyle w:val="StandardWeb"/>
      </w:pPr>
      <w:r>
        <w:t xml:space="preserve">Ein Beispiel für kreative Hybridfelder ist der STEAM-Ansatz (Science, Technology, Engineering, Arts, </w:t>
      </w:r>
      <w:proofErr w:type="spellStart"/>
      <w:r>
        <w:t>Mathematics</w:t>
      </w:r>
      <w:proofErr w:type="spellEnd"/>
      <w:r>
        <w:t xml:space="preserve">), der interdisziplinäre Lernsettings mit kreativem Potenzial verbindet. Im </w:t>
      </w:r>
      <w:r w:rsidR="007D659A">
        <w:t>FRZK</w:t>
      </w:r>
      <w:r>
        <w:t xml:space="preserve"> kann STEAM als </w:t>
      </w:r>
      <w:r>
        <w:rPr>
          <w:rStyle w:val="Fett"/>
        </w:rPr>
        <w:t xml:space="preserve">strukturierter </w:t>
      </w:r>
      <w:proofErr w:type="spellStart"/>
      <w:r>
        <w:rPr>
          <w:rStyle w:val="Fett"/>
        </w:rPr>
        <w:t>Feldraum</w:t>
      </w:r>
      <w:proofErr w:type="spellEnd"/>
      <w:r>
        <w:t xml:space="preserve"> verstanden werden, in dem physikalische, technische, ästhetische und mathematische Zuweisungslogiken gekoppelt werden – durch Aufgabenstellungen, Prozesse und Reflexionsräume.</w:t>
      </w:r>
    </w:p>
    <w:p w14:paraId="3B0BEAA2" w14:textId="777BAF93" w:rsidR="00326179" w:rsidRDefault="00326179" w:rsidP="00326179">
      <w:pPr>
        <w:pStyle w:val="StandardWeb"/>
      </w:pPr>
      <w:r>
        <w:t xml:space="preserve">Besonders bedeutsam ist, dass im STEAM-Kontext kein disziplinäres Primat besteht: Bedeutung entsteht nicht durch eine disziplinäre Wahrheit, sondern durch das strukturierte Spiel mit Perspektiven. Damit ist STEAM aus </w:t>
      </w:r>
      <w:r w:rsidR="007D659A">
        <w:t>FRZK</w:t>
      </w:r>
      <w:r>
        <w:t xml:space="preserve">-Sicht ein epistemisches Labor – ein </w:t>
      </w:r>
      <w:proofErr w:type="spellStart"/>
      <w:r>
        <w:t>Emergenzfeld</w:t>
      </w:r>
      <w:proofErr w:type="spellEnd"/>
      <w:r>
        <w:t>, in dem durch koordinierte Differenzbildung neue Einsichten erzeugt werden können [66].</w:t>
      </w:r>
    </w:p>
    <w:p w14:paraId="53351BCC" w14:textId="77777777" w:rsidR="00326179" w:rsidRDefault="00326179" w:rsidP="00326179">
      <w:pPr>
        <w:pStyle w:val="berschrift4"/>
      </w:pPr>
      <w:r>
        <w:t>6.10.3 Kreativität als systemische Differenzbildung</w:t>
      </w:r>
    </w:p>
    <w:p w14:paraId="37783DDF" w14:textId="5AEC416B" w:rsidR="00326179" w:rsidRDefault="00326179" w:rsidP="00326179">
      <w:pPr>
        <w:pStyle w:val="StandardWeb"/>
      </w:pPr>
      <w:r>
        <w:t xml:space="preserve">Kreativität wird im </w:t>
      </w:r>
      <w:r w:rsidR="007D659A">
        <w:t>FRZK</w:t>
      </w:r>
      <w:r>
        <w:t xml:space="preserve"> nicht als Eigenschaft eines Individuums verstanden, sondern als Fähigkeit eines Systems, </w:t>
      </w:r>
      <w:r>
        <w:rPr>
          <w:rStyle w:val="Fett"/>
        </w:rPr>
        <w:t>unvorhersehbare, aber kohärente Differenzen zu erzeugen</w:t>
      </w:r>
      <w:r>
        <w:t>. Kreative Prozesse sind also keine Brüche, sondern strukturierte Übergänge – Sprünge in neue funktionale Räume.</w:t>
      </w:r>
    </w:p>
    <w:p w14:paraId="1AEA68E8" w14:textId="77777777" w:rsidR="00326179" w:rsidRDefault="00326179" w:rsidP="00326179">
      <w:pPr>
        <w:pStyle w:val="StandardWeb"/>
      </w:pPr>
      <w:r>
        <w:t>Ein kreativer Akt (eine Idee, ein Entwurf, ein Erkenntnismoment) ist dann ein Zuweisungsschritt, der in einem existierenden Funktionssystem eine neue, kohärente Ordnung erzeugt. Das kreative Subjekt ist in diesem Sinne ein Beobachter zweiter Ordnung, der Übergänge im System erkennt, testet und stabilisiert.</w:t>
      </w:r>
    </w:p>
    <w:p w14:paraId="2DC75E67" w14:textId="0C779D40" w:rsidR="00326179" w:rsidRDefault="00326179" w:rsidP="00326179">
      <w:pPr>
        <w:pStyle w:val="StandardWeb"/>
      </w:pPr>
      <w:r>
        <w:t>Diese Perspektive steht im Zusammenhang mit Konzepten wie „emergent design“ [67], „</w:t>
      </w:r>
      <w:proofErr w:type="spellStart"/>
      <w:r>
        <w:t>creative</w:t>
      </w:r>
      <w:proofErr w:type="spellEnd"/>
      <w:r>
        <w:t xml:space="preserve"> </w:t>
      </w:r>
      <w:proofErr w:type="spellStart"/>
      <w:r>
        <w:t>ecologies</w:t>
      </w:r>
      <w:proofErr w:type="spellEnd"/>
      <w:r>
        <w:t xml:space="preserve">“ [68] und „reflexive </w:t>
      </w:r>
      <w:proofErr w:type="spellStart"/>
      <w:r>
        <w:t>innovation</w:t>
      </w:r>
      <w:proofErr w:type="spellEnd"/>
      <w:r>
        <w:t xml:space="preserve"> </w:t>
      </w:r>
      <w:proofErr w:type="spellStart"/>
      <w:r>
        <w:t>systems</w:t>
      </w:r>
      <w:proofErr w:type="spellEnd"/>
      <w:r>
        <w:t xml:space="preserve">“ [69], denen das </w:t>
      </w:r>
      <w:r w:rsidR="007D659A">
        <w:t>FRZK</w:t>
      </w:r>
      <w:r>
        <w:t xml:space="preserve"> eine präzise formale Struktur unterlegen kann (vgl. Kap. 3.8.4).</w:t>
      </w:r>
    </w:p>
    <w:p w14:paraId="547D7241" w14:textId="77777777" w:rsidR="00326179" w:rsidRDefault="00326179" w:rsidP="00326179">
      <w:pPr>
        <w:pStyle w:val="berschrift4"/>
      </w:pPr>
      <w:r>
        <w:t>6.10.4 Hybridisierung als didaktisches Designprinzip</w:t>
      </w:r>
    </w:p>
    <w:p w14:paraId="6B950379" w14:textId="7D3BF64D" w:rsidR="00326179" w:rsidRDefault="00326179" w:rsidP="00326179">
      <w:pPr>
        <w:pStyle w:val="StandardWeb"/>
      </w:pPr>
      <w:r>
        <w:t xml:space="preserve">Für die Didaktik bedeutet das: Kreatives Denken und Lernen entsteht nicht durch „freies Spiel“, sondern durch gezielte Gestaltung hybrider Strukturen. Das </w:t>
      </w:r>
      <w:r w:rsidR="007D659A">
        <w:t>FRZK</w:t>
      </w:r>
      <w:r>
        <w:t xml:space="preserve"> liefert das Raster: Lernumgebungen, Aufgabenformate oder Diskursräume müssen so gestaltet sein, dass funktionale Interferenzen entstehen können – Spannungen, Übergänge, Reibungen. Erst dort entsteht epistemische Bewegung.</w:t>
      </w:r>
    </w:p>
    <w:p w14:paraId="4EB32D52" w14:textId="3696E146" w:rsidR="00326179" w:rsidRDefault="00326179" w:rsidP="00326179">
      <w:pPr>
        <w:pStyle w:val="StandardWeb"/>
      </w:pPr>
      <w:r>
        <w:t xml:space="preserve">Didaktische Hybridisierung – etwa zwischen Experiment und Reflexion, zwischen Wissenschaft und Kunst, zwischen Simulation und Narration – kann im </w:t>
      </w:r>
      <w:r w:rsidR="007D659A">
        <w:t>FRZK</w:t>
      </w:r>
      <w:r>
        <w:t xml:space="preserve"> als </w:t>
      </w:r>
      <w:r>
        <w:rPr>
          <w:rStyle w:val="Fett"/>
        </w:rPr>
        <w:t xml:space="preserve">strukturierter </w:t>
      </w:r>
      <w:proofErr w:type="spellStart"/>
      <w:r>
        <w:rPr>
          <w:rStyle w:val="Fett"/>
        </w:rPr>
        <w:t>Emergenzraum</w:t>
      </w:r>
      <w:proofErr w:type="spellEnd"/>
      <w:r>
        <w:t xml:space="preserve"> entworfen und analysiert werden. Der Innovationswert liegt genau in dieser systematischen Hybridität: Nicht </w:t>
      </w:r>
      <w:proofErr w:type="spellStart"/>
      <w:r>
        <w:t>entweder-oder</w:t>
      </w:r>
      <w:proofErr w:type="spellEnd"/>
      <w:r>
        <w:t xml:space="preserve">, sondern strukturiertes </w:t>
      </w:r>
      <w:proofErr w:type="spellStart"/>
      <w:r>
        <w:t>sowohl-als-auch</w:t>
      </w:r>
      <w:proofErr w:type="spellEnd"/>
      <w:r>
        <w:t>.</w:t>
      </w:r>
    </w:p>
    <w:p w14:paraId="4ADE8013" w14:textId="77777777" w:rsidR="00326179" w:rsidRDefault="008D0DC3" w:rsidP="00326179">
      <w:r>
        <w:pict w14:anchorId="3327CF4E">
          <v:rect id="_x0000_i1045" style="width:0;height:1.5pt" o:hralign="center" o:hrstd="t" o:hr="t" fillcolor="#a0a0a0" stroked="f"/>
        </w:pict>
      </w:r>
    </w:p>
    <w:p w14:paraId="376E64D8" w14:textId="77777777" w:rsidR="0039789C" w:rsidRDefault="0039789C" w:rsidP="0039789C">
      <w:pPr>
        <w:pStyle w:val="berschrift3"/>
        <w:rPr>
          <w:sz w:val="27"/>
          <w:szCs w:val="27"/>
        </w:rPr>
      </w:pPr>
      <w:r>
        <w:rPr>
          <w:rFonts w:ascii="Segoe UI Emoji" w:hAnsi="Segoe UI Emoji" w:cs="Segoe UI Emoji"/>
        </w:rPr>
        <w:t>✅</w:t>
      </w:r>
      <w:r>
        <w:t xml:space="preserve"> Neuer Abschnitt 6.11 – </w:t>
      </w:r>
      <w:r>
        <w:rPr>
          <w:rStyle w:val="Hervorhebung"/>
        </w:rPr>
        <w:t>Zusammenfassung</w:t>
      </w:r>
    </w:p>
    <w:p w14:paraId="211F8EDC" w14:textId="77777777" w:rsidR="0039789C" w:rsidRDefault="008D0DC3" w:rsidP="0039789C">
      <w:r>
        <w:pict w14:anchorId="01A87A74">
          <v:rect id="_x0000_i1046" style="width:0;height:1.5pt" o:hralign="center" o:hrstd="t" o:hr="t" fillcolor="#a0a0a0" stroked="f"/>
        </w:pict>
      </w:r>
    </w:p>
    <w:p w14:paraId="52B84B70" w14:textId="0A880A30" w:rsidR="0039789C" w:rsidRDefault="0039789C" w:rsidP="0039789C">
      <w:pPr>
        <w:pStyle w:val="StandardWeb"/>
      </w:pPr>
      <w:r>
        <w:t xml:space="preserve">Die vorangegangenen Abschnitte haben gezeigt, dass das </w:t>
      </w:r>
      <w:r w:rsidR="007D659A">
        <w:t>FRZK</w:t>
      </w:r>
      <w:r>
        <w:t xml:space="preserve"> nicht lediglich ein theoretisches Modell, sondern ein umfassendes epistemisches Prinzip darstellt. Seine Innovationskraft entfaltet sich auf mehreren Ebenen gleichzeitig: erkenntnistheoretisch, ontologisch, didaktisch, methodisch, systemisch, architektonisch und sozial. Um diese Dimensionen sichtbar zu machen, folgt eine strukturierte Zusammenfassung der zentralen Innovationslinien:</w:t>
      </w:r>
    </w:p>
    <w:p w14:paraId="0332E667" w14:textId="0E3FFE85" w:rsidR="0039789C" w:rsidRDefault="0039789C" w:rsidP="0039789C">
      <w:pPr>
        <w:pStyle w:val="berschrift4"/>
      </w:pPr>
      <w:r>
        <w:t xml:space="preserve">6.11.1 Innovationsmatrix des </w:t>
      </w:r>
      <w:r w:rsidR="007D659A">
        <w:t>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1855"/>
        <w:gridCol w:w="2134"/>
        <w:gridCol w:w="2622"/>
      </w:tblGrid>
      <w:tr w:rsidR="0039789C" w14:paraId="623FDC56" w14:textId="77777777" w:rsidTr="0039789C">
        <w:trPr>
          <w:tblHeader/>
          <w:tblCellSpacing w:w="15" w:type="dxa"/>
        </w:trPr>
        <w:tc>
          <w:tcPr>
            <w:tcW w:w="0" w:type="auto"/>
            <w:vAlign w:val="center"/>
            <w:hideMark/>
          </w:tcPr>
          <w:p w14:paraId="52BDA14F" w14:textId="77777777" w:rsidR="0039789C" w:rsidRDefault="0039789C">
            <w:pPr>
              <w:jc w:val="center"/>
              <w:rPr>
                <w:b/>
                <w:bCs/>
              </w:rPr>
            </w:pPr>
            <w:r>
              <w:rPr>
                <w:rStyle w:val="Fett"/>
              </w:rPr>
              <w:t>Name der Innovation</w:t>
            </w:r>
          </w:p>
        </w:tc>
        <w:tc>
          <w:tcPr>
            <w:tcW w:w="0" w:type="auto"/>
            <w:vAlign w:val="center"/>
            <w:hideMark/>
          </w:tcPr>
          <w:p w14:paraId="4FE22DC4" w14:textId="77777777" w:rsidR="0039789C" w:rsidRDefault="0039789C">
            <w:pPr>
              <w:jc w:val="center"/>
              <w:rPr>
                <w:b/>
                <w:bCs/>
              </w:rPr>
            </w:pPr>
            <w:r>
              <w:rPr>
                <w:rStyle w:val="Fett"/>
              </w:rPr>
              <w:t>Kurzbeschreibung</w:t>
            </w:r>
          </w:p>
        </w:tc>
        <w:tc>
          <w:tcPr>
            <w:tcW w:w="0" w:type="auto"/>
            <w:vAlign w:val="center"/>
            <w:hideMark/>
          </w:tcPr>
          <w:p w14:paraId="33028F6C" w14:textId="77777777" w:rsidR="0039789C" w:rsidRDefault="0039789C">
            <w:pPr>
              <w:jc w:val="center"/>
              <w:rPr>
                <w:b/>
                <w:bCs/>
              </w:rPr>
            </w:pPr>
            <w:r>
              <w:rPr>
                <w:rStyle w:val="Fett"/>
              </w:rPr>
              <w:t>Bedeutung für Modellbildung</w:t>
            </w:r>
          </w:p>
        </w:tc>
        <w:tc>
          <w:tcPr>
            <w:tcW w:w="0" w:type="auto"/>
            <w:vAlign w:val="center"/>
            <w:hideMark/>
          </w:tcPr>
          <w:p w14:paraId="0444E633" w14:textId="77777777" w:rsidR="0039789C" w:rsidRDefault="0039789C">
            <w:pPr>
              <w:jc w:val="center"/>
              <w:rPr>
                <w:b/>
                <w:bCs/>
              </w:rPr>
            </w:pPr>
            <w:r>
              <w:rPr>
                <w:rStyle w:val="Fett"/>
              </w:rPr>
              <w:t>Anwendungsbeispiel</w:t>
            </w:r>
          </w:p>
        </w:tc>
      </w:tr>
      <w:tr w:rsidR="0039789C" w14:paraId="5992E900" w14:textId="77777777" w:rsidTr="0039789C">
        <w:trPr>
          <w:tblCellSpacing w:w="15" w:type="dxa"/>
        </w:trPr>
        <w:tc>
          <w:tcPr>
            <w:tcW w:w="0" w:type="auto"/>
            <w:vAlign w:val="center"/>
            <w:hideMark/>
          </w:tcPr>
          <w:p w14:paraId="46F4B6B8" w14:textId="77777777" w:rsidR="0039789C" w:rsidRDefault="0039789C">
            <w:r>
              <w:t>Epistemische Innovation</w:t>
            </w:r>
          </w:p>
        </w:tc>
        <w:tc>
          <w:tcPr>
            <w:tcW w:w="0" w:type="auto"/>
            <w:vAlign w:val="center"/>
            <w:hideMark/>
          </w:tcPr>
          <w:p w14:paraId="351284C4" w14:textId="77777777" w:rsidR="0039789C" w:rsidRDefault="0039789C">
            <w:r>
              <w:t>Erkenntnis als Zuweisungsprozess statt Repräsentation</w:t>
            </w:r>
          </w:p>
        </w:tc>
        <w:tc>
          <w:tcPr>
            <w:tcW w:w="0" w:type="auto"/>
            <w:vAlign w:val="center"/>
            <w:hideMark/>
          </w:tcPr>
          <w:p w14:paraId="227C1777" w14:textId="77777777" w:rsidR="0039789C" w:rsidRDefault="0039789C">
            <w:r>
              <w:t>Modelle erzeugen Bedeutung, statt sie abzubilden</w:t>
            </w:r>
          </w:p>
        </w:tc>
        <w:tc>
          <w:tcPr>
            <w:tcW w:w="0" w:type="auto"/>
            <w:vAlign w:val="center"/>
            <w:hideMark/>
          </w:tcPr>
          <w:p w14:paraId="0D9CF5EB" w14:textId="77777777" w:rsidR="0039789C" w:rsidRDefault="0039789C">
            <w:r>
              <w:t>Theoriebildung, wissenschaftliche Reflexion</w:t>
            </w:r>
          </w:p>
        </w:tc>
      </w:tr>
      <w:tr w:rsidR="0039789C" w14:paraId="452D044A" w14:textId="77777777" w:rsidTr="0039789C">
        <w:trPr>
          <w:tblCellSpacing w:w="15" w:type="dxa"/>
        </w:trPr>
        <w:tc>
          <w:tcPr>
            <w:tcW w:w="0" w:type="auto"/>
            <w:vAlign w:val="center"/>
            <w:hideMark/>
          </w:tcPr>
          <w:p w14:paraId="74017A6A" w14:textId="77777777" w:rsidR="0039789C" w:rsidRDefault="0039789C">
            <w:r>
              <w:t>Ontologische Innovation</w:t>
            </w:r>
          </w:p>
        </w:tc>
        <w:tc>
          <w:tcPr>
            <w:tcW w:w="0" w:type="auto"/>
            <w:vAlign w:val="center"/>
            <w:hideMark/>
          </w:tcPr>
          <w:p w14:paraId="77C23768" w14:textId="77777777" w:rsidR="0039789C" w:rsidRDefault="0039789C">
            <w:r>
              <w:t>Raum, Zeit, Objekt als emergente Konstrukte aus Zuweisungen</w:t>
            </w:r>
          </w:p>
        </w:tc>
        <w:tc>
          <w:tcPr>
            <w:tcW w:w="0" w:type="auto"/>
            <w:vAlign w:val="center"/>
            <w:hideMark/>
          </w:tcPr>
          <w:p w14:paraId="70D47735" w14:textId="77777777" w:rsidR="0039789C" w:rsidRDefault="0039789C">
            <w:r>
              <w:t>Wirklichkeit entsteht aus Funktion, nicht Substanz</w:t>
            </w:r>
          </w:p>
        </w:tc>
        <w:tc>
          <w:tcPr>
            <w:tcW w:w="0" w:type="auto"/>
            <w:vAlign w:val="center"/>
            <w:hideMark/>
          </w:tcPr>
          <w:p w14:paraId="21EE11C9" w14:textId="77777777" w:rsidR="0039789C" w:rsidRDefault="0039789C">
            <w:r>
              <w:t>Modellierung physikalischer oder sozialer Systeme</w:t>
            </w:r>
          </w:p>
        </w:tc>
      </w:tr>
      <w:tr w:rsidR="0039789C" w14:paraId="62CEE57B" w14:textId="77777777" w:rsidTr="0039789C">
        <w:trPr>
          <w:tblCellSpacing w:w="15" w:type="dxa"/>
        </w:trPr>
        <w:tc>
          <w:tcPr>
            <w:tcW w:w="0" w:type="auto"/>
            <w:vAlign w:val="center"/>
            <w:hideMark/>
          </w:tcPr>
          <w:p w14:paraId="6B0A7488" w14:textId="77777777" w:rsidR="0039789C" w:rsidRDefault="0039789C">
            <w:r>
              <w:t>Methodologische Innovation</w:t>
            </w:r>
          </w:p>
        </w:tc>
        <w:tc>
          <w:tcPr>
            <w:tcW w:w="0" w:type="auto"/>
            <w:vAlign w:val="center"/>
            <w:hideMark/>
          </w:tcPr>
          <w:p w14:paraId="0B256398" w14:textId="77777777" w:rsidR="0039789C" w:rsidRDefault="0039789C">
            <w:r>
              <w:t>Iterative Modellbildung aus strukturloser Ausgangsmenge (MU)</w:t>
            </w:r>
          </w:p>
        </w:tc>
        <w:tc>
          <w:tcPr>
            <w:tcW w:w="0" w:type="auto"/>
            <w:vAlign w:val="center"/>
            <w:hideMark/>
          </w:tcPr>
          <w:p w14:paraId="346A7E22" w14:textId="77777777" w:rsidR="0039789C" w:rsidRDefault="0039789C">
            <w:r>
              <w:t>Modellbildung wird vollständig rekonstruierbar</w:t>
            </w:r>
          </w:p>
        </w:tc>
        <w:tc>
          <w:tcPr>
            <w:tcW w:w="0" w:type="auto"/>
            <w:vAlign w:val="center"/>
            <w:hideMark/>
          </w:tcPr>
          <w:p w14:paraId="7475B5DD" w14:textId="77777777" w:rsidR="0039789C" w:rsidRDefault="0039789C">
            <w:r>
              <w:t>Künstliche Intelligenz, komplexe Systeme</w:t>
            </w:r>
          </w:p>
        </w:tc>
      </w:tr>
      <w:tr w:rsidR="0039789C" w14:paraId="0D8C679D" w14:textId="77777777" w:rsidTr="0039789C">
        <w:trPr>
          <w:tblCellSpacing w:w="15" w:type="dxa"/>
        </w:trPr>
        <w:tc>
          <w:tcPr>
            <w:tcW w:w="0" w:type="auto"/>
            <w:vAlign w:val="center"/>
            <w:hideMark/>
          </w:tcPr>
          <w:p w14:paraId="364685D0" w14:textId="77777777" w:rsidR="0039789C" w:rsidRDefault="0039789C">
            <w:r>
              <w:t>Didaktische Innovation</w:t>
            </w:r>
          </w:p>
        </w:tc>
        <w:tc>
          <w:tcPr>
            <w:tcW w:w="0" w:type="auto"/>
            <w:vAlign w:val="center"/>
            <w:hideMark/>
          </w:tcPr>
          <w:p w14:paraId="4A884624" w14:textId="77777777" w:rsidR="0039789C" w:rsidRDefault="0039789C">
            <w:r>
              <w:t>Lernen als strukturelle Emergenz im funktionalen Feld</w:t>
            </w:r>
          </w:p>
        </w:tc>
        <w:tc>
          <w:tcPr>
            <w:tcW w:w="0" w:type="auto"/>
            <w:vAlign w:val="center"/>
            <w:hideMark/>
          </w:tcPr>
          <w:p w14:paraId="68F7BB27" w14:textId="77777777" w:rsidR="0039789C" w:rsidRDefault="0039789C">
            <w:r>
              <w:t>Wissen entsteht durch Differenzbildung, nicht durch Inhaltsvermittlung</w:t>
            </w:r>
          </w:p>
        </w:tc>
        <w:tc>
          <w:tcPr>
            <w:tcW w:w="0" w:type="auto"/>
            <w:vAlign w:val="center"/>
            <w:hideMark/>
          </w:tcPr>
          <w:p w14:paraId="02D3AC7A" w14:textId="77777777" w:rsidR="0039789C" w:rsidRDefault="0039789C">
            <w:r>
              <w:t>Offene Lernräume, strukturierte Selbstorganisation</w:t>
            </w:r>
          </w:p>
        </w:tc>
      </w:tr>
      <w:tr w:rsidR="0039789C" w14:paraId="27474732" w14:textId="77777777" w:rsidTr="0039789C">
        <w:trPr>
          <w:tblCellSpacing w:w="15" w:type="dxa"/>
        </w:trPr>
        <w:tc>
          <w:tcPr>
            <w:tcW w:w="0" w:type="auto"/>
            <w:vAlign w:val="center"/>
            <w:hideMark/>
          </w:tcPr>
          <w:p w14:paraId="5E6FBAB7" w14:textId="77777777" w:rsidR="0039789C" w:rsidRDefault="0039789C">
            <w:r>
              <w:t>Generische Modellbildung</w:t>
            </w:r>
          </w:p>
        </w:tc>
        <w:tc>
          <w:tcPr>
            <w:tcW w:w="0" w:type="auto"/>
            <w:vAlign w:val="center"/>
            <w:hideMark/>
          </w:tcPr>
          <w:p w14:paraId="7F5AF6A9" w14:textId="77777777" w:rsidR="0039789C" w:rsidRDefault="0039789C">
            <w:r>
              <w:t>Modellbildung unabhängig von Gegenstand durch formale Strukturprinzipien</w:t>
            </w:r>
          </w:p>
        </w:tc>
        <w:tc>
          <w:tcPr>
            <w:tcW w:w="0" w:type="auto"/>
            <w:vAlign w:val="center"/>
            <w:hideMark/>
          </w:tcPr>
          <w:p w14:paraId="5FB5BF15" w14:textId="77777777" w:rsidR="0039789C" w:rsidRDefault="0039789C">
            <w:r>
              <w:t>Einheitliches Framework für verschiedenste Domänen</w:t>
            </w:r>
          </w:p>
        </w:tc>
        <w:tc>
          <w:tcPr>
            <w:tcW w:w="0" w:type="auto"/>
            <w:vAlign w:val="center"/>
            <w:hideMark/>
          </w:tcPr>
          <w:p w14:paraId="5A70750D" w14:textId="77777777" w:rsidR="0039789C" w:rsidRDefault="0039789C">
            <w:r>
              <w:t>Physik, Biologie, Technik, Kommunikation</w:t>
            </w:r>
          </w:p>
        </w:tc>
      </w:tr>
      <w:tr w:rsidR="0039789C" w14:paraId="55404C45" w14:textId="77777777" w:rsidTr="0039789C">
        <w:trPr>
          <w:tblCellSpacing w:w="15" w:type="dxa"/>
        </w:trPr>
        <w:tc>
          <w:tcPr>
            <w:tcW w:w="0" w:type="auto"/>
            <w:vAlign w:val="center"/>
            <w:hideMark/>
          </w:tcPr>
          <w:p w14:paraId="748309F9" w14:textId="77777777" w:rsidR="0039789C" w:rsidRDefault="0039789C">
            <w:r>
              <w:t>Systemische Innovation</w:t>
            </w:r>
          </w:p>
        </w:tc>
        <w:tc>
          <w:tcPr>
            <w:tcW w:w="0" w:type="auto"/>
            <w:vAlign w:val="center"/>
            <w:hideMark/>
          </w:tcPr>
          <w:p w14:paraId="62229A3A" w14:textId="77777777" w:rsidR="0039789C" w:rsidRDefault="0039789C">
            <w:r>
              <w:t>Systeme als dynamische Zuweisungsgefüge, nicht als festgelegte Elemente</w:t>
            </w:r>
          </w:p>
        </w:tc>
        <w:tc>
          <w:tcPr>
            <w:tcW w:w="0" w:type="auto"/>
            <w:vAlign w:val="center"/>
            <w:hideMark/>
          </w:tcPr>
          <w:p w14:paraId="64839E2D" w14:textId="77777777" w:rsidR="0039789C" w:rsidRDefault="0039789C">
            <w:r>
              <w:t>Systemgrenzen entstehen durch Operation, nicht durch Substanz</w:t>
            </w:r>
          </w:p>
        </w:tc>
        <w:tc>
          <w:tcPr>
            <w:tcW w:w="0" w:type="auto"/>
            <w:vAlign w:val="center"/>
            <w:hideMark/>
          </w:tcPr>
          <w:p w14:paraId="28580EE6" w14:textId="77777777" w:rsidR="0039789C" w:rsidRDefault="0039789C">
            <w:r>
              <w:t>Systemanalyse, soziale Organisationen</w:t>
            </w:r>
          </w:p>
        </w:tc>
      </w:tr>
      <w:tr w:rsidR="0039789C" w14:paraId="20FAFD1F" w14:textId="77777777" w:rsidTr="0039789C">
        <w:trPr>
          <w:tblCellSpacing w:w="15" w:type="dxa"/>
        </w:trPr>
        <w:tc>
          <w:tcPr>
            <w:tcW w:w="0" w:type="auto"/>
            <w:vAlign w:val="center"/>
            <w:hideMark/>
          </w:tcPr>
          <w:p w14:paraId="1EBACE2E" w14:textId="77777777" w:rsidR="0039789C" w:rsidRDefault="0039789C">
            <w:r>
              <w:t>Gemeinschaftsinnovation</w:t>
            </w:r>
          </w:p>
        </w:tc>
        <w:tc>
          <w:tcPr>
            <w:tcW w:w="0" w:type="auto"/>
            <w:vAlign w:val="center"/>
            <w:hideMark/>
          </w:tcPr>
          <w:p w14:paraId="7F848FC0" w14:textId="77777777" w:rsidR="0039789C" w:rsidRDefault="0039789C">
            <w:r>
              <w:t>Kollektive Wissensräume als funktionale Felder (</w:t>
            </w:r>
            <w:proofErr w:type="spellStart"/>
            <w:r>
              <w:t>CoPs</w:t>
            </w:r>
            <w:proofErr w:type="spellEnd"/>
            <w:r>
              <w:t>, Netzwerke)</w:t>
            </w:r>
          </w:p>
        </w:tc>
        <w:tc>
          <w:tcPr>
            <w:tcW w:w="0" w:type="auto"/>
            <w:vAlign w:val="center"/>
            <w:hideMark/>
          </w:tcPr>
          <w:p w14:paraId="1B8BBF2D" w14:textId="77777777" w:rsidR="0039789C" w:rsidRDefault="0039789C">
            <w:r>
              <w:t>Kooperation wird als Emergenz von Zuweisungsstrukturen modellierbar</w:t>
            </w:r>
          </w:p>
        </w:tc>
        <w:tc>
          <w:tcPr>
            <w:tcW w:w="0" w:type="auto"/>
            <w:vAlign w:val="center"/>
            <w:hideMark/>
          </w:tcPr>
          <w:p w14:paraId="5B31CFBA" w14:textId="77777777" w:rsidR="0039789C" w:rsidRDefault="0039789C">
            <w:r>
              <w:t>Lernnetzwerke, Projektgruppen, Forschungsgemeinschaften</w:t>
            </w:r>
          </w:p>
        </w:tc>
      </w:tr>
      <w:tr w:rsidR="0039789C" w14:paraId="14BB1639" w14:textId="77777777" w:rsidTr="0039789C">
        <w:trPr>
          <w:tblCellSpacing w:w="15" w:type="dxa"/>
        </w:trPr>
        <w:tc>
          <w:tcPr>
            <w:tcW w:w="0" w:type="auto"/>
            <w:vAlign w:val="center"/>
            <w:hideMark/>
          </w:tcPr>
          <w:p w14:paraId="57CD4CFA" w14:textId="77777777" w:rsidR="0039789C" w:rsidRDefault="0039789C">
            <w:r>
              <w:t>Architektonische Felder</w:t>
            </w:r>
          </w:p>
        </w:tc>
        <w:tc>
          <w:tcPr>
            <w:tcW w:w="0" w:type="auto"/>
            <w:vAlign w:val="center"/>
            <w:hideMark/>
          </w:tcPr>
          <w:p w14:paraId="7A0EEDEE" w14:textId="77777777" w:rsidR="0039789C" w:rsidRDefault="0039789C">
            <w:r>
              <w:t>Räume erzeugen Bedeutung durch strukturelle Differenz, nicht durch Ausstattung</w:t>
            </w:r>
          </w:p>
        </w:tc>
        <w:tc>
          <w:tcPr>
            <w:tcW w:w="0" w:type="auto"/>
            <w:vAlign w:val="center"/>
            <w:hideMark/>
          </w:tcPr>
          <w:p w14:paraId="29CABEDF" w14:textId="77777777" w:rsidR="0039789C" w:rsidRDefault="0039789C">
            <w:r>
              <w:t>Gestaltung physischer Räume wird zu epistemischem Design</w:t>
            </w:r>
          </w:p>
        </w:tc>
        <w:tc>
          <w:tcPr>
            <w:tcW w:w="0" w:type="auto"/>
            <w:vAlign w:val="center"/>
            <w:hideMark/>
          </w:tcPr>
          <w:p w14:paraId="62092AC8" w14:textId="77777777" w:rsidR="0039789C" w:rsidRDefault="0039789C">
            <w:r>
              <w:t xml:space="preserve">Schularchitektur, </w:t>
            </w:r>
            <w:proofErr w:type="spellStart"/>
            <w:r>
              <w:t>Makerspaces</w:t>
            </w:r>
            <w:proofErr w:type="spellEnd"/>
            <w:r>
              <w:t>, Lernateliers</w:t>
            </w:r>
          </w:p>
        </w:tc>
      </w:tr>
      <w:tr w:rsidR="0039789C" w14:paraId="201D356E" w14:textId="77777777" w:rsidTr="0039789C">
        <w:trPr>
          <w:tblCellSpacing w:w="15" w:type="dxa"/>
        </w:trPr>
        <w:tc>
          <w:tcPr>
            <w:tcW w:w="0" w:type="auto"/>
            <w:vAlign w:val="center"/>
            <w:hideMark/>
          </w:tcPr>
          <w:p w14:paraId="68503AD5" w14:textId="77777777" w:rsidR="0039789C" w:rsidRDefault="0039789C">
            <w:r>
              <w:t>Digitale Zuweisungsräume</w:t>
            </w:r>
          </w:p>
        </w:tc>
        <w:tc>
          <w:tcPr>
            <w:tcW w:w="0" w:type="auto"/>
            <w:vAlign w:val="center"/>
            <w:hideMark/>
          </w:tcPr>
          <w:p w14:paraId="68EDEB12" w14:textId="77777777" w:rsidR="0039789C" w:rsidRDefault="0039789C">
            <w:r>
              <w:t>Digitalität als reines Feld funktionaler Adressierung und Interaktion</w:t>
            </w:r>
          </w:p>
        </w:tc>
        <w:tc>
          <w:tcPr>
            <w:tcW w:w="0" w:type="auto"/>
            <w:vAlign w:val="center"/>
            <w:hideMark/>
          </w:tcPr>
          <w:p w14:paraId="0A600EBF" w14:textId="77777777" w:rsidR="0039789C" w:rsidRDefault="0039789C">
            <w:r>
              <w:t xml:space="preserve">Modellierung digitaler Lern- und Handlungsräume als dynamische </w:t>
            </w:r>
            <w:proofErr w:type="spellStart"/>
            <w:r>
              <w:t>Emergenzsysteme</w:t>
            </w:r>
            <w:proofErr w:type="spellEnd"/>
          </w:p>
        </w:tc>
        <w:tc>
          <w:tcPr>
            <w:tcW w:w="0" w:type="auto"/>
            <w:vAlign w:val="center"/>
            <w:hideMark/>
          </w:tcPr>
          <w:p w14:paraId="22227CDF" w14:textId="77777777" w:rsidR="0039789C" w:rsidRDefault="0039789C">
            <w:r>
              <w:t>Learning Analytics, E-Learning-Design</w:t>
            </w:r>
          </w:p>
        </w:tc>
      </w:tr>
      <w:tr w:rsidR="0039789C" w14:paraId="6BD83F11" w14:textId="77777777" w:rsidTr="0039789C">
        <w:trPr>
          <w:tblCellSpacing w:w="15" w:type="dxa"/>
        </w:trPr>
        <w:tc>
          <w:tcPr>
            <w:tcW w:w="0" w:type="auto"/>
            <w:vAlign w:val="center"/>
            <w:hideMark/>
          </w:tcPr>
          <w:p w14:paraId="1B977C34" w14:textId="77777777" w:rsidR="0039789C" w:rsidRDefault="0039789C">
            <w:r>
              <w:t>Hybride kreative Felder</w:t>
            </w:r>
          </w:p>
        </w:tc>
        <w:tc>
          <w:tcPr>
            <w:tcW w:w="0" w:type="auto"/>
            <w:vAlign w:val="center"/>
            <w:hideMark/>
          </w:tcPr>
          <w:p w14:paraId="1D84960F" w14:textId="77777777" w:rsidR="0039789C" w:rsidRDefault="0039789C">
            <w:r>
              <w:t>Emergenz durch Verschränkung heterogener Zuweisungslogiken</w:t>
            </w:r>
          </w:p>
        </w:tc>
        <w:tc>
          <w:tcPr>
            <w:tcW w:w="0" w:type="auto"/>
            <w:vAlign w:val="center"/>
            <w:hideMark/>
          </w:tcPr>
          <w:p w14:paraId="027D75A6" w14:textId="77777777" w:rsidR="0039789C" w:rsidRDefault="0039789C">
            <w:r>
              <w:t>Interdisziplinarität wird als strukturierte Kopplung von Funktionssystemen begreifbar</w:t>
            </w:r>
          </w:p>
        </w:tc>
        <w:tc>
          <w:tcPr>
            <w:tcW w:w="0" w:type="auto"/>
            <w:vAlign w:val="center"/>
            <w:hideMark/>
          </w:tcPr>
          <w:p w14:paraId="22171DA0" w14:textId="77777777" w:rsidR="0039789C" w:rsidRDefault="0039789C">
            <w:r>
              <w:t xml:space="preserve">STEAM, Design </w:t>
            </w:r>
            <w:proofErr w:type="spellStart"/>
            <w:r>
              <w:t>Thinking</w:t>
            </w:r>
            <w:proofErr w:type="spellEnd"/>
            <w:r>
              <w:t>, Kreativprozesse</w:t>
            </w:r>
          </w:p>
        </w:tc>
      </w:tr>
    </w:tbl>
    <w:p w14:paraId="61F86C01" w14:textId="77777777" w:rsidR="0039789C" w:rsidRDefault="0039789C" w:rsidP="0039789C">
      <w:pPr>
        <w:pStyle w:val="berschrift4"/>
      </w:pPr>
      <w:r>
        <w:t>6.11.2 Rückbindung und Perspektive</w:t>
      </w:r>
    </w:p>
    <w:p w14:paraId="125453E2" w14:textId="4176287A" w:rsidR="0039789C" w:rsidRDefault="0039789C" w:rsidP="0039789C">
      <w:pPr>
        <w:pStyle w:val="StandardWeb"/>
      </w:pPr>
      <w:r>
        <w:t xml:space="preserve">Die in Kapitel 6 entwickelten Innovationsdimensionen sind nicht unabhängig voneinander, sondern bilden ein </w:t>
      </w:r>
      <w:r>
        <w:rPr>
          <w:rStyle w:val="Fett"/>
        </w:rPr>
        <w:t>kohärentes funktionales Bezugssystem</w:t>
      </w:r>
      <w:r>
        <w:t xml:space="preserve">. Jeder Aspekt stärkt die Grundidee des </w:t>
      </w:r>
      <w:r w:rsidR="007D659A">
        <w:t>FRZK</w:t>
      </w:r>
      <w:r>
        <w:t xml:space="preserve">, dass Welt, Wissen, Subjekt und Modell nicht gegeben, sondern </w:t>
      </w:r>
      <w:r>
        <w:rPr>
          <w:rStyle w:val="Fett"/>
        </w:rPr>
        <w:t>durch strukturierte Zuweisungen erzeugt</w:t>
      </w:r>
      <w:r>
        <w:t xml:space="preserve"> werden. Kapitel 3 hat die theoretische Grundlage dafür gelegt; Kapitel 6 zeigt, dass diese Struktur nicht nur theoretisch, sondern </w:t>
      </w:r>
      <w:r>
        <w:rPr>
          <w:rStyle w:val="Fett"/>
        </w:rPr>
        <w:t>methodisch und didaktisch operationalisierbar</w:t>
      </w:r>
      <w:r>
        <w:t xml:space="preserve"> ist.</w:t>
      </w:r>
    </w:p>
    <w:p w14:paraId="4822BFB2" w14:textId="0A99BCA7" w:rsidR="0039789C" w:rsidRDefault="0039789C" w:rsidP="0039789C">
      <w:pPr>
        <w:pStyle w:val="StandardWeb"/>
      </w:pPr>
      <w:r>
        <w:t xml:space="preserve">Mit der vorliegenden Matrix ist es möglich, zukünftige Anwendungen des </w:t>
      </w:r>
      <w:r w:rsidR="007D659A">
        <w:t>FRZK</w:t>
      </w:r>
      <w:r>
        <w:t xml:space="preserve"> gezielt zu planen: sei es in der Modellbildung, in der Entwicklung innovativer Lernformate, in der Gestaltung von Architekturen oder in der Konstruktion reflexiver Forschungssysteme.</w:t>
      </w:r>
    </w:p>
    <w:p w14:paraId="5A89340D" w14:textId="77777777" w:rsidR="0039789C" w:rsidRDefault="0039789C" w:rsidP="0039789C">
      <w:pPr>
        <w:pStyle w:val="berschrift3"/>
        <w:rPr>
          <w:sz w:val="27"/>
          <w:szCs w:val="27"/>
        </w:rPr>
      </w:pPr>
      <w:r>
        <w:rPr>
          <w:rFonts w:ascii="Segoe UI Emoji" w:hAnsi="Segoe UI Emoji" w:cs="Segoe UI Emoji"/>
        </w:rPr>
        <w:t>✅</w:t>
      </w:r>
      <w:r>
        <w:t xml:space="preserve"> Vorschlag: Abbildungen zu Kapitel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1954"/>
        <w:gridCol w:w="2556"/>
        <w:gridCol w:w="2271"/>
      </w:tblGrid>
      <w:tr w:rsidR="0039789C" w14:paraId="7E9EDE66" w14:textId="77777777" w:rsidTr="0039789C">
        <w:trPr>
          <w:tblHeader/>
          <w:tblCellSpacing w:w="15" w:type="dxa"/>
        </w:trPr>
        <w:tc>
          <w:tcPr>
            <w:tcW w:w="0" w:type="auto"/>
            <w:vAlign w:val="center"/>
            <w:hideMark/>
          </w:tcPr>
          <w:p w14:paraId="5C9EB50E" w14:textId="77777777" w:rsidR="0039789C" w:rsidRDefault="0039789C">
            <w:pPr>
              <w:jc w:val="center"/>
              <w:rPr>
                <w:b/>
                <w:bCs/>
              </w:rPr>
            </w:pPr>
            <w:r>
              <w:rPr>
                <w:rStyle w:val="Fett"/>
              </w:rPr>
              <w:t>Textstelle</w:t>
            </w:r>
          </w:p>
        </w:tc>
        <w:tc>
          <w:tcPr>
            <w:tcW w:w="0" w:type="auto"/>
            <w:vAlign w:val="center"/>
            <w:hideMark/>
          </w:tcPr>
          <w:p w14:paraId="4F94CE39" w14:textId="77777777" w:rsidR="0039789C" w:rsidRDefault="0039789C">
            <w:pPr>
              <w:jc w:val="center"/>
              <w:rPr>
                <w:b/>
                <w:bCs/>
              </w:rPr>
            </w:pPr>
            <w:r>
              <w:rPr>
                <w:rStyle w:val="Fett"/>
              </w:rPr>
              <w:t>Bezeichnung der Abbildung</w:t>
            </w:r>
          </w:p>
        </w:tc>
        <w:tc>
          <w:tcPr>
            <w:tcW w:w="0" w:type="auto"/>
            <w:vAlign w:val="center"/>
            <w:hideMark/>
          </w:tcPr>
          <w:p w14:paraId="1AB84F61" w14:textId="77777777" w:rsidR="0039789C" w:rsidRDefault="0039789C">
            <w:pPr>
              <w:jc w:val="center"/>
              <w:rPr>
                <w:b/>
                <w:bCs/>
              </w:rPr>
            </w:pPr>
            <w:r>
              <w:rPr>
                <w:rStyle w:val="Fett"/>
              </w:rPr>
              <w:t>Kurzbeschreibung</w:t>
            </w:r>
          </w:p>
        </w:tc>
        <w:tc>
          <w:tcPr>
            <w:tcW w:w="0" w:type="auto"/>
            <w:vAlign w:val="center"/>
            <w:hideMark/>
          </w:tcPr>
          <w:p w14:paraId="2BC9FA95" w14:textId="77777777" w:rsidR="0039789C" w:rsidRDefault="0039789C">
            <w:pPr>
              <w:jc w:val="center"/>
              <w:rPr>
                <w:b/>
                <w:bCs/>
              </w:rPr>
            </w:pPr>
            <w:r>
              <w:rPr>
                <w:rStyle w:val="Fett"/>
              </w:rPr>
              <w:t>Hinweise für grafische Erstellung</w:t>
            </w:r>
          </w:p>
        </w:tc>
      </w:tr>
      <w:tr w:rsidR="0039789C" w14:paraId="20C257A9" w14:textId="77777777" w:rsidTr="0039789C">
        <w:trPr>
          <w:tblCellSpacing w:w="15" w:type="dxa"/>
        </w:trPr>
        <w:tc>
          <w:tcPr>
            <w:tcW w:w="0" w:type="auto"/>
            <w:vAlign w:val="center"/>
            <w:hideMark/>
          </w:tcPr>
          <w:p w14:paraId="2FC6D8B4" w14:textId="77777777" w:rsidR="0039789C" w:rsidRDefault="0039789C">
            <w:r>
              <w:t>6.2.1 Raum, Zeit, Objekte als Zuweisung</w:t>
            </w:r>
          </w:p>
        </w:tc>
        <w:tc>
          <w:tcPr>
            <w:tcW w:w="0" w:type="auto"/>
            <w:vAlign w:val="center"/>
            <w:hideMark/>
          </w:tcPr>
          <w:p w14:paraId="7A744FB9" w14:textId="27AA0DB4" w:rsidR="0039789C" w:rsidRDefault="0039789C">
            <w:r>
              <w:t xml:space="preserve">Abb. 1: Emergenz von Raum, Zeit und Objekt im </w:t>
            </w:r>
            <w:r w:rsidR="007D659A">
              <w:t>FRZK</w:t>
            </w:r>
          </w:p>
        </w:tc>
        <w:tc>
          <w:tcPr>
            <w:tcW w:w="0" w:type="auto"/>
            <w:vAlign w:val="center"/>
            <w:hideMark/>
          </w:tcPr>
          <w:p w14:paraId="5B236058" w14:textId="77777777" w:rsidR="0039789C" w:rsidRDefault="0039789C">
            <w:r>
              <w:t>Schematische Darstellung, wie durch Zuweisung Strukturdimensionen (Raum, Zeit, Objekt) emergieren</w:t>
            </w:r>
          </w:p>
        </w:tc>
        <w:tc>
          <w:tcPr>
            <w:tcW w:w="0" w:type="auto"/>
            <w:vAlign w:val="center"/>
            <w:hideMark/>
          </w:tcPr>
          <w:p w14:paraId="7733FEC9" w14:textId="77777777" w:rsidR="0039789C" w:rsidRDefault="0039789C">
            <w:r>
              <w:t>Drei Schichten: strukturloses Feld → Differenzzuweisung → koordinierter Funktionsraum mit „Objekt“</w:t>
            </w:r>
          </w:p>
        </w:tc>
      </w:tr>
      <w:tr w:rsidR="0039789C" w14:paraId="165BE773" w14:textId="77777777" w:rsidTr="0039789C">
        <w:trPr>
          <w:tblCellSpacing w:w="15" w:type="dxa"/>
        </w:trPr>
        <w:tc>
          <w:tcPr>
            <w:tcW w:w="0" w:type="auto"/>
            <w:vAlign w:val="center"/>
            <w:hideMark/>
          </w:tcPr>
          <w:p w14:paraId="5AA9C4EF" w14:textId="77777777" w:rsidR="0039789C" w:rsidRDefault="0039789C">
            <w:r>
              <w:t>6.3.3 Didaktische Konsequenzen</w:t>
            </w:r>
          </w:p>
        </w:tc>
        <w:tc>
          <w:tcPr>
            <w:tcW w:w="0" w:type="auto"/>
            <w:vAlign w:val="center"/>
            <w:hideMark/>
          </w:tcPr>
          <w:p w14:paraId="3DF4FD29" w14:textId="77777777" w:rsidR="0039789C" w:rsidRDefault="0039789C">
            <w:r>
              <w:t>Abb. 2: Vom Inhalt zur Struktur – Didaktische Transformation</w:t>
            </w:r>
          </w:p>
        </w:tc>
        <w:tc>
          <w:tcPr>
            <w:tcW w:w="0" w:type="auto"/>
            <w:vAlign w:val="center"/>
            <w:hideMark/>
          </w:tcPr>
          <w:p w14:paraId="7AA0DCCA" w14:textId="4005FE45" w:rsidR="0039789C" w:rsidRDefault="0039789C">
            <w:r>
              <w:t xml:space="preserve">Vergleich klassischer Inhaltsdidaktik mit </w:t>
            </w:r>
            <w:r w:rsidR="007D659A">
              <w:t>FRZK</w:t>
            </w:r>
            <w:r>
              <w:t>-basierter Strukturdidaktik</w:t>
            </w:r>
          </w:p>
        </w:tc>
        <w:tc>
          <w:tcPr>
            <w:tcW w:w="0" w:type="auto"/>
            <w:vAlign w:val="center"/>
            <w:hideMark/>
          </w:tcPr>
          <w:p w14:paraId="08433BDB" w14:textId="77777777" w:rsidR="0039789C" w:rsidRDefault="0039789C">
            <w:r>
              <w:t>Zwei Säulen: links „Inhalt → Wissen“, rechts „Struktur → Differenzbildung“, mit Pfeilen und Beispielen</w:t>
            </w:r>
          </w:p>
        </w:tc>
      </w:tr>
      <w:tr w:rsidR="0039789C" w14:paraId="3BB5950F" w14:textId="77777777" w:rsidTr="0039789C">
        <w:trPr>
          <w:tblCellSpacing w:w="15" w:type="dxa"/>
        </w:trPr>
        <w:tc>
          <w:tcPr>
            <w:tcW w:w="0" w:type="auto"/>
            <w:vAlign w:val="center"/>
            <w:hideMark/>
          </w:tcPr>
          <w:p w14:paraId="5ECAE4AB" w14:textId="77777777" w:rsidR="0039789C" w:rsidRDefault="0039789C">
            <w:r>
              <w:t>6.4.1 Modellbildung aus MU</w:t>
            </w:r>
          </w:p>
        </w:tc>
        <w:tc>
          <w:tcPr>
            <w:tcW w:w="0" w:type="auto"/>
            <w:vAlign w:val="center"/>
            <w:hideMark/>
          </w:tcPr>
          <w:p w14:paraId="28B34F50" w14:textId="77777777" w:rsidR="0039789C" w:rsidRDefault="0039789C">
            <w:r>
              <w:t>Abb. 3: Iterative Modellbildung aus dem strukturlosen Zustand</w:t>
            </w:r>
          </w:p>
        </w:tc>
        <w:tc>
          <w:tcPr>
            <w:tcW w:w="0" w:type="auto"/>
            <w:vAlign w:val="center"/>
            <w:hideMark/>
          </w:tcPr>
          <w:p w14:paraId="01F665B7" w14:textId="77777777" w:rsidR="0039789C" w:rsidRDefault="0039789C">
            <w:r>
              <w:t>Iterativer Aufbau von Struktur durch wiederholte Zuweisung auf MU (Ausgangsmenge)</w:t>
            </w:r>
          </w:p>
        </w:tc>
        <w:tc>
          <w:tcPr>
            <w:tcW w:w="0" w:type="auto"/>
            <w:vAlign w:val="center"/>
            <w:hideMark/>
          </w:tcPr>
          <w:p w14:paraId="64A8D30D" w14:textId="77777777" w:rsidR="0039789C" w:rsidRDefault="0039789C">
            <w:r>
              <w:t>Sequenzbild: MU → erste Zuweisung → emergente Struktur → funktionales System (4 Stufen, kreisförmig)</w:t>
            </w:r>
          </w:p>
        </w:tc>
      </w:tr>
      <w:tr w:rsidR="0039789C" w14:paraId="5E86CAC7" w14:textId="77777777" w:rsidTr="0039789C">
        <w:trPr>
          <w:tblCellSpacing w:w="15" w:type="dxa"/>
        </w:trPr>
        <w:tc>
          <w:tcPr>
            <w:tcW w:w="0" w:type="auto"/>
            <w:vAlign w:val="center"/>
            <w:hideMark/>
          </w:tcPr>
          <w:p w14:paraId="40242A2E" w14:textId="77777777" w:rsidR="0039789C" w:rsidRDefault="0039789C">
            <w:r>
              <w:t>6.5.2 Bedeutung durch Struktur</w:t>
            </w:r>
          </w:p>
        </w:tc>
        <w:tc>
          <w:tcPr>
            <w:tcW w:w="0" w:type="auto"/>
            <w:vAlign w:val="center"/>
            <w:hideMark/>
          </w:tcPr>
          <w:p w14:paraId="4672F65C" w14:textId="77777777" w:rsidR="0039789C" w:rsidRDefault="0039789C">
            <w:r>
              <w:t>Abb. 4: Bedeutung als Funktion relationaler Einbettung</w:t>
            </w:r>
          </w:p>
        </w:tc>
        <w:tc>
          <w:tcPr>
            <w:tcW w:w="0" w:type="auto"/>
            <w:vAlign w:val="center"/>
            <w:hideMark/>
          </w:tcPr>
          <w:p w14:paraId="4362047C" w14:textId="77777777" w:rsidR="0039789C" w:rsidRDefault="0039789C">
            <w:r>
              <w:t>Netzwerkgraph: Objekt erhält Bedeutung durch seine Position in einem relationalen Feld</w:t>
            </w:r>
          </w:p>
        </w:tc>
        <w:tc>
          <w:tcPr>
            <w:tcW w:w="0" w:type="auto"/>
            <w:vAlign w:val="center"/>
            <w:hideMark/>
          </w:tcPr>
          <w:p w14:paraId="2252D374" w14:textId="77777777" w:rsidR="0039789C" w:rsidRDefault="0039789C">
            <w:r>
              <w:t>Zentraler Knoten + mehrere Beziehungen mit semantischer Annotation (nicht durch Eigenschaften definiert)</w:t>
            </w:r>
          </w:p>
        </w:tc>
      </w:tr>
      <w:tr w:rsidR="0039789C" w14:paraId="740CD460" w14:textId="77777777" w:rsidTr="0039789C">
        <w:trPr>
          <w:tblCellSpacing w:w="15" w:type="dxa"/>
        </w:trPr>
        <w:tc>
          <w:tcPr>
            <w:tcW w:w="0" w:type="auto"/>
            <w:vAlign w:val="center"/>
            <w:hideMark/>
          </w:tcPr>
          <w:p w14:paraId="741E12A0" w14:textId="77777777" w:rsidR="0039789C" w:rsidRDefault="0039789C">
            <w:r>
              <w:t>6.6.1 Didaktische Felder</w:t>
            </w:r>
          </w:p>
        </w:tc>
        <w:tc>
          <w:tcPr>
            <w:tcW w:w="0" w:type="auto"/>
            <w:vAlign w:val="center"/>
            <w:hideMark/>
          </w:tcPr>
          <w:p w14:paraId="40BD7844" w14:textId="77777777" w:rsidR="0039789C" w:rsidRDefault="0039789C">
            <w:r>
              <w:t>Abb. 5: Didaktisches Feld als Zuweisungsraum</w:t>
            </w:r>
          </w:p>
        </w:tc>
        <w:tc>
          <w:tcPr>
            <w:tcW w:w="0" w:type="auto"/>
            <w:vAlign w:val="center"/>
            <w:hideMark/>
          </w:tcPr>
          <w:p w14:paraId="3FBB9129" w14:textId="77777777" w:rsidR="0039789C" w:rsidRDefault="0039789C">
            <w:r>
              <w:t>Abstraktes „Lernfeld“ mit Raum-, Zeit- und Funktionsdimensionen; Bewegung des Lernsubjekts im Feld</w:t>
            </w:r>
          </w:p>
        </w:tc>
        <w:tc>
          <w:tcPr>
            <w:tcW w:w="0" w:type="auto"/>
            <w:vAlign w:val="center"/>
            <w:hideMark/>
          </w:tcPr>
          <w:p w14:paraId="19BC9E2D" w14:textId="77777777" w:rsidR="0039789C" w:rsidRDefault="0039789C">
            <w:r>
              <w:t>3D-Gitter mit Pfad eines Lernenden + Zuweisungssymbole (Frage, Rolle, Rückmeldung, Irritation etc.)</w:t>
            </w:r>
          </w:p>
        </w:tc>
      </w:tr>
      <w:tr w:rsidR="0039789C" w14:paraId="7DC8B1A5" w14:textId="77777777" w:rsidTr="0039789C">
        <w:trPr>
          <w:tblCellSpacing w:w="15" w:type="dxa"/>
        </w:trPr>
        <w:tc>
          <w:tcPr>
            <w:tcW w:w="0" w:type="auto"/>
            <w:vAlign w:val="center"/>
            <w:hideMark/>
          </w:tcPr>
          <w:p w14:paraId="2B3C5146" w14:textId="77777777" w:rsidR="0039789C" w:rsidRDefault="0039789C">
            <w:r>
              <w:t>6.7.2 Innovationsnetzwerke</w:t>
            </w:r>
          </w:p>
        </w:tc>
        <w:tc>
          <w:tcPr>
            <w:tcW w:w="0" w:type="auto"/>
            <w:vAlign w:val="center"/>
            <w:hideMark/>
          </w:tcPr>
          <w:p w14:paraId="4406C192" w14:textId="77777777" w:rsidR="0039789C" w:rsidRDefault="0039789C">
            <w:r>
              <w:t>Abb. 6: Epistemische Emergenz in Netzwerken</w:t>
            </w:r>
          </w:p>
        </w:tc>
        <w:tc>
          <w:tcPr>
            <w:tcW w:w="0" w:type="auto"/>
            <w:vAlign w:val="center"/>
            <w:hideMark/>
          </w:tcPr>
          <w:p w14:paraId="523CE165" w14:textId="77777777" w:rsidR="0039789C" w:rsidRDefault="0039789C">
            <w:r>
              <w:t>Innovationsnetzwerk als Feld funktionaler Differenzen zwischen Akteuren</w:t>
            </w:r>
          </w:p>
        </w:tc>
        <w:tc>
          <w:tcPr>
            <w:tcW w:w="0" w:type="auto"/>
            <w:vAlign w:val="center"/>
            <w:hideMark/>
          </w:tcPr>
          <w:p w14:paraId="049FB3FD" w14:textId="77777777" w:rsidR="0039789C" w:rsidRDefault="0039789C">
            <w:r>
              <w:t>Netzdiagramm mit Knoten (Rollen) + gerichteten Pfeilen (Zuweisungen), Highlight eines emergenten Musters</w:t>
            </w:r>
          </w:p>
        </w:tc>
      </w:tr>
      <w:tr w:rsidR="0039789C" w14:paraId="191F6B61" w14:textId="77777777" w:rsidTr="0039789C">
        <w:trPr>
          <w:tblCellSpacing w:w="15" w:type="dxa"/>
        </w:trPr>
        <w:tc>
          <w:tcPr>
            <w:tcW w:w="0" w:type="auto"/>
            <w:vAlign w:val="center"/>
            <w:hideMark/>
          </w:tcPr>
          <w:p w14:paraId="175404C0" w14:textId="77777777" w:rsidR="0039789C" w:rsidRDefault="0039789C">
            <w:r>
              <w:t>6.8.2 Raumstrukturen</w:t>
            </w:r>
          </w:p>
        </w:tc>
        <w:tc>
          <w:tcPr>
            <w:tcW w:w="0" w:type="auto"/>
            <w:vAlign w:val="center"/>
            <w:hideMark/>
          </w:tcPr>
          <w:p w14:paraId="0D46EC54" w14:textId="77777777" w:rsidR="0039789C" w:rsidRDefault="0039789C">
            <w:r>
              <w:t>Abb. 7: Architektur als epistemisches Feld</w:t>
            </w:r>
          </w:p>
        </w:tc>
        <w:tc>
          <w:tcPr>
            <w:tcW w:w="0" w:type="auto"/>
            <w:vAlign w:val="center"/>
            <w:hideMark/>
          </w:tcPr>
          <w:p w14:paraId="74E51D4B" w14:textId="77777777" w:rsidR="0039789C" w:rsidRDefault="0039789C">
            <w:r>
              <w:t>Lernraum mit Übergangszonen (offen–geschlossen, analog–digital, Zentrum–Peripherie)</w:t>
            </w:r>
          </w:p>
        </w:tc>
        <w:tc>
          <w:tcPr>
            <w:tcW w:w="0" w:type="auto"/>
            <w:vAlign w:val="center"/>
            <w:hideMark/>
          </w:tcPr>
          <w:p w14:paraId="14A1AABA" w14:textId="77777777" w:rsidR="0039789C" w:rsidRDefault="0039789C">
            <w:r>
              <w:t>Topologische Karte eines Lernraums mit semantischen Zonen + Übergängen, gern mit Farbcodierung</w:t>
            </w:r>
          </w:p>
        </w:tc>
      </w:tr>
      <w:tr w:rsidR="0039789C" w14:paraId="4304633C" w14:textId="77777777" w:rsidTr="0039789C">
        <w:trPr>
          <w:tblCellSpacing w:w="15" w:type="dxa"/>
        </w:trPr>
        <w:tc>
          <w:tcPr>
            <w:tcW w:w="0" w:type="auto"/>
            <w:vAlign w:val="center"/>
            <w:hideMark/>
          </w:tcPr>
          <w:p w14:paraId="6567187D" w14:textId="77777777" w:rsidR="0039789C" w:rsidRDefault="0039789C">
            <w:r>
              <w:t>6.9.3 Hybride Felder</w:t>
            </w:r>
          </w:p>
        </w:tc>
        <w:tc>
          <w:tcPr>
            <w:tcW w:w="0" w:type="auto"/>
            <w:vAlign w:val="center"/>
            <w:hideMark/>
          </w:tcPr>
          <w:p w14:paraId="3F2372B7" w14:textId="77777777" w:rsidR="0039789C" w:rsidRDefault="0039789C">
            <w:r>
              <w:t>Abb. 8: Hybridstruktur digital-physischer Lernumgebungen</w:t>
            </w:r>
          </w:p>
        </w:tc>
        <w:tc>
          <w:tcPr>
            <w:tcW w:w="0" w:type="auto"/>
            <w:vAlign w:val="center"/>
            <w:hideMark/>
          </w:tcPr>
          <w:p w14:paraId="4DF4A142" w14:textId="77777777" w:rsidR="0039789C" w:rsidRDefault="0039789C">
            <w:r>
              <w:t>Überlappung analoger und digitaler Zuweisungsräume</w:t>
            </w:r>
          </w:p>
        </w:tc>
        <w:tc>
          <w:tcPr>
            <w:tcW w:w="0" w:type="auto"/>
            <w:vAlign w:val="center"/>
            <w:hideMark/>
          </w:tcPr>
          <w:p w14:paraId="3CDB4575" w14:textId="77777777" w:rsidR="0039789C" w:rsidRDefault="0039789C">
            <w:r>
              <w:t>Venn-Diagramm: analog/digital, Schnittzone hervorgehoben (mit Sensorik, Interaktion etc.)</w:t>
            </w:r>
          </w:p>
        </w:tc>
      </w:tr>
      <w:tr w:rsidR="0039789C" w14:paraId="1D1D2C97" w14:textId="77777777" w:rsidTr="0039789C">
        <w:trPr>
          <w:tblCellSpacing w:w="15" w:type="dxa"/>
        </w:trPr>
        <w:tc>
          <w:tcPr>
            <w:tcW w:w="0" w:type="auto"/>
            <w:vAlign w:val="center"/>
            <w:hideMark/>
          </w:tcPr>
          <w:p w14:paraId="1A5FC473" w14:textId="77777777" w:rsidR="0039789C" w:rsidRDefault="0039789C">
            <w:r>
              <w:t xml:space="preserve">6.10.2 STEAM als </w:t>
            </w:r>
            <w:proofErr w:type="spellStart"/>
            <w:r>
              <w:t>Emergenzfeld</w:t>
            </w:r>
            <w:proofErr w:type="spellEnd"/>
          </w:p>
        </w:tc>
        <w:tc>
          <w:tcPr>
            <w:tcW w:w="0" w:type="auto"/>
            <w:vAlign w:val="center"/>
            <w:hideMark/>
          </w:tcPr>
          <w:p w14:paraId="67002679" w14:textId="77777777" w:rsidR="0039789C" w:rsidRDefault="0039789C">
            <w:r>
              <w:t>Abb. 9: STEAM als funktional verschaltetes Hybridfeld</w:t>
            </w:r>
          </w:p>
        </w:tc>
        <w:tc>
          <w:tcPr>
            <w:tcW w:w="0" w:type="auto"/>
            <w:vAlign w:val="center"/>
            <w:hideMark/>
          </w:tcPr>
          <w:p w14:paraId="0BD0E0BA" w14:textId="77777777" w:rsidR="0039789C" w:rsidRDefault="0039789C">
            <w:r>
              <w:t>Verbindung von Wissenschaft, Technik, Kunst, Mathematik über strukturierte Zuweisungen</w:t>
            </w:r>
          </w:p>
        </w:tc>
        <w:tc>
          <w:tcPr>
            <w:tcW w:w="0" w:type="auto"/>
            <w:vAlign w:val="center"/>
            <w:hideMark/>
          </w:tcPr>
          <w:p w14:paraId="674A0135" w14:textId="77777777" w:rsidR="0039789C" w:rsidRDefault="0039789C">
            <w:r>
              <w:t>Kreisdiagramm mit überlappenden Bereichen + Pfeile zur Emergenz neuer Strukturen (Farbspektrum)</w:t>
            </w:r>
          </w:p>
        </w:tc>
      </w:tr>
      <w:tr w:rsidR="0039789C" w14:paraId="0E88B9C8" w14:textId="77777777" w:rsidTr="0039789C">
        <w:trPr>
          <w:tblCellSpacing w:w="15" w:type="dxa"/>
        </w:trPr>
        <w:tc>
          <w:tcPr>
            <w:tcW w:w="0" w:type="auto"/>
            <w:vAlign w:val="center"/>
            <w:hideMark/>
          </w:tcPr>
          <w:p w14:paraId="03446AA3" w14:textId="77777777" w:rsidR="0039789C" w:rsidRDefault="0039789C">
            <w:r>
              <w:t>6.11.1 Zusammenfassung</w:t>
            </w:r>
          </w:p>
        </w:tc>
        <w:tc>
          <w:tcPr>
            <w:tcW w:w="0" w:type="auto"/>
            <w:vAlign w:val="center"/>
            <w:hideMark/>
          </w:tcPr>
          <w:p w14:paraId="72BB9128" w14:textId="13E89722" w:rsidR="0039789C" w:rsidRDefault="0039789C">
            <w:r>
              <w:t xml:space="preserve">Abb. 10: Innovationsmatrix des </w:t>
            </w:r>
            <w:r w:rsidR="007D659A">
              <w:t>FRZK</w:t>
            </w:r>
          </w:p>
        </w:tc>
        <w:tc>
          <w:tcPr>
            <w:tcW w:w="0" w:type="auto"/>
            <w:vAlign w:val="center"/>
            <w:hideMark/>
          </w:tcPr>
          <w:p w14:paraId="20BC903D" w14:textId="77777777" w:rsidR="0039789C" w:rsidRDefault="0039789C">
            <w:r>
              <w:t>Visualisierte Tabelle mit allen Innovationen (vereinfacht)</w:t>
            </w:r>
          </w:p>
        </w:tc>
        <w:tc>
          <w:tcPr>
            <w:tcW w:w="0" w:type="auto"/>
            <w:vAlign w:val="center"/>
            <w:hideMark/>
          </w:tcPr>
          <w:p w14:paraId="7CF64381" w14:textId="77777777" w:rsidR="0039789C" w:rsidRDefault="0039789C">
            <w:r>
              <w:t>Quadranten-Grafik: Achsen = Formalität / Emergenz; Felder mit Kurzbezeichnung der Innovationstypen</w:t>
            </w:r>
          </w:p>
        </w:tc>
      </w:tr>
    </w:tbl>
    <w:p w14:paraId="2E4BE255" w14:textId="77777777" w:rsidR="0039789C" w:rsidRDefault="008D0DC3" w:rsidP="0039789C">
      <w:r>
        <w:pict w14:anchorId="7ADF1082">
          <v:rect id="_x0000_i1047" style="width:0;height:1.5pt" o:hralign="center" o:hrstd="t" o:hr="t" fillcolor="#a0a0a0" stroked="f"/>
        </w:pict>
      </w:r>
    </w:p>
    <w:p w14:paraId="3036A4F5" w14:textId="77777777" w:rsidR="0039789C" w:rsidRDefault="0039789C" w:rsidP="0039789C">
      <w:pPr>
        <w:pStyle w:val="berschrift3"/>
      </w:pPr>
      <w:r>
        <w:t>Hinweise zur Umsetzung:</w:t>
      </w:r>
    </w:p>
    <w:p w14:paraId="3B6308D2" w14:textId="77777777" w:rsidR="0039789C" w:rsidRDefault="0039789C" w:rsidP="0039789C">
      <w:pPr>
        <w:pStyle w:val="StandardWeb"/>
        <w:numPr>
          <w:ilvl w:val="0"/>
          <w:numId w:val="5"/>
        </w:numPr>
      </w:pPr>
      <w:r>
        <w:rPr>
          <w:rStyle w:val="Fett"/>
        </w:rPr>
        <w:t>Grafikstil</w:t>
      </w:r>
      <w:r>
        <w:t>: Sachlich, reduziert, konzeptuell – z. B. mit Vektorlinien, semitransparenten Flächen, klaren Pfeilen.</w:t>
      </w:r>
    </w:p>
    <w:p w14:paraId="61563482" w14:textId="77777777" w:rsidR="0039789C" w:rsidRDefault="0039789C" w:rsidP="0039789C">
      <w:pPr>
        <w:pStyle w:val="StandardWeb"/>
        <w:numPr>
          <w:ilvl w:val="0"/>
          <w:numId w:val="5"/>
        </w:numPr>
      </w:pPr>
      <w:r>
        <w:rPr>
          <w:rStyle w:val="Fett"/>
        </w:rPr>
        <w:t>Schriftarten</w:t>
      </w:r>
      <w:r>
        <w:t>: Sans-</w:t>
      </w:r>
      <w:proofErr w:type="spellStart"/>
      <w:r>
        <w:t>serif</w:t>
      </w:r>
      <w:proofErr w:type="spellEnd"/>
      <w:r>
        <w:t xml:space="preserve"> (für Klarheit), konsistente Farbgebung für Zuweisung, Struktur, Emergenz etc.</w:t>
      </w:r>
    </w:p>
    <w:p w14:paraId="43293F5C" w14:textId="77777777" w:rsidR="0039789C" w:rsidRDefault="0039789C" w:rsidP="0039789C">
      <w:pPr>
        <w:pStyle w:val="StandardWeb"/>
        <w:numPr>
          <w:ilvl w:val="0"/>
          <w:numId w:val="5"/>
        </w:numPr>
      </w:pPr>
      <w:r>
        <w:rPr>
          <w:rStyle w:val="Fett"/>
        </w:rPr>
        <w:t>Platzierung</w:t>
      </w:r>
      <w:r>
        <w:t>: Grafiken sollten jeweils am Anfang oder Ende des zugehörigen Unterabschnitts erscheinen, mit erklärender Bildunterschrift.</w:t>
      </w:r>
    </w:p>
    <w:p w14:paraId="526FE1B8" w14:textId="77777777" w:rsidR="0039789C" w:rsidRDefault="0039789C" w:rsidP="0039789C">
      <w:pPr>
        <w:pStyle w:val="berschrift3"/>
        <w:rPr>
          <w:sz w:val="27"/>
          <w:szCs w:val="27"/>
        </w:rPr>
      </w:pPr>
      <w:r>
        <w:rPr>
          <w:rFonts w:ascii="Segoe UI Emoji" w:hAnsi="Segoe UI Emoji" w:cs="Segoe UI Emoji"/>
        </w:rPr>
        <w:t>✅</w:t>
      </w:r>
      <w:r>
        <w:t xml:space="preserve"> Tabelle: Notwendige Anhänge mit Textstelle (Anlagen 6.A–6.I)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2131"/>
        <w:gridCol w:w="2117"/>
        <w:gridCol w:w="2082"/>
        <w:gridCol w:w="1481"/>
      </w:tblGrid>
      <w:tr w:rsidR="0039789C" w14:paraId="543E5A8E" w14:textId="77777777" w:rsidTr="0039789C">
        <w:trPr>
          <w:tblHeader/>
          <w:tblCellSpacing w:w="15" w:type="dxa"/>
        </w:trPr>
        <w:tc>
          <w:tcPr>
            <w:tcW w:w="0" w:type="auto"/>
            <w:vAlign w:val="center"/>
            <w:hideMark/>
          </w:tcPr>
          <w:p w14:paraId="2933230E" w14:textId="77777777" w:rsidR="0039789C" w:rsidRDefault="0039789C">
            <w:pPr>
              <w:jc w:val="center"/>
              <w:rPr>
                <w:b/>
                <w:bCs/>
              </w:rPr>
            </w:pPr>
            <w:r>
              <w:rPr>
                <w:rStyle w:val="Fett"/>
              </w:rPr>
              <w:t>Bezeichnung</w:t>
            </w:r>
          </w:p>
        </w:tc>
        <w:tc>
          <w:tcPr>
            <w:tcW w:w="0" w:type="auto"/>
            <w:vAlign w:val="center"/>
            <w:hideMark/>
          </w:tcPr>
          <w:p w14:paraId="29D48BBB" w14:textId="77777777" w:rsidR="0039789C" w:rsidRDefault="0039789C">
            <w:pPr>
              <w:jc w:val="center"/>
              <w:rPr>
                <w:b/>
                <w:bCs/>
              </w:rPr>
            </w:pPr>
            <w:r>
              <w:rPr>
                <w:rStyle w:val="Fett"/>
              </w:rPr>
              <w:t>Titel</w:t>
            </w:r>
          </w:p>
        </w:tc>
        <w:tc>
          <w:tcPr>
            <w:tcW w:w="0" w:type="auto"/>
            <w:vAlign w:val="center"/>
            <w:hideMark/>
          </w:tcPr>
          <w:p w14:paraId="5A014EE3" w14:textId="77777777" w:rsidR="0039789C" w:rsidRDefault="0039789C">
            <w:pPr>
              <w:jc w:val="center"/>
              <w:rPr>
                <w:b/>
                <w:bCs/>
              </w:rPr>
            </w:pPr>
            <w:r>
              <w:rPr>
                <w:rStyle w:val="Fett"/>
              </w:rPr>
              <w:t>Kurzbeschreibung</w:t>
            </w:r>
          </w:p>
        </w:tc>
        <w:tc>
          <w:tcPr>
            <w:tcW w:w="0" w:type="auto"/>
            <w:vAlign w:val="center"/>
            <w:hideMark/>
          </w:tcPr>
          <w:p w14:paraId="7F3C3F04" w14:textId="77777777" w:rsidR="0039789C" w:rsidRDefault="0039789C">
            <w:pPr>
              <w:jc w:val="center"/>
              <w:rPr>
                <w:b/>
                <w:bCs/>
              </w:rPr>
            </w:pPr>
            <w:r>
              <w:rPr>
                <w:rStyle w:val="Fett"/>
              </w:rPr>
              <w:t>Hinweise zur Erstellung / Format</w:t>
            </w:r>
          </w:p>
        </w:tc>
        <w:tc>
          <w:tcPr>
            <w:tcW w:w="0" w:type="auto"/>
            <w:vAlign w:val="center"/>
            <w:hideMark/>
          </w:tcPr>
          <w:p w14:paraId="454A7384" w14:textId="77777777" w:rsidR="0039789C" w:rsidRDefault="0039789C">
            <w:pPr>
              <w:jc w:val="center"/>
              <w:rPr>
                <w:b/>
                <w:bCs/>
              </w:rPr>
            </w:pPr>
            <w:r>
              <w:rPr>
                <w:rStyle w:val="Fett"/>
              </w:rPr>
              <w:t>Textstelle für Verweis</w:t>
            </w:r>
          </w:p>
        </w:tc>
      </w:tr>
      <w:tr w:rsidR="0039789C" w14:paraId="7A6CE6EC" w14:textId="77777777" w:rsidTr="0039789C">
        <w:trPr>
          <w:tblCellSpacing w:w="15" w:type="dxa"/>
        </w:trPr>
        <w:tc>
          <w:tcPr>
            <w:tcW w:w="0" w:type="auto"/>
            <w:vAlign w:val="center"/>
            <w:hideMark/>
          </w:tcPr>
          <w:p w14:paraId="7724DDFD" w14:textId="77777777" w:rsidR="0039789C" w:rsidRDefault="0039789C">
            <w:r>
              <w:rPr>
                <w:rStyle w:val="Fett"/>
              </w:rPr>
              <w:t>Anlage 6.A</w:t>
            </w:r>
          </w:p>
        </w:tc>
        <w:tc>
          <w:tcPr>
            <w:tcW w:w="0" w:type="auto"/>
            <w:vAlign w:val="center"/>
            <w:hideMark/>
          </w:tcPr>
          <w:p w14:paraId="5C651C08" w14:textId="180F96FB" w:rsidR="0039789C" w:rsidRDefault="0039789C">
            <w:r>
              <w:t xml:space="preserve">Strukturmodell des </w:t>
            </w:r>
            <w:r w:rsidR="007D659A">
              <w:t>FRZK</w:t>
            </w:r>
          </w:p>
        </w:tc>
        <w:tc>
          <w:tcPr>
            <w:tcW w:w="0" w:type="auto"/>
            <w:vAlign w:val="center"/>
            <w:hideMark/>
          </w:tcPr>
          <w:p w14:paraId="2DF1591E" w14:textId="77777777" w:rsidR="0039789C" w:rsidRDefault="0039789C">
            <w:r>
              <w:t>Formalisierte Darstellung der funktionalen Zuweisungssystematik mit Bezug auf Kapitel 3 und 6</w:t>
            </w:r>
          </w:p>
        </w:tc>
        <w:tc>
          <w:tcPr>
            <w:tcW w:w="0" w:type="auto"/>
            <w:vAlign w:val="center"/>
            <w:hideMark/>
          </w:tcPr>
          <w:p w14:paraId="1EF49131" w14:textId="77777777" w:rsidR="0039789C" w:rsidRDefault="0039789C">
            <w:r>
              <w:t>Schema mit Pfeilen, Differenzachsen, Rückkopplungen</w:t>
            </w:r>
          </w:p>
        </w:tc>
        <w:tc>
          <w:tcPr>
            <w:tcW w:w="0" w:type="auto"/>
            <w:vAlign w:val="center"/>
            <w:hideMark/>
          </w:tcPr>
          <w:p w14:paraId="2772CE9B" w14:textId="77777777" w:rsidR="0039789C" w:rsidRDefault="0039789C">
            <w:r>
              <w:t>Einleitung von Kapitel 6</w:t>
            </w:r>
          </w:p>
        </w:tc>
      </w:tr>
      <w:tr w:rsidR="0039789C" w14:paraId="669756AF" w14:textId="77777777" w:rsidTr="0039789C">
        <w:trPr>
          <w:tblCellSpacing w:w="15" w:type="dxa"/>
        </w:trPr>
        <w:tc>
          <w:tcPr>
            <w:tcW w:w="0" w:type="auto"/>
            <w:vAlign w:val="center"/>
            <w:hideMark/>
          </w:tcPr>
          <w:p w14:paraId="3EE3EB0A" w14:textId="77777777" w:rsidR="0039789C" w:rsidRDefault="0039789C">
            <w:r>
              <w:rPr>
                <w:rStyle w:val="Fett"/>
              </w:rPr>
              <w:t>Anlage 6.B</w:t>
            </w:r>
          </w:p>
        </w:tc>
        <w:tc>
          <w:tcPr>
            <w:tcW w:w="0" w:type="auto"/>
            <w:vAlign w:val="center"/>
            <w:hideMark/>
          </w:tcPr>
          <w:p w14:paraId="48BCA97C" w14:textId="77777777" w:rsidR="0039789C" w:rsidRDefault="0039789C">
            <w:r>
              <w:t>Protokoll der Zuweisungslogik am Beispiel „Raum“</w:t>
            </w:r>
          </w:p>
        </w:tc>
        <w:tc>
          <w:tcPr>
            <w:tcW w:w="0" w:type="auto"/>
            <w:vAlign w:val="center"/>
            <w:hideMark/>
          </w:tcPr>
          <w:p w14:paraId="08BEE57F" w14:textId="47BD533C" w:rsidR="0039789C" w:rsidRDefault="0039789C">
            <w:r>
              <w:t xml:space="preserve">Schrittweise Darstellung, wie Raum im </w:t>
            </w:r>
            <w:r w:rsidR="007D659A">
              <w:t>FRZK</w:t>
            </w:r>
            <w:r>
              <w:t xml:space="preserve"> durch Zuweisung aus MU entsteht</w:t>
            </w:r>
          </w:p>
        </w:tc>
        <w:tc>
          <w:tcPr>
            <w:tcW w:w="0" w:type="auto"/>
            <w:vAlign w:val="center"/>
            <w:hideMark/>
          </w:tcPr>
          <w:p w14:paraId="1E76FEBF" w14:textId="77777777" w:rsidR="0039789C" w:rsidRDefault="0039789C">
            <w:r>
              <w:t xml:space="preserve">Diagramm mit Kommentaren, evtl. </w:t>
            </w:r>
            <w:proofErr w:type="spellStart"/>
            <w:r>
              <w:t>numerierte</w:t>
            </w:r>
            <w:proofErr w:type="spellEnd"/>
            <w:r>
              <w:t xml:space="preserve"> Phasen</w:t>
            </w:r>
          </w:p>
        </w:tc>
        <w:tc>
          <w:tcPr>
            <w:tcW w:w="0" w:type="auto"/>
            <w:vAlign w:val="center"/>
            <w:hideMark/>
          </w:tcPr>
          <w:p w14:paraId="5617B569" w14:textId="77777777" w:rsidR="0039789C" w:rsidRDefault="0039789C">
            <w:r>
              <w:t>Abschnitt 6.2.1</w:t>
            </w:r>
          </w:p>
        </w:tc>
      </w:tr>
      <w:tr w:rsidR="0039789C" w14:paraId="3BE0463D" w14:textId="77777777" w:rsidTr="0039789C">
        <w:trPr>
          <w:tblCellSpacing w:w="15" w:type="dxa"/>
        </w:trPr>
        <w:tc>
          <w:tcPr>
            <w:tcW w:w="0" w:type="auto"/>
            <w:vAlign w:val="center"/>
            <w:hideMark/>
          </w:tcPr>
          <w:p w14:paraId="56E553BC" w14:textId="77777777" w:rsidR="0039789C" w:rsidRDefault="0039789C">
            <w:r>
              <w:rPr>
                <w:rStyle w:val="Fett"/>
              </w:rPr>
              <w:t>Anlage 6.C</w:t>
            </w:r>
          </w:p>
        </w:tc>
        <w:tc>
          <w:tcPr>
            <w:tcW w:w="0" w:type="auto"/>
            <w:vAlign w:val="center"/>
            <w:hideMark/>
          </w:tcPr>
          <w:p w14:paraId="36CA3D2C" w14:textId="77777777" w:rsidR="0039789C" w:rsidRDefault="0039789C">
            <w:r>
              <w:t>Formale Elemente der didaktischen Felder</w:t>
            </w:r>
          </w:p>
        </w:tc>
        <w:tc>
          <w:tcPr>
            <w:tcW w:w="0" w:type="auto"/>
            <w:vAlign w:val="center"/>
            <w:hideMark/>
          </w:tcPr>
          <w:p w14:paraId="07998DB7" w14:textId="77777777" w:rsidR="0039789C" w:rsidRDefault="0039789C">
            <w:r>
              <w:t>Auflistung didaktischer Differenzdimensionen (z. B. Zeit, Rolle, Interaktion)</w:t>
            </w:r>
          </w:p>
        </w:tc>
        <w:tc>
          <w:tcPr>
            <w:tcW w:w="0" w:type="auto"/>
            <w:vAlign w:val="center"/>
            <w:hideMark/>
          </w:tcPr>
          <w:p w14:paraId="28DE58F5" w14:textId="77777777" w:rsidR="0039789C" w:rsidRDefault="0039789C">
            <w:r>
              <w:t>Tabelle mit Typ – Zuweisung – Emergenz</w:t>
            </w:r>
          </w:p>
        </w:tc>
        <w:tc>
          <w:tcPr>
            <w:tcW w:w="0" w:type="auto"/>
            <w:vAlign w:val="center"/>
            <w:hideMark/>
          </w:tcPr>
          <w:p w14:paraId="750780AC" w14:textId="77777777" w:rsidR="0039789C" w:rsidRDefault="0039789C">
            <w:r>
              <w:t>Abschnitt 6.6.1 und 6.6.2</w:t>
            </w:r>
          </w:p>
        </w:tc>
      </w:tr>
      <w:tr w:rsidR="0039789C" w14:paraId="1D82B16A" w14:textId="77777777" w:rsidTr="0039789C">
        <w:trPr>
          <w:tblCellSpacing w:w="15" w:type="dxa"/>
        </w:trPr>
        <w:tc>
          <w:tcPr>
            <w:tcW w:w="0" w:type="auto"/>
            <w:vAlign w:val="center"/>
            <w:hideMark/>
          </w:tcPr>
          <w:p w14:paraId="25F36076" w14:textId="77777777" w:rsidR="0039789C" w:rsidRDefault="0039789C">
            <w:r>
              <w:rPr>
                <w:rStyle w:val="Fett"/>
              </w:rPr>
              <w:t>Anlage 6.D</w:t>
            </w:r>
          </w:p>
        </w:tc>
        <w:tc>
          <w:tcPr>
            <w:tcW w:w="0" w:type="auto"/>
            <w:vAlign w:val="center"/>
            <w:hideMark/>
          </w:tcPr>
          <w:p w14:paraId="04C86198" w14:textId="365BCB5B" w:rsidR="0039789C" w:rsidRDefault="0039789C">
            <w:r>
              <w:t xml:space="preserve">Glossar zentraler </w:t>
            </w:r>
            <w:r w:rsidR="007D659A">
              <w:t>FRZK</w:t>
            </w:r>
            <w:r>
              <w:t>-Begriffe</w:t>
            </w:r>
          </w:p>
        </w:tc>
        <w:tc>
          <w:tcPr>
            <w:tcW w:w="0" w:type="auto"/>
            <w:vAlign w:val="center"/>
            <w:hideMark/>
          </w:tcPr>
          <w:p w14:paraId="1654A5B7" w14:textId="77777777" w:rsidR="0039789C" w:rsidRDefault="0039789C">
            <w:r>
              <w:t>Definitionen und Erklärungen zentraler Begriffe aus Kapitel 6</w:t>
            </w:r>
          </w:p>
        </w:tc>
        <w:tc>
          <w:tcPr>
            <w:tcW w:w="0" w:type="auto"/>
            <w:vAlign w:val="center"/>
            <w:hideMark/>
          </w:tcPr>
          <w:p w14:paraId="48661860" w14:textId="77777777" w:rsidR="0039789C" w:rsidRDefault="0039789C">
            <w:r>
              <w:t>Tabelle: Begriff – Definition – Bezug im Text</w:t>
            </w:r>
          </w:p>
        </w:tc>
        <w:tc>
          <w:tcPr>
            <w:tcW w:w="0" w:type="auto"/>
            <w:vAlign w:val="center"/>
            <w:hideMark/>
          </w:tcPr>
          <w:p w14:paraId="0FC1EBE0" w14:textId="77777777" w:rsidR="0039789C" w:rsidRDefault="0039789C">
            <w:r>
              <w:t>Am Ende von Kapitel 6.11</w:t>
            </w:r>
          </w:p>
        </w:tc>
      </w:tr>
      <w:tr w:rsidR="0039789C" w14:paraId="7EEA6E61" w14:textId="77777777" w:rsidTr="0039789C">
        <w:trPr>
          <w:tblCellSpacing w:w="15" w:type="dxa"/>
        </w:trPr>
        <w:tc>
          <w:tcPr>
            <w:tcW w:w="0" w:type="auto"/>
            <w:vAlign w:val="center"/>
            <w:hideMark/>
          </w:tcPr>
          <w:p w14:paraId="39DCFC76" w14:textId="77777777" w:rsidR="0039789C" w:rsidRDefault="0039789C">
            <w:r>
              <w:rPr>
                <w:rStyle w:val="Fett"/>
              </w:rPr>
              <w:t>Anlage 6.E</w:t>
            </w:r>
          </w:p>
        </w:tc>
        <w:tc>
          <w:tcPr>
            <w:tcW w:w="0" w:type="auto"/>
            <w:vAlign w:val="center"/>
            <w:hideMark/>
          </w:tcPr>
          <w:p w14:paraId="6DCE033F" w14:textId="4678E2A5" w:rsidR="0039789C" w:rsidRDefault="0039789C">
            <w:r>
              <w:t xml:space="preserve">Didaktisches Szenario – </w:t>
            </w:r>
            <w:r w:rsidR="007D659A">
              <w:t>FRZK</w:t>
            </w:r>
            <w:r>
              <w:t>-basiertes Lernfeld</w:t>
            </w:r>
          </w:p>
        </w:tc>
        <w:tc>
          <w:tcPr>
            <w:tcW w:w="0" w:type="auto"/>
            <w:vAlign w:val="center"/>
            <w:hideMark/>
          </w:tcPr>
          <w:p w14:paraId="135F7390" w14:textId="77777777" w:rsidR="0039789C" w:rsidRDefault="0039789C">
            <w:r>
              <w:t>Beispiel für ein Lernfeld mit Zuweisungslogik (z. B. Physik, Mathe, Ethik)</w:t>
            </w:r>
          </w:p>
        </w:tc>
        <w:tc>
          <w:tcPr>
            <w:tcW w:w="0" w:type="auto"/>
            <w:vAlign w:val="center"/>
            <w:hideMark/>
          </w:tcPr>
          <w:p w14:paraId="4FE10F89" w14:textId="77777777" w:rsidR="0039789C" w:rsidRDefault="0039789C">
            <w:proofErr w:type="spellStart"/>
            <w:r>
              <w:t>Szenariobeschreibung</w:t>
            </w:r>
            <w:proofErr w:type="spellEnd"/>
            <w:r>
              <w:t xml:space="preserve"> + Strukturdiagramm</w:t>
            </w:r>
          </w:p>
        </w:tc>
        <w:tc>
          <w:tcPr>
            <w:tcW w:w="0" w:type="auto"/>
            <w:vAlign w:val="center"/>
            <w:hideMark/>
          </w:tcPr>
          <w:p w14:paraId="081DEBC4" w14:textId="77777777" w:rsidR="0039789C" w:rsidRDefault="0039789C">
            <w:r>
              <w:t>Abschnitt 6.6.4</w:t>
            </w:r>
          </w:p>
        </w:tc>
      </w:tr>
      <w:tr w:rsidR="0039789C" w14:paraId="689D269C" w14:textId="77777777" w:rsidTr="0039789C">
        <w:trPr>
          <w:tblCellSpacing w:w="15" w:type="dxa"/>
        </w:trPr>
        <w:tc>
          <w:tcPr>
            <w:tcW w:w="0" w:type="auto"/>
            <w:vAlign w:val="center"/>
            <w:hideMark/>
          </w:tcPr>
          <w:p w14:paraId="02997794" w14:textId="77777777" w:rsidR="0039789C" w:rsidRDefault="0039789C">
            <w:r>
              <w:rPr>
                <w:rStyle w:val="Fett"/>
              </w:rPr>
              <w:t>Anlage 6.F</w:t>
            </w:r>
          </w:p>
        </w:tc>
        <w:tc>
          <w:tcPr>
            <w:tcW w:w="0" w:type="auto"/>
            <w:vAlign w:val="center"/>
            <w:hideMark/>
          </w:tcPr>
          <w:p w14:paraId="548D1173" w14:textId="3EB41454" w:rsidR="0039789C" w:rsidRDefault="0039789C">
            <w:r>
              <w:t xml:space="preserve">Innovationsvergleich: Klassisch vs. </w:t>
            </w:r>
            <w:r w:rsidR="007D659A">
              <w:t>FRZK</w:t>
            </w:r>
          </w:p>
        </w:tc>
        <w:tc>
          <w:tcPr>
            <w:tcW w:w="0" w:type="auto"/>
            <w:vAlign w:val="center"/>
            <w:hideMark/>
          </w:tcPr>
          <w:p w14:paraId="42E35AD2" w14:textId="51683807" w:rsidR="0039789C" w:rsidRDefault="0039789C">
            <w:r>
              <w:t xml:space="preserve">Gegenüberstellung klassischer und </w:t>
            </w:r>
            <w:r w:rsidR="007D659A">
              <w:t>FRZK</w:t>
            </w:r>
            <w:r>
              <w:t>-basierter Innovationsansätze</w:t>
            </w:r>
          </w:p>
        </w:tc>
        <w:tc>
          <w:tcPr>
            <w:tcW w:w="0" w:type="auto"/>
            <w:vAlign w:val="center"/>
            <w:hideMark/>
          </w:tcPr>
          <w:p w14:paraId="2720064E" w14:textId="2361084F" w:rsidR="0039789C" w:rsidRDefault="0039789C">
            <w:r>
              <w:t xml:space="preserve">Tabelle: Paradigma – Klassisch – </w:t>
            </w:r>
            <w:r w:rsidR="007D659A">
              <w:t>FRZK</w:t>
            </w:r>
            <w:r>
              <w:t xml:space="preserve"> – Wirkung</w:t>
            </w:r>
          </w:p>
        </w:tc>
        <w:tc>
          <w:tcPr>
            <w:tcW w:w="0" w:type="auto"/>
            <w:vAlign w:val="center"/>
            <w:hideMark/>
          </w:tcPr>
          <w:p w14:paraId="129E93EA" w14:textId="77777777" w:rsidR="0039789C" w:rsidRDefault="0039789C">
            <w:r>
              <w:t>Abschnitt 6.11.1 (Matrix)</w:t>
            </w:r>
          </w:p>
        </w:tc>
      </w:tr>
      <w:tr w:rsidR="0039789C" w14:paraId="3DADFD0F" w14:textId="77777777" w:rsidTr="0039789C">
        <w:trPr>
          <w:tblCellSpacing w:w="15" w:type="dxa"/>
        </w:trPr>
        <w:tc>
          <w:tcPr>
            <w:tcW w:w="0" w:type="auto"/>
            <w:vAlign w:val="center"/>
            <w:hideMark/>
          </w:tcPr>
          <w:p w14:paraId="6FDF2E1F" w14:textId="77777777" w:rsidR="0039789C" w:rsidRDefault="0039789C">
            <w:r>
              <w:rPr>
                <w:rStyle w:val="Fett"/>
              </w:rPr>
              <w:t>Anlage 6.G</w:t>
            </w:r>
          </w:p>
        </w:tc>
        <w:tc>
          <w:tcPr>
            <w:tcW w:w="0" w:type="auto"/>
            <w:vAlign w:val="center"/>
            <w:hideMark/>
          </w:tcPr>
          <w:p w14:paraId="5FF95A57" w14:textId="77777777" w:rsidR="0039789C" w:rsidRDefault="0039789C">
            <w:r>
              <w:t>Visualisierungsbriefing zu Abbildungen in Kapitel 6</w:t>
            </w:r>
          </w:p>
        </w:tc>
        <w:tc>
          <w:tcPr>
            <w:tcW w:w="0" w:type="auto"/>
            <w:vAlign w:val="center"/>
            <w:hideMark/>
          </w:tcPr>
          <w:p w14:paraId="7C0B97D7" w14:textId="77777777" w:rsidR="0039789C" w:rsidRDefault="0039789C">
            <w:r>
              <w:t>Sammlung der Grafikideen mit visuellen Anforderungen und formalen Anmerkungen</w:t>
            </w:r>
          </w:p>
        </w:tc>
        <w:tc>
          <w:tcPr>
            <w:tcW w:w="0" w:type="auto"/>
            <w:vAlign w:val="center"/>
            <w:hideMark/>
          </w:tcPr>
          <w:p w14:paraId="63CD03F2" w14:textId="77777777" w:rsidR="0039789C" w:rsidRDefault="0039789C">
            <w:r>
              <w:t>Tabelle mit Bezeichnung, Stil, Format, Farben</w:t>
            </w:r>
          </w:p>
        </w:tc>
        <w:tc>
          <w:tcPr>
            <w:tcW w:w="0" w:type="auto"/>
            <w:vAlign w:val="center"/>
            <w:hideMark/>
          </w:tcPr>
          <w:p w14:paraId="4B1D4A08" w14:textId="77777777" w:rsidR="0039789C" w:rsidRDefault="0039789C">
            <w:r>
              <w:t>Einleitung von Abschnitt 6.11</w:t>
            </w:r>
          </w:p>
        </w:tc>
      </w:tr>
      <w:tr w:rsidR="0039789C" w14:paraId="1580E667" w14:textId="77777777" w:rsidTr="0039789C">
        <w:trPr>
          <w:tblCellSpacing w:w="15" w:type="dxa"/>
        </w:trPr>
        <w:tc>
          <w:tcPr>
            <w:tcW w:w="0" w:type="auto"/>
            <w:vAlign w:val="center"/>
            <w:hideMark/>
          </w:tcPr>
          <w:p w14:paraId="56D1EE5B" w14:textId="77777777" w:rsidR="0039789C" w:rsidRDefault="0039789C">
            <w:r>
              <w:rPr>
                <w:rStyle w:val="Fett"/>
              </w:rPr>
              <w:t>Anlage 6.H</w:t>
            </w:r>
          </w:p>
        </w:tc>
        <w:tc>
          <w:tcPr>
            <w:tcW w:w="0" w:type="auto"/>
            <w:vAlign w:val="center"/>
            <w:hideMark/>
          </w:tcPr>
          <w:p w14:paraId="4EB204F4" w14:textId="77777777" w:rsidR="0039789C" w:rsidRDefault="0039789C">
            <w:r>
              <w:t>Quellenvergleich (alt/neu)</w:t>
            </w:r>
          </w:p>
        </w:tc>
        <w:tc>
          <w:tcPr>
            <w:tcW w:w="0" w:type="auto"/>
            <w:vAlign w:val="center"/>
            <w:hideMark/>
          </w:tcPr>
          <w:p w14:paraId="1E74F410" w14:textId="77777777" w:rsidR="0039789C" w:rsidRDefault="0039789C">
            <w:r>
              <w:t>Liste der ersetzten Originalquellen mit zugehörigen Deep-Research-Belegen</w:t>
            </w:r>
          </w:p>
        </w:tc>
        <w:tc>
          <w:tcPr>
            <w:tcW w:w="0" w:type="auto"/>
            <w:vAlign w:val="center"/>
            <w:hideMark/>
          </w:tcPr>
          <w:p w14:paraId="07C3C11D" w14:textId="77777777" w:rsidR="0039789C" w:rsidRDefault="0039789C">
            <w:r>
              <w:t>Tabelle: ursprüngliche Quelle – übernommen? – neue Quelle – Kommentar</w:t>
            </w:r>
          </w:p>
        </w:tc>
        <w:tc>
          <w:tcPr>
            <w:tcW w:w="0" w:type="auto"/>
            <w:vAlign w:val="center"/>
            <w:hideMark/>
          </w:tcPr>
          <w:p w14:paraId="7BD42AF5" w14:textId="77777777" w:rsidR="0039789C" w:rsidRDefault="0039789C">
            <w:r>
              <w:t>Vor Kapitel 6.1 (Redaktioneller Hinweis oder Fußnote)</w:t>
            </w:r>
          </w:p>
        </w:tc>
      </w:tr>
      <w:tr w:rsidR="0039789C" w14:paraId="171707A8" w14:textId="77777777" w:rsidTr="0039789C">
        <w:trPr>
          <w:tblCellSpacing w:w="15" w:type="dxa"/>
        </w:trPr>
        <w:tc>
          <w:tcPr>
            <w:tcW w:w="0" w:type="auto"/>
            <w:vAlign w:val="center"/>
            <w:hideMark/>
          </w:tcPr>
          <w:p w14:paraId="0D13B864" w14:textId="77777777" w:rsidR="0039789C" w:rsidRDefault="0039789C">
            <w:r>
              <w:rPr>
                <w:rStyle w:val="Fett"/>
              </w:rPr>
              <w:t>Anlage 6.I</w:t>
            </w:r>
          </w:p>
        </w:tc>
        <w:tc>
          <w:tcPr>
            <w:tcW w:w="0" w:type="auto"/>
            <w:vAlign w:val="center"/>
            <w:hideMark/>
          </w:tcPr>
          <w:p w14:paraId="489585EE" w14:textId="77777777" w:rsidR="0039789C" w:rsidRDefault="0039789C">
            <w:r>
              <w:t>Rückbindung an Kapitel 3</w:t>
            </w:r>
          </w:p>
        </w:tc>
        <w:tc>
          <w:tcPr>
            <w:tcW w:w="0" w:type="auto"/>
            <w:vAlign w:val="center"/>
            <w:hideMark/>
          </w:tcPr>
          <w:p w14:paraId="2B3FDEBE" w14:textId="77777777" w:rsidR="0039789C" w:rsidRDefault="0039789C">
            <w:r>
              <w:t>Tabelle mit Verknüpfung zwischen Theorie (Kap. 3) und Anwendung (Kap. 6)</w:t>
            </w:r>
          </w:p>
        </w:tc>
        <w:tc>
          <w:tcPr>
            <w:tcW w:w="0" w:type="auto"/>
            <w:vAlign w:val="center"/>
            <w:hideMark/>
          </w:tcPr>
          <w:p w14:paraId="4C50EC59" w14:textId="77777777" w:rsidR="0039789C" w:rsidRDefault="0039789C">
            <w:r>
              <w:t>Tabelle: Abschnitt 6.x – Bezug 3.x – Begriff – Kurzbegründung</w:t>
            </w:r>
          </w:p>
        </w:tc>
        <w:tc>
          <w:tcPr>
            <w:tcW w:w="0" w:type="auto"/>
            <w:vAlign w:val="center"/>
            <w:hideMark/>
          </w:tcPr>
          <w:p w14:paraId="5787FD8E" w14:textId="77777777" w:rsidR="0039789C" w:rsidRDefault="0039789C">
            <w:r>
              <w:t>Nach Kapitel 6.11 (optionaler Epilog oder Ausblick)</w:t>
            </w:r>
          </w:p>
        </w:tc>
      </w:tr>
    </w:tbl>
    <w:p w14:paraId="698D6E0D" w14:textId="77777777" w:rsidR="0039789C" w:rsidRDefault="008D0DC3" w:rsidP="0039789C">
      <w:r>
        <w:pict w14:anchorId="30309278">
          <v:rect id="_x0000_i1048" style="width:0;height:1.5pt" o:hralign="center" o:hrstd="t" o:hr="t" fillcolor="#a0a0a0" stroked="f"/>
        </w:pict>
      </w:r>
    </w:p>
    <w:p w14:paraId="71C3E780" w14:textId="77777777" w:rsidR="0039789C" w:rsidRDefault="0039789C" w:rsidP="0039789C">
      <w:pPr>
        <w:pStyle w:val="berschrift3"/>
      </w:pPr>
      <w:r>
        <w:t>Hinweise für den Einbau in den Text</w:t>
      </w:r>
    </w:p>
    <w:p w14:paraId="0395003B" w14:textId="77777777" w:rsidR="0039789C" w:rsidRDefault="0039789C" w:rsidP="0039789C">
      <w:pPr>
        <w:pStyle w:val="StandardWeb"/>
        <w:numPr>
          <w:ilvl w:val="0"/>
          <w:numId w:val="6"/>
        </w:numPr>
      </w:pPr>
      <w:r>
        <w:t xml:space="preserve">Verweise sollten </w:t>
      </w:r>
      <w:r>
        <w:rPr>
          <w:rStyle w:val="Fett"/>
        </w:rPr>
        <w:t>direkt im Fließtext erfolgen</w:t>
      </w:r>
      <w:r>
        <w:t>, z. B.:</w:t>
      </w:r>
      <w:r>
        <w:br/>
      </w:r>
      <w:r>
        <w:rPr>
          <w:rStyle w:val="Hervorhebung"/>
        </w:rPr>
        <w:t>„(vgl. Anlage 6.B zur vollständigen Rekonstruktion der Zuweisung von Raum)“</w:t>
      </w:r>
    </w:p>
    <w:p w14:paraId="06368C1D" w14:textId="77777777" w:rsidR="0039789C" w:rsidRDefault="0039789C" w:rsidP="0039789C">
      <w:pPr>
        <w:pStyle w:val="StandardWeb"/>
        <w:numPr>
          <w:ilvl w:val="0"/>
          <w:numId w:val="6"/>
        </w:numPr>
      </w:pPr>
      <w:r>
        <w:t>Alternativ in Fußnoten, wenn stilistisch ruhiger gewünscht.</w:t>
      </w:r>
    </w:p>
    <w:p w14:paraId="75A9DC3F" w14:textId="7D6D3CB6" w:rsidR="0039789C" w:rsidRDefault="0039789C" w:rsidP="0039789C">
      <w:pPr>
        <w:pStyle w:val="StandardWeb"/>
        <w:numPr>
          <w:ilvl w:val="0"/>
          <w:numId w:val="6"/>
        </w:numPr>
      </w:pPr>
      <w:r>
        <w:t xml:space="preserve">Bei mehrfacher Relevanz (z. B. Anlage 6.D oder 6.I) kann im </w:t>
      </w:r>
      <w:r>
        <w:rPr>
          <w:rStyle w:val="Fett"/>
        </w:rPr>
        <w:t>Kapitelübergang</w:t>
      </w:r>
      <w:r>
        <w:t xml:space="preserve"> oder in </w:t>
      </w:r>
      <w:r>
        <w:rPr>
          <w:rStyle w:val="Fett"/>
        </w:rPr>
        <w:t>Zusammenfassungen</w:t>
      </w:r>
      <w:r>
        <w:t xml:space="preserve"> darauf hingewiesen werden.</w:t>
      </w:r>
    </w:p>
    <w:p w14:paraId="62BEFF70" w14:textId="7A85326F" w:rsidR="007D659A" w:rsidRDefault="007D659A" w:rsidP="007D659A">
      <w:pPr>
        <w:pStyle w:val="berschrift2"/>
      </w:pPr>
      <w:r>
        <w:t>Quellenverzeichnis Kapitel 6</w:t>
      </w:r>
    </w:p>
    <w:p w14:paraId="62799E73" w14:textId="77777777" w:rsidR="007D659A" w:rsidRPr="007D659A" w:rsidRDefault="007D659A" w:rsidP="007D659A">
      <w:r w:rsidRPr="007D659A">
        <w:t xml:space="preserve">[1] Knoblich, G., </w:t>
      </w:r>
      <w:proofErr w:type="spellStart"/>
      <w:r w:rsidRPr="007D659A">
        <w:t>Butterfill</w:t>
      </w:r>
      <w:proofErr w:type="spellEnd"/>
      <w:r w:rsidRPr="007D659A">
        <w:t xml:space="preserve">, S., &amp; </w:t>
      </w:r>
      <w:proofErr w:type="spellStart"/>
      <w:r w:rsidRPr="007D659A">
        <w:t>Sebanz</w:t>
      </w:r>
      <w:proofErr w:type="spellEnd"/>
      <w:r w:rsidRPr="007D659A">
        <w:t xml:space="preserve">, N. (2011). Psychological Research on Joint Action: Theory and Data. </w:t>
      </w:r>
      <w:proofErr w:type="spellStart"/>
      <w:r w:rsidRPr="007D659A">
        <w:t>Psychology</w:t>
      </w:r>
      <w:proofErr w:type="spellEnd"/>
      <w:r w:rsidRPr="007D659A">
        <w:t xml:space="preserve"> </w:t>
      </w:r>
      <w:proofErr w:type="spellStart"/>
      <w:r w:rsidRPr="007D659A">
        <w:t>of</w:t>
      </w:r>
      <w:proofErr w:type="spellEnd"/>
      <w:r w:rsidRPr="007D659A">
        <w:t xml:space="preserve"> Learning and Motivation, 54, 59–101.</w:t>
      </w:r>
      <w:r w:rsidRPr="007D659A">
        <w:br/>
        <w:t xml:space="preserve">[2] </w:t>
      </w:r>
      <w:proofErr w:type="spellStart"/>
      <w:r w:rsidRPr="007D659A">
        <w:t>Brier</w:t>
      </w:r>
      <w:proofErr w:type="spellEnd"/>
      <w:r w:rsidRPr="007D659A">
        <w:t xml:space="preserve">, S. (2008). </w:t>
      </w:r>
      <w:proofErr w:type="spellStart"/>
      <w:r w:rsidRPr="007D659A">
        <w:t>Cybersemiotics</w:t>
      </w:r>
      <w:proofErr w:type="spellEnd"/>
      <w:r w:rsidRPr="007D659A">
        <w:t xml:space="preserve">: </w:t>
      </w:r>
      <w:proofErr w:type="spellStart"/>
      <w:r w:rsidRPr="007D659A">
        <w:t>Why</w:t>
      </w:r>
      <w:proofErr w:type="spellEnd"/>
      <w:r w:rsidRPr="007D659A">
        <w:t xml:space="preserve"> Information </w:t>
      </w:r>
      <w:proofErr w:type="spellStart"/>
      <w:r w:rsidRPr="007D659A">
        <w:t>is</w:t>
      </w:r>
      <w:proofErr w:type="spellEnd"/>
      <w:r w:rsidRPr="007D659A">
        <w:t xml:space="preserve"> not </w:t>
      </w:r>
      <w:proofErr w:type="spellStart"/>
      <w:r w:rsidRPr="007D659A">
        <w:t>Enough</w:t>
      </w:r>
      <w:proofErr w:type="spellEnd"/>
      <w:r w:rsidRPr="007D659A">
        <w:t xml:space="preserve">. University </w:t>
      </w:r>
      <w:proofErr w:type="spellStart"/>
      <w:r w:rsidRPr="007D659A">
        <w:t>of</w:t>
      </w:r>
      <w:proofErr w:type="spellEnd"/>
      <w:r w:rsidRPr="007D659A">
        <w:t xml:space="preserve"> Toronto Press.</w:t>
      </w:r>
      <w:r w:rsidRPr="007D659A">
        <w:br/>
        <w:t xml:space="preserve">[3] Kuhn, T. S. (1962). The </w:t>
      </w:r>
      <w:proofErr w:type="spellStart"/>
      <w:r w:rsidRPr="007D659A">
        <w:t>Structure</w:t>
      </w:r>
      <w:proofErr w:type="spellEnd"/>
      <w:r w:rsidRPr="007D659A">
        <w:t xml:space="preserve"> </w:t>
      </w:r>
      <w:proofErr w:type="spellStart"/>
      <w:r w:rsidRPr="007D659A">
        <w:t>of</w:t>
      </w:r>
      <w:proofErr w:type="spellEnd"/>
      <w:r w:rsidRPr="007D659A">
        <w:t xml:space="preserve"> Scientific </w:t>
      </w:r>
      <w:proofErr w:type="spellStart"/>
      <w:r w:rsidRPr="007D659A">
        <w:t>Revolutions</w:t>
      </w:r>
      <w:proofErr w:type="spellEnd"/>
      <w:r w:rsidRPr="007D659A">
        <w:t xml:space="preserve">. University </w:t>
      </w:r>
      <w:proofErr w:type="spellStart"/>
      <w:r w:rsidRPr="007D659A">
        <w:t>of</w:t>
      </w:r>
      <w:proofErr w:type="spellEnd"/>
      <w:r w:rsidRPr="007D659A">
        <w:t xml:space="preserve"> Chicago Press.</w:t>
      </w:r>
      <w:r w:rsidRPr="007D659A">
        <w:br/>
        <w:t xml:space="preserve">[4] von </w:t>
      </w:r>
      <w:proofErr w:type="spellStart"/>
      <w:r w:rsidRPr="007D659A">
        <w:t>Glasersfeld</w:t>
      </w:r>
      <w:proofErr w:type="spellEnd"/>
      <w:r w:rsidRPr="007D659A">
        <w:t xml:space="preserve">, E. (1995). </w:t>
      </w:r>
      <w:proofErr w:type="spellStart"/>
      <w:r w:rsidRPr="007D659A">
        <w:t>Radical</w:t>
      </w:r>
      <w:proofErr w:type="spellEnd"/>
      <w:r w:rsidRPr="007D659A">
        <w:t xml:space="preserve"> </w:t>
      </w:r>
      <w:proofErr w:type="spellStart"/>
      <w:r w:rsidRPr="007D659A">
        <w:t>Constructivism</w:t>
      </w:r>
      <w:proofErr w:type="spellEnd"/>
      <w:r w:rsidRPr="007D659A">
        <w:t xml:space="preserve">: A Way </w:t>
      </w:r>
      <w:proofErr w:type="spellStart"/>
      <w:r w:rsidRPr="007D659A">
        <w:t>of</w:t>
      </w:r>
      <w:proofErr w:type="spellEnd"/>
      <w:r w:rsidRPr="007D659A">
        <w:t xml:space="preserve"> </w:t>
      </w:r>
      <w:proofErr w:type="spellStart"/>
      <w:r w:rsidRPr="007D659A">
        <w:t>Knowing</w:t>
      </w:r>
      <w:proofErr w:type="spellEnd"/>
      <w:r w:rsidRPr="007D659A">
        <w:t xml:space="preserve"> and Learning. Routledge </w:t>
      </w:r>
      <w:proofErr w:type="spellStart"/>
      <w:r w:rsidRPr="007D659A">
        <w:t>Falmer</w:t>
      </w:r>
      <w:proofErr w:type="spellEnd"/>
      <w:r w:rsidRPr="007D659A">
        <w:t>.</w:t>
      </w:r>
      <w:r w:rsidRPr="007D659A">
        <w:br/>
        <w:t xml:space="preserve">[5] Dehaene, S. (2020). </w:t>
      </w:r>
      <w:proofErr w:type="spellStart"/>
      <w:r w:rsidRPr="007D659A">
        <w:t>How</w:t>
      </w:r>
      <w:proofErr w:type="spellEnd"/>
      <w:r w:rsidRPr="007D659A">
        <w:t xml:space="preserve"> </w:t>
      </w:r>
      <w:proofErr w:type="spellStart"/>
      <w:r w:rsidRPr="007D659A">
        <w:t>We</w:t>
      </w:r>
      <w:proofErr w:type="spellEnd"/>
      <w:r w:rsidRPr="007D659A">
        <w:t xml:space="preserve"> </w:t>
      </w:r>
      <w:proofErr w:type="spellStart"/>
      <w:r w:rsidRPr="007D659A">
        <w:t>Learn</w:t>
      </w:r>
      <w:proofErr w:type="spellEnd"/>
      <w:r w:rsidRPr="007D659A">
        <w:t xml:space="preserve">: </w:t>
      </w:r>
      <w:proofErr w:type="spellStart"/>
      <w:r w:rsidRPr="007D659A">
        <w:t>Why</w:t>
      </w:r>
      <w:proofErr w:type="spellEnd"/>
      <w:r w:rsidRPr="007D659A">
        <w:t xml:space="preserve"> Brains </w:t>
      </w:r>
      <w:proofErr w:type="spellStart"/>
      <w:r w:rsidRPr="007D659A">
        <w:t>Learn</w:t>
      </w:r>
      <w:proofErr w:type="spellEnd"/>
      <w:r w:rsidRPr="007D659A">
        <w:t xml:space="preserve"> </w:t>
      </w:r>
      <w:proofErr w:type="spellStart"/>
      <w:r w:rsidRPr="007D659A">
        <w:t>Better</w:t>
      </w:r>
      <w:proofErr w:type="spellEnd"/>
      <w:r w:rsidRPr="007D659A">
        <w:t xml:space="preserve"> </w:t>
      </w:r>
      <w:proofErr w:type="spellStart"/>
      <w:r w:rsidRPr="007D659A">
        <w:t>Than</w:t>
      </w:r>
      <w:proofErr w:type="spellEnd"/>
      <w:r w:rsidRPr="007D659A">
        <w:t xml:space="preserve"> Any </w:t>
      </w:r>
      <w:proofErr w:type="spellStart"/>
      <w:r w:rsidRPr="007D659A">
        <w:t>Machine</w:t>
      </w:r>
      <w:proofErr w:type="spellEnd"/>
      <w:r w:rsidRPr="007D659A">
        <w:t xml:space="preserve">... </w:t>
      </w:r>
      <w:proofErr w:type="spellStart"/>
      <w:r w:rsidRPr="007D659A">
        <w:t>for</w:t>
      </w:r>
      <w:proofErr w:type="spellEnd"/>
      <w:r w:rsidRPr="007D659A">
        <w:t xml:space="preserve"> </w:t>
      </w:r>
      <w:proofErr w:type="spellStart"/>
      <w:r w:rsidRPr="007D659A">
        <w:t>Now</w:t>
      </w:r>
      <w:proofErr w:type="spellEnd"/>
      <w:r w:rsidRPr="007D659A">
        <w:t>. Viking.</w:t>
      </w:r>
      <w:r w:rsidRPr="007D659A">
        <w:br/>
        <w:t xml:space="preserve">[6] Baez, J., &amp; </w:t>
      </w:r>
      <w:proofErr w:type="spellStart"/>
      <w:r w:rsidRPr="007D659A">
        <w:t>Stay</w:t>
      </w:r>
      <w:proofErr w:type="spellEnd"/>
      <w:r w:rsidRPr="007D659A">
        <w:t xml:space="preserve">, M. (2011). Physics, </w:t>
      </w:r>
      <w:proofErr w:type="spellStart"/>
      <w:r w:rsidRPr="007D659A">
        <w:t>Topology</w:t>
      </w:r>
      <w:proofErr w:type="spellEnd"/>
      <w:r w:rsidRPr="007D659A">
        <w:t xml:space="preserve">, </w:t>
      </w:r>
      <w:proofErr w:type="spellStart"/>
      <w:r w:rsidRPr="007D659A">
        <w:t>Logic</w:t>
      </w:r>
      <w:proofErr w:type="spellEnd"/>
      <w:r w:rsidRPr="007D659A">
        <w:t xml:space="preserve"> and </w:t>
      </w:r>
      <w:proofErr w:type="spellStart"/>
      <w:r w:rsidRPr="007D659A">
        <w:t>Computation</w:t>
      </w:r>
      <w:proofErr w:type="spellEnd"/>
      <w:r w:rsidRPr="007D659A">
        <w:t xml:space="preserve">: A Rosetta Stone. In B. </w:t>
      </w:r>
      <w:proofErr w:type="spellStart"/>
      <w:r w:rsidRPr="007D659A">
        <w:t>Coecke</w:t>
      </w:r>
      <w:proofErr w:type="spellEnd"/>
      <w:r w:rsidRPr="007D659A">
        <w:t xml:space="preserve"> (Ed.), New </w:t>
      </w:r>
      <w:proofErr w:type="spellStart"/>
      <w:r w:rsidRPr="007D659A">
        <w:t>Structures</w:t>
      </w:r>
      <w:proofErr w:type="spellEnd"/>
      <w:r w:rsidRPr="007D659A">
        <w:t xml:space="preserve"> </w:t>
      </w:r>
      <w:proofErr w:type="spellStart"/>
      <w:r w:rsidRPr="007D659A">
        <w:t>for</w:t>
      </w:r>
      <w:proofErr w:type="spellEnd"/>
      <w:r w:rsidRPr="007D659A">
        <w:t xml:space="preserve"> Physics (pp. 95–172). Springer.</w:t>
      </w:r>
      <w:r w:rsidRPr="007D659A">
        <w:br/>
        <w:t xml:space="preserve">[7] </w:t>
      </w:r>
      <w:proofErr w:type="spellStart"/>
      <w:r w:rsidRPr="007D659A">
        <w:t>Spivak</w:t>
      </w:r>
      <w:proofErr w:type="spellEnd"/>
      <w:r w:rsidRPr="007D659A">
        <w:t xml:space="preserve">, D. I. (2014). </w:t>
      </w:r>
      <w:proofErr w:type="spellStart"/>
      <w:r w:rsidRPr="007D659A">
        <w:t>Category</w:t>
      </w:r>
      <w:proofErr w:type="spellEnd"/>
      <w:r w:rsidRPr="007D659A">
        <w:t xml:space="preserve"> Theory </w:t>
      </w:r>
      <w:proofErr w:type="spellStart"/>
      <w:r w:rsidRPr="007D659A">
        <w:t>for</w:t>
      </w:r>
      <w:proofErr w:type="spellEnd"/>
      <w:r w:rsidRPr="007D659A">
        <w:t xml:space="preserve"> </w:t>
      </w:r>
      <w:proofErr w:type="spellStart"/>
      <w:r w:rsidRPr="007D659A">
        <w:t>the</w:t>
      </w:r>
      <w:proofErr w:type="spellEnd"/>
      <w:r w:rsidRPr="007D659A">
        <w:t xml:space="preserve"> Sciences. MIT Press.</w:t>
      </w:r>
      <w:r w:rsidRPr="007D659A">
        <w:br/>
        <w:t>[8] Stegmüller, W. (1973). Strukturelle Wissenschaftstheorie. Springer.</w:t>
      </w:r>
      <w:r w:rsidRPr="007D659A">
        <w:br/>
        <w:t xml:space="preserve">[9] Clark, A. (2016). Surfing </w:t>
      </w:r>
      <w:proofErr w:type="spellStart"/>
      <w:r w:rsidRPr="007D659A">
        <w:t>Uncertainty</w:t>
      </w:r>
      <w:proofErr w:type="spellEnd"/>
      <w:r w:rsidRPr="007D659A">
        <w:t xml:space="preserve">: </w:t>
      </w:r>
      <w:proofErr w:type="spellStart"/>
      <w:r w:rsidRPr="007D659A">
        <w:t>Prediction</w:t>
      </w:r>
      <w:proofErr w:type="spellEnd"/>
      <w:r w:rsidRPr="007D659A">
        <w:t xml:space="preserve">, Action, and </w:t>
      </w:r>
      <w:proofErr w:type="spellStart"/>
      <w:r w:rsidRPr="007D659A">
        <w:t>the</w:t>
      </w:r>
      <w:proofErr w:type="spellEnd"/>
      <w:r w:rsidRPr="007D659A">
        <w:t xml:space="preserve"> </w:t>
      </w:r>
      <w:proofErr w:type="spellStart"/>
      <w:r w:rsidRPr="007D659A">
        <w:t>Embodied</w:t>
      </w:r>
      <w:proofErr w:type="spellEnd"/>
      <w:r w:rsidRPr="007D659A">
        <w:t xml:space="preserve"> Mind. Oxford University Press.</w:t>
      </w:r>
      <w:r w:rsidRPr="007D659A">
        <w:br/>
        <w:t xml:space="preserve">[10] Noble, D. (2006). The Music </w:t>
      </w:r>
      <w:proofErr w:type="spellStart"/>
      <w:r w:rsidRPr="007D659A">
        <w:t>of</w:t>
      </w:r>
      <w:proofErr w:type="spellEnd"/>
      <w:r w:rsidRPr="007D659A">
        <w:t xml:space="preserve"> Life: </w:t>
      </w:r>
      <w:proofErr w:type="spellStart"/>
      <w:r w:rsidRPr="007D659A">
        <w:t>Biology</w:t>
      </w:r>
      <w:proofErr w:type="spellEnd"/>
      <w:r w:rsidRPr="007D659A">
        <w:t xml:space="preserve"> </w:t>
      </w:r>
      <w:proofErr w:type="spellStart"/>
      <w:r w:rsidRPr="007D659A">
        <w:t>beyond</w:t>
      </w:r>
      <w:proofErr w:type="spellEnd"/>
      <w:r w:rsidRPr="007D659A">
        <w:t xml:space="preserve"> Genes. Oxford University Press.</w:t>
      </w:r>
      <w:r w:rsidRPr="007D659A">
        <w:br/>
        <w:t xml:space="preserve">[11] Luhmann, N. (1984). Soziale Systeme. </w:t>
      </w:r>
      <w:proofErr w:type="spellStart"/>
      <w:r w:rsidRPr="007D659A">
        <w:t>Grundriß</w:t>
      </w:r>
      <w:proofErr w:type="spellEnd"/>
      <w:r w:rsidRPr="007D659A">
        <w:t xml:space="preserve"> einer allgemeinen Theorie. Suhrkamp.</w:t>
      </w:r>
      <w:r w:rsidRPr="007D659A">
        <w:br/>
        <w:t xml:space="preserve">[12] Eco, U. (1976). A Theory </w:t>
      </w:r>
      <w:proofErr w:type="spellStart"/>
      <w:r w:rsidRPr="007D659A">
        <w:t>of</w:t>
      </w:r>
      <w:proofErr w:type="spellEnd"/>
      <w:r w:rsidRPr="007D659A">
        <w:t xml:space="preserve"> </w:t>
      </w:r>
      <w:proofErr w:type="spellStart"/>
      <w:r w:rsidRPr="007D659A">
        <w:t>Semiotics</w:t>
      </w:r>
      <w:proofErr w:type="spellEnd"/>
      <w:r w:rsidRPr="007D659A">
        <w:t>. Indiana University Press.</w:t>
      </w:r>
      <w:r w:rsidRPr="007D659A">
        <w:br/>
        <w:t xml:space="preserve">[13] </w:t>
      </w:r>
      <w:proofErr w:type="spellStart"/>
      <w:r w:rsidRPr="007D659A">
        <w:t>Awodey</w:t>
      </w:r>
      <w:proofErr w:type="spellEnd"/>
      <w:r w:rsidRPr="007D659A">
        <w:t xml:space="preserve">, S. (2010). </w:t>
      </w:r>
      <w:proofErr w:type="spellStart"/>
      <w:r w:rsidRPr="007D659A">
        <w:t>Category</w:t>
      </w:r>
      <w:proofErr w:type="spellEnd"/>
      <w:r w:rsidRPr="007D659A">
        <w:t xml:space="preserve"> Theory (2nd </w:t>
      </w:r>
      <w:proofErr w:type="spellStart"/>
      <w:r w:rsidRPr="007D659A">
        <w:t>ed</w:t>
      </w:r>
      <w:proofErr w:type="spellEnd"/>
      <w:r w:rsidRPr="007D659A">
        <w:t>.). Oxford University Press.</w:t>
      </w:r>
    </w:p>
    <w:p w14:paraId="3EE990DC" w14:textId="77777777" w:rsidR="007D659A" w:rsidRPr="007D659A" w:rsidRDefault="007D659A" w:rsidP="007D659A">
      <w:r w:rsidRPr="007D659A">
        <w:t xml:space="preserve">[14] Witten, E. (2018). Light Rays, </w:t>
      </w:r>
      <w:proofErr w:type="spellStart"/>
      <w:r w:rsidRPr="007D659A">
        <w:t>Singularities</w:t>
      </w:r>
      <w:proofErr w:type="spellEnd"/>
      <w:r w:rsidRPr="007D659A">
        <w:t xml:space="preserve">, and All </w:t>
      </w:r>
      <w:proofErr w:type="spellStart"/>
      <w:r w:rsidRPr="007D659A">
        <w:t>That</w:t>
      </w:r>
      <w:proofErr w:type="spellEnd"/>
      <w:r w:rsidRPr="007D659A">
        <w:t xml:space="preserve">. Reviews </w:t>
      </w:r>
      <w:proofErr w:type="spellStart"/>
      <w:r w:rsidRPr="007D659A">
        <w:t>of</w:t>
      </w:r>
      <w:proofErr w:type="spellEnd"/>
      <w:r w:rsidRPr="007D659A">
        <w:t xml:space="preserve"> Modern Physics, 90(4), 045003.</w:t>
      </w:r>
      <w:r w:rsidRPr="007D659A">
        <w:br/>
        <w:t xml:space="preserve">[15] Penrose, R. (2004). The Road </w:t>
      </w:r>
      <w:proofErr w:type="spellStart"/>
      <w:r w:rsidRPr="007D659A">
        <w:t>to</w:t>
      </w:r>
      <w:proofErr w:type="spellEnd"/>
      <w:r w:rsidRPr="007D659A">
        <w:t xml:space="preserve"> Reality: A </w:t>
      </w:r>
      <w:proofErr w:type="spellStart"/>
      <w:r w:rsidRPr="007D659A">
        <w:t>Complete</w:t>
      </w:r>
      <w:proofErr w:type="spellEnd"/>
      <w:r w:rsidRPr="007D659A">
        <w:t xml:space="preserve"> Guide </w:t>
      </w:r>
      <w:proofErr w:type="spellStart"/>
      <w:r w:rsidRPr="007D659A">
        <w:t>to</w:t>
      </w:r>
      <w:proofErr w:type="spellEnd"/>
      <w:r w:rsidRPr="007D659A">
        <w:t xml:space="preserve"> </w:t>
      </w:r>
      <w:proofErr w:type="spellStart"/>
      <w:r w:rsidRPr="007D659A">
        <w:t>the</w:t>
      </w:r>
      <w:proofErr w:type="spellEnd"/>
      <w:r w:rsidRPr="007D659A">
        <w:t xml:space="preserve"> Laws </w:t>
      </w:r>
      <w:proofErr w:type="spellStart"/>
      <w:r w:rsidRPr="007D659A">
        <w:t>of</w:t>
      </w:r>
      <w:proofErr w:type="spellEnd"/>
      <w:r w:rsidRPr="007D659A">
        <w:t xml:space="preserve"> </w:t>
      </w:r>
      <w:proofErr w:type="spellStart"/>
      <w:r w:rsidRPr="007D659A">
        <w:t>the</w:t>
      </w:r>
      <w:proofErr w:type="spellEnd"/>
      <w:r w:rsidRPr="007D659A">
        <w:t xml:space="preserve"> Universe. Jonathan Cape.</w:t>
      </w:r>
      <w:r w:rsidRPr="007D659A">
        <w:br/>
        <w:t xml:space="preserve">[16] van </w:t>
      </w:r>
      <w:proofErr w:type="spellStart"/>
      <w:r w:rsidRPr="007D659A">
        <w:t>Fraassen</w:t>
      </w:r>
      <w:proofErr w:type="spellEnd"/>
      <w:r w:rsidRPr="007D659A">
        <w:t xml:space="preserve">, B. C. (2008). Scientific </w:t>
      </w:r>
      <w:proofErr w:type="spellStart"/>
      <w:r w:rsidRPr="007D659A">
        <w:t>Representation</w:t>
      </w:r>
      <w:proofErr w:type="spellEnd"/>
      <w:r w:rsidRPr="007D659A">
        <w:t xml:space="preserve">: Paradoxes </w:t>
      </w:r>
      <w:proofErr w:type="spellStart"/>
      <w:r w:rsidRPr="007D659A">
        <w:t>of</w:t>
      </w:r>
      <w:proofErr w:type="spellEnd"/>
      <w:r w:rsidRPr="007D659A">
        <w:t xml:space="preserve"> </w:t>
      </w:r>
      <w:proofErr w:type="spellStart"/>
      <w:r w:rsidRPr="007D659A">
        <w:t>Perspective</w:t>
      </w:r>
      <w:proofErr w:type="spellEnd"/>
      <w:r w:rsidRPr="007D659A">
        <w:t>. Oxford University Press.</w:t>
      </w:r>
      <w:r w:rsidRPr="007D659A">
        <w:br/>
        <w:t xml:space="preserve">[17] von Foerster, H. (2003). Understanding </w:t>
      </w:r>
      <w:proofErr w:type="spellStart"/>
      <w:r w:rsidRPr="007D659A">
        <w:t>Understanding</w:t>
      </w:r>
      <w:proofErr w:type="spellEnd"/>
      <w:r w:rsidRPr="007D659A">
        <w:t xml:space="preserve">: Essays on </w:t>
      </w:r>
      <w:proofErr w:type="spellStart"/>
      <w:r w:rsidRPr="007D659A">
        <w:t>Cybernetics</w:t>
      </w:r>
      <w:proofErr w:type="spellEnd"/>
      <w:r w:rsidRPr="007D659A">
        <w:t xml:space="preserve"> and </w:t>
      </w:r>
      <w:proofErr w:type="spellStart"/>
      <w:r w:rsidRPr="007D659A">
        <w:t>Cognition</w:t>
      </w:r>
      <w:proofErr w:type="spellEnd"/>
      <w:r w:rsidRPr="007D659A">
        <w:t>. Springer.</w:t>
      </w:r>
      <w:r w:rsidRPr="007D659A">
        <w:br/>
        <w:t xml:space="preserve">[18] Metzinger, T. (2009). The Ego Tunnel: The Science </w:t>
      </w:r>
      <w:proofErr w:type="spellStart"/>
      <w:r w:rsidRPr="007D659A">
        <w:t>of</w:t>
      </w:r>
      <w:proofErr w:type="spellEnd"/>
      <w:r w:rsidRPr="007D659A">
        <w:t xml:space="preserve"> </w:t>
      </w:r>
      <w:proofErr w:type="spellStart"/>
      <w:r w:rsidRPr="007D659A">
        <w:t>the</w:t>
      </w:r>
      <w:proofErr w:type="spellEnd"/>
      <w:r w:rsidRPr="007D659A">
        <w:t xml:space="preserve"> </w:t>
      </w:r>
      <w:proofErr w:type="spellStart"/>
      <w:r w:rsidRPr="007D659A">
        <w:t>Mind</w:t>
      </w:r>
      <w:proofErr w:type="spellEnd"/>
      <w:r w:rsidRPr="007D659A">
        <w:t xml:space="preserve"> and </w:t>
      </w:r>
      <w:proofErr w:type="spellStart"/>
      <w:r w:rsidRPr="007D659A">
        <w:t>the</w:t>
      </w:r>
      <w:proofErr w:type="spellEnd"/>
      <w:r w:rsidRPr="007D659A">
        <w:t xml:space="preserve"> </w:t>
      </w:r>
      <w:proofErr w:type="spellStart"/>
      <w:r w:rsidRPr="007D659A">
        <w:t>Myth</w:t>
      </w:r>
      <w:proofErr w:type="spellEnd"/>
      <w:r w:rsidRPr="007D659A">
        <w:t xml:space="preserve"> </w:t>
      </w:r>
      <w:proofErr w:type="spellStart"/>
      <w:r w:rsidRPr="007D659A">
        <w:t>of</w:t>
      </w:r>
      <w:proofErr w:type="spellEnd"/>
      <w:r w:rsidRPr="007D659A">
        <w:t xml:space="preserve"> </w:t>
      </w:r>
      <w:proofErr w:type="spellStart"/>
      <w:r w:rsidRPr="007D659A">
        <w:t>the</w:t>
      </w:r>
      <w:proofErr w:type="spellEnd"/>
      <w:r w:rsidRPr="007D659A">
        <w:t xml:space="preserve"> </w:t>
      </w:r>
      <w:proofErr w:type="spellStart"/>
      <w:r w:rsidRPr="007D659A">
        <w:t>Self</w:t>
      </w:r>
      <w:proofErr w:type="spellEnd"/>
      <w:r w:rsidRPr="007D659A">
        <w:t>. Basic Books.</w:t>
      </w:r>
      <w:r w:rsidRPr="007D659A">
        <w:br/>
        <w:t xml:space="preserve">[19] Maturana, H. R., &amp; Varela, F. J. (1980). Autopoiesis and </w:t>
      </w:r>
      <w:proofErr w:type="spellStart"/>
      <w:r w:rsidRPr="007D659A">
        <w:t>Cognition</w:t>
      </w:r>
      <w:proofErr w:type="spellEnd"/>
      <w:r w:rsidRPr="007D659A">
        <w:t xml:space="preserve">: The </w:t>
      </w:r>
      <w:proofErr w:type="spellStart"/>
      <w:r w:rsidRPr="007D659A">
        <w:t>Realization</w:t>
      </w:r>
      <w:proofErr w:type="spellEnd"/>
      <w:r w:rsidRPr="007D659A">
        <w:t xml:space="preserve"> </w:t>
      </w:r>
      <w:proofErr w:type="spellStart"/>
      <w:r w:rsidRPr="007D659A">
        <w:t>of</w:t>
      </w:r>
      <w:proofErr w:type="spellEnd"/>
      <w:r w:rsidRPr="007D659A">
        <w:t xml:space="preserve"> </w:t>
      </w:r>
      <w:proofErr w:type="spellStart"/>
      <w:r w:rsidRPr="007D659A">
        <w:t>the</w:t>
      </w:r>
      <w:proofErr w:type="spellEnd"/>
      <w:r w:rsidRPr="007D659A">
        <w:t xml:space="preserve"> Living. Reidel.</w:t>
      </w:r>
      <w:r w:rsidRPr="007D659A">
        <w:br/>
        <w:t xml:space="preserve">[20] Luhmann, N. (1990). </w:t>
      </w:r>
      <w:r w:rsidRPr="007D659A">
        <w:rPr>
          <w:i/>
          <w:iCs/>
        </w:rPr>
        <w:t>Die Wissenschaft der Gesellschaft</w:t>
      </w:r>
      <w:r w:rsidRPr="007D659A">
        <w:t>. Suhrkamp.</w:t>
      </w:r>
      <w:r w:rsidRPr="007D659A">
        <w:br/>
        <w:t xml:space="preserve">[21] Baecker, D. (2002). </w:t>
      </w:r>
      <w:r w:rsidRPr="007D659A">
        <w:rPr>
          <w:i/>
          <w:iCs/>
        </w:rPr>
        <w:t>Form und Formen der Kommunikation</w:t>
      </w:r>
      <w:r w:rsidRPr="007D659A">
        <w:t>. Suhrkamp.</w:t>
      </w:r>
    </w:p>
    <w:p w14:paraId="469591C6" w14:textId="77777777" w:rsidR="007D659A" w:rsidRPr="007D659A" w:rsidRDefault="007D659A" w:rsidP="007D659A">
      <w:r w:rsidRPr="007D659A">
        <w:t xml:space="preserve">[22] Wittmann, E. </w:t>
      </w:r>
      <w:proofErr w:type="spellStart"/>
      <w:r w:rsidRPr="007D659A">
        <w:t>Ch</w:t>
      </w:r>
      <w:proofErr w:type="spellEnd"/>
      <w:r w:rsidRPr="007D659A">
        <w:t xml:space="preserve">. (1995). </w:t>
      </w:r>
      <w:r w:rsidRPr="007D659A">
        <w:rPr>
          <w:i/>
          <w:iCs/>
        </w:rPr>
        <w:t>Mathematikdidaktik als Entwicklungsforschung</w:t>
      </w:r>
      <w:r w:rsidRPr="007D659A">
        <w:t>. Spektrum Akademischer Verlag.</w:t>
      </w:r>
      <w:r w:rsidRPr="007D659A">
        <w:br/>
        <w:t xml:space="preserve">[23] Gentner, D., &amp; Smith, L. (2012). Analogical </w:t>
      </w:r>
      <w:proofErr w:type="spellStart"/>
      <w:r w:rsidRPr="007D659A">
        <w:t>Reasoning</w:t>
      </w:r>
      <w:proofErr w:type="spellEnd"/>
      <w:r w:rsidRPr="007D659A">
        <w:t xml:space="preserve">. In K. J. </w:t>
      </w:r>
      <w:proofErr w:type="spellStart"/>
      <w:r w:rsidRPr="007D659A">
        <w:t>Holyoak</w:t>
      </w:r>
      <w:proofErr w:type="spellEnd"/>
      <w:r w:rsidRPr="007D659A">
        <w:t xml:space="preserve"> &amp; R. G. Morrison (Eds.), </w:t>
      </w:r>
      <w:r w:rsidRPr="007D659A">
        <w:rPr>
          <w:i/>
          <w:iCs/>
        </w:rPr>
        <w:t xml:space="preserve">The Oxford Handbook </w:t>
      </w:r>
      <w:proofErr w:type="spellStart"/>
      <w:r w:rsidRPr="007D659A">
        <w:rPr>
          <w:i/>
          <w:iCs/>
        </w:rPr>
        <w:t>of</w:t>
      </w:r>
      <w:proofErr w:type="spellEnd"/>
      <w:r w:rsidRPr="007D659A">
        <w:rPr>
          <w:i/>
          <w:iCs/>
        </w:rPr>
        <w:t xml:space="preserve"> </w:t>
      </w:r>
      <w:proofErr w:type="spellStart"/>
      <w:r w:rsidRPr="007D659A">
        <w:rPr>
          <w:i/>
          <w:iCs/>
        </w:rPr>
        <w:t>Thinking</w:t>
      </w:r>
      <w:proofErr w:type="spellEnd"/>
      <w:r w:rsidRPr="007D659A">
        <w:rPr>
          <w:i/>
          <w:iCs/>
        </w:rPr>
        <w:t xml:space="preserve"> and </w:t>
      </w:r>
      <w:proofErr w:type="spellStart"/>
      <w:r w:rsidRPr="007D659A">
        <w:rPr>
          <w:i/>
          <w:iCs/>
        </w:rPr>
        <w:t>Reasoning</w:t>
      </w:r>
      <w:proofErr w:type="spellEnd"/>
      <w:r w:rsidRPr="007D659A">
        <w:t xml:space="preserve"> (pp. 161–177). Oxford University Press.</w:t>
      </w:r>
      <w:r w:rsidRPr="007D659A">
        <w:br/>
        <w:t xml:space="preserve">[24] </w:t>
      </w:r>
      <w:proofErr w:type="spellStart"/>
      <w:r w:rsidRPr="007D659A">
        <w:t>Vosniadou</w:t>
      </w:r>
      <w:proofErr w:type="spellEnd"/>
      <w:r w:rsidRPr="007D659A">
        <w:t xml:space="preserve">, S. (2008). International Handbook </w:t>
      </w:r>
      <w:proofErr w:type="spellStart"/>
      <w:r w:rsidRPr="007D659A">
        <w:t>of</w:t>
      </w:r>
      <w:proofErr w:type="spellEnd"/>
      <w:r w:rsidRPr="007D659A">
        <w:t xml:space="preserve"> Research on </w:t>
      </w:r>
      <w:proofErr w:type="spellStart"/>
      <w:r w:rsidRPr="007D659A">
        <w:t>Conceptual</w:t>
      </w:r>
      <w:proofErr w:type="spellEnd"/>
      <w:r w:rsidRPr="007D659A">
        <w:t xml:space="preserve"> Change. </w:t>
      </w:r>
      <w:r w:rsidRPr="007D659A">
        <w:rPr>
          <w:i/>
          <w:iCs/>
        </w:rPr>
        <w:t>Routledge</w:t>
      </w:r>
      <w:r w:rsidRPr="007D659A">
        <w:t>.</w:t>
      </w:r>
      <w:r w:rsidRPr="007D659A">
        <w:br/>
        <w:t xml:space="preserve">[25] Posner, G. J., Strike, K. A., </w:t>
      </w:r>
      <w:proofErr w:type="spellStart"/>
      <w:r w:rsidRPr="007D659A">
        <w:t>Hewson</w:t>
      </w:r>
      <w:proofErr w:type="spellEnd"/>
      <w:r w:rsidRPr="007D659A">
        <w:t xml:space="preserve">, P. W., &amp; </w:t>
      </w:r>
      <w:proofErr w:type="spellStart"/>
      <w:r w:rsidRPr="007D659A">
        <w:t>Gertzog</w:t>
      </w:r>
      <w:proofErr w:type="spellEnd"/>
      <w:r w:rsidRPr="007D659A">
        <w:t xml:space="preserve">, W. A. (1982). </w:t>
      </w:r>
      <w:proofErr w:type="spellStart"/>
      <w:r w:rsidRPr="007D659A">
        <w:t>Accommodation</w:t>
      </w:r>
      <w:proofErr w:type="spellEnd"/>
      <w:r w:rsidRPr="007D659A">
        <w:t xml:space="preserve"> </w:t>
      </w:r>
      <w:proofErr w:type="spellStart"/>
      <w:r w:rsidRPr="007D659A">
        <w:t>of</w:t>
      </w:r>
      <w:proofErr w:type="spellEnd"/>
      <w:r w:rsidRPr="007D659A">
        <w:t xml:space="preserve"> a Scientific </w:t>
      </w:r>
      <w:proofErr w:type="spellStart"/>
      <w:r w:rsidRPr="007D659A">
        <w:t>Conception</w:t>
      </w:r>
      <w:proofErr w:type="spellEnd"/>
      <w:r w:rsidRPr="007D659A">
        <w:t xml:space="preserve">: </w:t>
      </w:r>
      <w:proofErr w:type="spellStart"/>
      <w:r w:rsidRPr="007D659A">
        <w:t>Toward</w:t>
      </w:r>
      <w:proofErr w:type="spellEnd"/>
      <w:r w:rsidRPr="007D659A">
        <w:t xml:space="preserve"> a Theory </w:t>
      </w:r>
      <w:proofErr w:type="spellStart"/>
      <w:r w:rsidRPr="007D659A">
        <w:t>of</w:t>
      </w:r>
      <w:proofErr w:type="spellEnd"/>
      <w:r w:rsidRPr="007D659A">
        <w:t xml:space="preserve"> </w:t>
      </w:r>
      <w:proofErr w:type="spellStart"/>
      <w:r w:rsidRPr="007D659A">
        <w:t>Conceptual</w:t>
      </w:r>
      <w:proofErr w:type="spellEnd"/>
      <w:r w:rsidRPr="007D659A">
        <w:t xml:space="preserve"> Change. </w:t>
      </w:r>
      <w:r w:rsidRPr="007D659A">
        <w:rPr>
          <w:i/>
          <w:iCs/>
        </w:rPr>
        <w:t>Science Education</w:t>
      </w:r>
      <w:r w:rsidRPr="007D659A">
        <w:t>, 66(2), 211–227.</w:t>
      </w:r>
      <w:r w:rsidRPr="007D659A">
        <w:br/>
        <w:t xml:space="preserve">[26] Festinger, L. (1957). </w:t>
      </w:r>
      <w:r w:rsidRPr="007D659A">
        <w:rPr>
          <w:i/>
          <w:iCs/>
        </w:rPr>
        <w:t xml:space="preserve">A Theory </w:t>
      </w:r>
      <w:proofErr w:type="spellStart"/>
      <w:r w:rsidRPr="007D659A">
        <w:rPr>
          <w:i/>
          <w:iCs/>
        </w:rPr>
        <w:t>of</w:t>
      </w:r>
      <w:proofErr w:type="spellEnd"/>
      <w:r w:rsidRPr="007D659A">
        <w:rPr>
          <w:i/>
          <w:iCs/>
        </w:rPr>
        <w:t xml:space="preserve"> </w:t>
      </w:r>
      <w:proofErr w:type="spellStart"/>
      <w:r w:rsidRPr="007D659A">
        <w:rPr>
          <w:i/>
          <w:iCs/>
        </w:rPr>
        <w:t>Cognitive</w:t>
      </w:r>
      <w:proofErr w:type="spellEnd"/>
      <w:r w:rsidRPr="007D659A">
        <w:rPr>
          <w:i/>
          <w:iCs/>
        </w:rPr>
        <w:t xml:space="preserve"> </w:t>
      </w:r>
      <w:proofErr w:type="spellStart"/>
      <w:r w:rsidRPr="007D659A">
        <w:rPr>
          <w:i/>
          <w:iCs/>
        </w:rPr>
        <w:t>Dissonance</w:t>
      </w:r>
      <w:proofErr w:type="spellEnd"/>
      <w:r w:rsidRPr="007D659A">
        <w:t>. Stanford University Press.</w:t>
      </w:r>
      <w:r w:rsidRPr="007D659A">
        <w:br/>
        <w:t xml:space="preserve">[27] </w:t>
      </w:r>
      <w:proofErr w:type="spellStart"/>
      <w:r w:rsidRPr="007D659A">
        <w:t>Sfard</w:t>
      </w:r>
      <w:proofErr w:type="spellEnd"/>
      <w:r w:rsidRPr="007D659A">
        <w:t xml:space="preserve">, A. (2007). </w:t>
      </w:r>
      <w:proofErr w:type="spellStart"/>
      <w:r w:rsidRPr="007D659A">
        <w:t>When</w:t>
      </w:r>
      <w:proofErr w:type="spellEnd"/>
      <w:r w:rsidRPr="007D659A">
        <w:t xml:space="preserve"> </w:t>
      </w:r>
      <w:proofErr w:type="spellStart"/>
      <w:r w:rsidRPr="007D659A">
        <w:t>the</w:t>
      </w:r>
      <w:proofErr w:type="spellEnd"/>
      <w:r w:rsidRPr="007D659A">
        <w:t xml:space="preserve"> Rules </w:t>
      </w:r>
      <w:proofErr w:type="spellStart"/>
      <w:r w:rsidRPr="007D659A">
        <w:t>of</w:t>
      </w:r>
      <w:proofErr w:type="spellEnd"/>
      <w:r w:rsidRPr="007D659A">
        <w:t xml:space="preserve"> </w:t>
      </w:r>
      <w:proofErr w:type="spellStart"/>
      <w:r w:rsidRPr="007D659A">
        <w:t>Discourse</w:t>
      </w:r>
      <w:proofErr w:type="spellEnd"/>
      <w:r w:rsidRPr="007D659A">
        <w:t xml:space="preserve"> Change, but Nobody Tells </w:t>
      </w:r>
      <w:proofErr w:type="spellStart"/>
      <w:r w:rsidRPr="007D659A">
        <w:t>You</w:t>
      </w:r>
      <w:proofErr w:type="spellEnd"/>
      <w:r w:rsidRPr="007D659A">
        <w:t xml:space="preserve">: Making Sense </w:t>
      </w:r>
      <w:proofErr w:type="spellStart"/>
      <w:r w:rsidRPr="007D659A">
        <w:t>of</w:t>
      </w:r>
      <w:proofErr w:type="spellEnd"/>
      <w:r w:rsidRPr="007D659A">
        <w:t xml:space="preserve"> </w:t>
      </w:r>
      <w:proofErr w:type="spellStart"/>
      <w:r w:rsidRPr="007D659A">
        <w:t>Mathematics</w:t>
      </w:r>
      <w:proofErr w:type="spellEnd"/>
      <w:r w:rsidRPr="007D659A">
        <w:t xml:space="preserve"> Learning </w:t>
      </w:r>
      <w:proofErr w:type="spellStart"/>
      <w:r w:rsidRPr="007D659A">
        <w:t>from</w:t>
      </w:r>
      <w:proofErr w:type="spellEnd"/>
      <w:r w:rsidRPr="007D659A">
        <w:t xml:space="preserve"> a </w:t>
      </w:r>
      <w:proofErr w:type="spellStart"/>
      <w:r w:rsidRPr="007D659A">
        <w:t>Commognitive</w:t>
      </w:r>
      <w:proofErr w:type="spellEnd"/>
      <w:r w:rsidRPr="007D659A">
        <w:t xml:space="preserve"> Standpoint. </w:t>
      </w:r>
      <w:r w:rsidRPr="007D659A">
        <w:rPr>
          <w:i/>
          <w:iCs/>
        </w:rPr>
        <w:t xml:space="preserve">Journal </w:t>
      </w:r>
      <w:proofErr w:type="spellStart"/>
      <w:r w:rsidRPr="007D659A">
        <w:rPr>
          <w:i/>
          <w:iCs/>
        </w:rPr>
        <w:t>of</w:t>
      </w:r>
      <w:proofErr w:type="spellEnd"/>
      <w:r w:rsidRPr="007D659A">
        <w:rPr>
          <w:i/>
          <w:iCs/>
        </w:rPr>
        <w:t xml:space="preserve"> </w:t>
      </w:r>
      <w:proofErr w:type="spellStart"/>
      <w:r w:rsidRPr="007D659A">
        <w:rPr>
          <w:i/>
          <w:iCs/>
        </w:rPr>
        <w:t>the</w:t>
      </w:r>
      <w:proofErr w:type="spellEnd"/>
      <w:r w:rsidRPr="007D659A">
        <w:rPr>
          <w:i/>
          <w:iCs/>
        </w:rPr>
        <w:t xml:space="preserve"> Learning Sciences</w:t>
      </w:r>
      <w:r w:rsidRPr="007D659A">
        <w:t>, 16(4), 565–613.</w:t>
      </w:r>
    </w:p>
    <w:p w14:paraId="4E4F0180" w14:textId="77777777" w:rsidR="007D659A" w:rsidRPr="007D659A" w:rsidRDefault="007D659A" w:rsidP="007D659A">
      <w:r w:rsidRPr="007D659A">
        <w:t xml:space="preserve">[28] </w:t>
      </w:r>
      <w:proofErr w:type="spellStart"/>
      <w:r w:rsidRPr="007D659A">
        <w:t>Kauffman</w:t>
      </w:r>
      <w:proofErr w:type="spellEnd"/>
      <w:r w:rsidRPr="007D659A">
        <w:t xml:space="preserve">, S. A. (1993). </w:t>
      </w:r>
      <w:r w:rsidRPr="007D659A">
        <w:rPr>
          <w:i/>
          <w:iCs/>
        </w:rPr>
        <w:t xml:space="preserve">The Origins </w:t>
      </w:r>
      <w:proofErr w:type="spellStart"/>
      <w:r w:rsidRPr="007D659A">
        <w:rPr>
          <w:i/>
          <w:iCs/>
        </w:rPr>
        <w:t>of</w:t>
      </w:r>
      <w:proofErr w:type="spellEnd"/>
      <w:r w:rsidRPr="007D659A">
        <w:rPr>
          <w:i/>
          <w:iCs/>
        </w:rPr>
        <w:t xml:space="preserve"> Order: Self-</w:t>
      </w:r>
      <w:proofErr w:type="spellStart"/>
      <w:r w:rsidRPr="007D659A">
        <w:rPr>
          <w:i/>
          <w:iCs/>
        </w:rPr>
        <w:t>Organization</w:t>
      </w:r>
      <w:proofErr w:type="spellEnd"/>
      <w:r w:rsidRPr="007D659A">
        <w:rPr>
          <w:i/>
          <w:iCs/>
        </w:rPr>
        <w:t xml:space="preserve"> and </w:t>
      </w:r>
      <w:proofErr w:type="spellStart"/>
      <w:r w:rsidRPr="007D659A">
        <w:rPr>
          <w:i/>
          <w:iCs/>
        </w:rPr>
        <w:t>Selection</w:t>
      </w:r>
      <w:proofErr w:type="spellEnd"/>
      <w:r w:rsidRPr="007D659A">
        <w:rPr>
          <w:i/>
          <w:iCs/>
        </w:rPr>
        <w:t xml:space="preserve"> in Evolution</w:t>
      </w:r>
      <w:r w:rsidRPr="007D659A">
        <w:t>. Oxford University Press.</w:t>
      </w:r>
      <w:r w:rsidRPr="007D659A">
        <w:br/>
        <w:t xml:space="preserve">[29] </w:t>
      </w:r>
      <w:proofErr w:type="spellStart"/>
      <w:r w:rsidRPr="007D659A">
        <w:t>Lawvere</w:t>
      </w:r>
      <w:proofErr w:type="spellEnd"/>
      <w:r w:rsidRPr="007D659A">
        <w:t xml:space="preserve">, F. W., &amp; </w:t>
      </w:r>
      <w:proofErr w:type="spellStart"/>
      <w:r w:rsidRPr="007D659A">
        <w:t>Schanuel</w:t>
      </w:r>
      <w:proofErr w:type="spellEnd"/>
      <w:r w:rsidRPr="007D659A">
        <w:t xml:space="preserve">, S. H. (2009). </w:t>
      </w:r>
      <w:proofErr w:type="spellStart"/>
      <w:r w:rsidRPr="007D659A">
        <w:rPr>
          <w:i/>
          <w:iCs/>
        </w:rPr>
        <w:t>Conceptual</w:t>
      </w:r>
      <w:proofErr w:type="spellEnd"/>
      <w:r w:rsidRPr="007D659A">
        <w:rPr>
          <w:i/>
          <w:iCs/>
        </w:rPr>
        <w:t xml:space="preserve"> </w:t>
      </w:r>
      <w:proofErr w:type="spellStart"/>
      <w:r w:rsidRPr="007D659A">
        <w:rPr>
          <w:i/>
          <w:iCs/>
        </w:rPr>
        <w:t>Mathematics</w:t>
      </w:r>
      <w:proofErr w:type="spellEnd"/>
      <w:r w:rsidRPr="007D659A">
        <w:rPr>
          <w:i/>
          <w:iCs/>
        </w:rPr>
        <w:t xml:space="preserve">: A First </w:t>
      </w:r>
      <w:proofErr w:type="spellStart"/>
      <w:r w:rsidRPr="007D659A">
        <w:rPr>
          <w:i/>
          <w:iCs/>
        </w:rPr>
        <w:t>Introduction</w:t>
      </w:r>
      <w:proofErr w:type="spellEnd"/>
      <w:r w:rsidRPr="007D659A">
        <w:rPr>
          <w:i/>
          <w:iCs/>
        </w:rPr>
        <w:t xml:space="preserve"> </w:t>
      </w:r>
      <w:proofErr w:type="spellStart"/>
      <w:r w:rsidRPr="007D659A">
        <w:rPr>
          <w:i/>
          <w:iCs/>
        </w:rPr>
        <w:t>to</w:t>
      </w:r>
      <w:proofErr w:type="spellEnd"/>
      <w:r w:rsidRPr="007D659A">
        <w:rPr>
          <w:i/>
          <w:iCs/>
        </w:rPr>
        <w:t xml:space="preserve"> </w:t>
      </w:r>
      <w:proofErr w:type="spellStart"/>
      <w:r w:rsidRPr="007D659A">
        <w:rPr>
          <w:i/>
          <w:iCs/>
        </w:rPr>
        <w:t>Categories</w:t>
      </w:r>
      <w:proofErr w:type="spellEnd"/>
      <w:r w:rsidRPr="007D659A">
        <w:t>. Cambridge University Press.</w:t>
      </w:r>
      <w:r w:rsidRPr="007D659A">
        <w:br/>
        <w:t>[30] Design-</w:t>
      </w:r>
      <w:proofErr w:type="spellStart"/>
      <w:r w:rsidRPr="007D659A">
        <w:t>Based</w:t>
      </w:r>
      <w:proofErr w:type="spellEnd"/>
      <w:r w:rsidRPr="007D659A">
        <w:t xml:space="preserve"> Research Collective. (2003). Design-</w:t>
      </w:r>
      <w:proofErr w:type="spellStart"/>
      <w:r w:rsidRPr="007D659A">
        <w:t>Based</w:t>
      </w:r>
      <w:proofErr w:type="spellEnd"/>
      <w:r w:rsidRPr="007D659A">
        <w:t xml:space="preserve"> Research: An Emerging </w:t>
      </w:r>
      <w:proofErr w:type="spellStart"/>
      <w:r w:rsidRPr="007D659A">
        <w:t>Paradigm</w:t>
      </w:r>
      <w:proofErr w:type="spellEnd"/>
      <w:r w:rsidRPr="007D659A">
        <w:t xml:space="preserve"> </w:t>
      </w:r>
      <w:proofErr w:type="spellStart"/>
      <w:r w:rsidRPr="007D659A">
        <w:t>for</w:t>
      </w:r>
      <w:proofErr w:type="spellEnd"/>
      <w:r w:rsidRPr="007D659A">
        <w:t xml:space="preserve"> Educational </w:t>
      </w:r>
      <w:proofErr w:type="spellStart"/>
      <w:r w:rsidRPr="007D659A">
        <w:t>Inquiry</w:t>
      </w:r>
      <w:proofErr w:type="spellEnd"/>
      <w:r w:rsidRPr="007D659A">
        <w:t xml:space="preserve">. </w:t>
      </w:r>
      <w:r w:rsidRPr="007D659A">
        <w:rPr>
          <w:i/>
          <w:iCs/>
        </w:rPr>
        <w:t>Educational Researcher</w:t>
      </w:r>
      <w:r w:rsidRPr="007D659A">
        <w:t>, 32(1), 5–8.</w:t>
      </w:r>
      <w:r w:rsidRPr="007D659A">
        <w:br/>
        <w:t xml:space="preserve">[31] Mitchell, M. (2009). </w:t>
      </w:r>
      <w:proofErr w:type="spellStart"/>
      <w:r w:rsidRPr="007D659A">
        <w:rPr>
          <w:i/>
          <w:iCs/>
        </w:rPr>
        <w:t>Complexity</w:t>
      </w:r>
      <w:proofErr w:type="spellEnd"/>
      <w:r w:rsidRPr="007D659A">
        <w:rPr>
          <w:i/>
          <w:iCs/>
        </w:rPr>
        <w:t xml:space="preserve">: A </w:t>
      </w:r>
      <w:proofErr w:type="spellStart"/>
      <w:r w:rsidRPr="007D659A">
        <w:rPr>
          <w:i/>
          <w:iCs/>
        </w:rPr>
        <w:t>Guided</w:t>
      </w:r>
      <w:proofErr w:type="spellEnd"/>
      <w:r w:rsidRPr="007D659A">
        <w:rPr>
          <w:i/>
          <w:iCs/>
        </w:rPr>
        <w:t xml:space="preserve"> Tour</w:t>
      </w:r>
      <w:r w:rsidRPr="007D659A">
        <w:t>. Oxford University Press.</w:t>
      </w:r>
      <w:r w:rsidRPr="007D659A">
        <w:br/>
        <w:t xml:space="preserve">[32] Baecker, D. (2001). </w:t>
      </w:r>
      <w:r w:rsidRPr="007D659A">
        <w:rPr>
          <w:i/>
          <w:iCs/>
        </w:rPr>
        <w:t xml:space="preserve">Wie kommt der Code in die </w:t>
      </w:r>
      <w:proofErr w:type="gramStart"/>
      <w:r w:rsidRPr="007D659A">
        <w:rPr>
          <w:i/>
          <w:iCs/>
        </w:rPr>
        <w:t>Welt?</w:t>
      </w:r>
      <w:r w:rsidRPr="007D659A">
        <w:t>.</w:t>
      </w:r>
      <w:proofErr w:type="gramEnd"/>
      <w:r w:rsidRPr="007D659A">
        <w:t xml:space="preserve"> Kulturverlag Kadmos.</w:t>
      </w:r>
      <w:r w:rsidRPr="007D659A">
        <w:br/>
        <w:t xml:space="preserve">[33] Frigg, R., &amp; Hartmann, S. (2020). Models in Science. In E. N. </w:t>
      </w:r>
      <w:proofErr w:type="spellStart"/>
      <w:r w:rsidRPr="007D659A">
        <w:t>Zalta</w:t>
      </w:r>
      <w:proofErr w:type="spellEnd"/>
      <w:r w:rsidRPr="007D659A">
        <w:t xml:space="preserve"> (Ed.), </w:t>
      </w:r>
      <w:r w:rsidRPr="007D659A">
        <w:rPr>
          <w:i/>
          <w:iCs/>
        </w:rPr>
        <w:t xml:space="preserve">The Stanford Encyclopedia </w:t>
      </w:r>
      <w:proofErr w:type="spellStart"/>
      <w:r w:rsidRPr="007D659A">
        <w:rPr>
          <w:i/>
          <w:iCs/>
        </w:rPr>
        <w:t>of</w:t>
      </w:r>
      <w:proofErr w:type="spellEnd"/>
      <w:r w:rsidRPr="007D659A">
        <w:rPr>
          <w:i/>
          <w:iCs/>
        </w:rPr>
        <w:t xml:space="preserve"> Philosophy</w:t>
      </w:r>
      <w:r w:rsidRPr="007D659A">
        <w:t xml:space="preserve"> (Fall 2020 Edition).</w:t>
      </w:r>
      <w:r w:rsidRPr="007D659A">
        <w:br/>
        <w:t xml:space="preserve">[34] Müller, K. H. (2016). </w:t>
      </w:r>
      <w:r w:rsidRPr="007D659A">
        <w:rPr>
          <w:i/>
          <w:iCs/>
        </w:rPr>
        <w:t xml:space="preserve">Second-Order Science: </w:t>
      </w:r>
      <w:proofErr w:type="spellStart"/>
      <w:r w:rsidRPr="007D659A">
        <w:rPr>
          <w:i/>
          <w:iCs/>
        </w:rPr>
        <w:t>Logic</w:t>
      </w:r>
      <w:proofErr w:type="spellEnd"/>
      <w:r w:rsidRPr="007D659A">
        <w:rPr>
          <w:i/>
          <w:iCs/>
        </w:rPr>
        <w:t xml:space="preserve">, </w:t>
      </w:r>
      <w:proofErr w:type="spellStart"/>
      <w:r w:rsidRPr="007D659A">
        <w:rPr>
          <w:i/>
          <w:iCs/>
        </w:rPr>
        <w:t>Strategies</w:t>
      </w:r>
      <w:proofErr w:type="spellEnd"/>
      <w:r w:rsidRPr="007D659A">
        <w:rPr>
          <w:i/>
          <w:iCs/>
        </w:rPr>
        <w:t>, Methods</w:t>
      </w:r>
      <w:r w:rsidRPr="007D659A">
        <w:t>. Springer.</w:t>
      </w:r>
    </w:p>
    <w:p w14:paraId="1310D166" w14:textId="77777777" w:rsidR="007D659A" w:rsidRPr="007D659A" w:rsidRDefault="007D659A" w:rsidP="007D659A">
      <w:r w:rsidRPr="007D659A">
        <w:t xml:space="preserve">[35] Chomsky, N. (1965). </w:t>
      </w:r>
      <w:proofErr w:type="spellStart"/>
      <w:r w:rsidRPr="007D659A">
        <w:rPr>
          <w:i/>
          <w:iCs/>
        </w:rPr>
        <w:t>Aspects</w:t>
      </w:r>
      <w:proofErr w:type="spellEnd"/>
      <w:r w:rsidRPr="007D659A">
        <w:rPr>
          <w:i/>
          <w:iCs/>
        </w:rPr>
        <w:t xml:space="preserve"> </w:t>
      </w:r>
      <w:proofErr w:type="spellStart"/>
      <w:r w:rsidRPr="007D659A">
        <w:rPr>
          <w:i/>
          <w:iCs/>
        </w:rPr>
        <w:t>of</w:t>
      </w:r>
      <w:proofErr w:type="spellEnd"/>
      <w:r w:rsidRPr="007D659A">
        <w:rPr>
          <w:i/>
          <w:iCs/>
        </w:rPr>
        <w:t xml:space="preserve"> </w:t>
      </w:r>
      <w:proofErr w:type="spellStart"/>
      <w:r w:rsidRPr="007D659A">
        <w:rPr>
          <w:i/>
          <w:iCs/>
        </w:rPr>
        <w:t>the</w:t>
      </w:r>
      <w:proofErr w:type="spellEnd"/>
      <w:r w:rsidRPr="007D659A">
        <w:rPr>
          <w:i/>
          <w:iCs/>
        </w:rPr>
        <w:t xml:space="preserve"> Theory </w:t>
      </w:r>
      <w:proofErr w:type="spellStart"/>
      <w:r w:rsidRPr="007D659A">
        <w:rPr>
          <w:i/>
          <w:iCs/>
        </w:rPr>
        <w:t>of</w:t>
      </w:r>
      <w:proofErr w:type="spellEnd"/>
      <w:r w:rsidRPr="007D659A">
        <w:rPr>
          <w:i/>
          <w:iCs/>
        </w:rPr>
        <w:t xml:space="preserve"> Syntax</w:t>
      </w:r>
      <w:r w:rsidRPr="007D659A">
        <w:t>. MIT Press.</w:t>
      </w:r>
      <w:r w:rsidRPr="007D659A">
        <w:br/>
        <w:t xml:space="preserve">[36] </w:t>
      </w:r>
      <w:proofErr w:type="spellStart"/>
      <w:r w:rsidRPr="007D659A">
        <w:t>Holyoak</w:t>
      </w:r>
      <w:proofErr w:type="spellEnd"/>
      <w:r w:rsidRPr="007D659A">
        <w:t xml:space="preserve">, K. J., &amp; Thagard, P. (1997). The Analogical Mind. </w:t>
      </w:r>
      <w:r w:rsidRPr="007D659A">
        <w:rPr>
          <w:i/>
          <w:iCs/>
        </w:rPr>
        <w:t xml:space="preserve">American </w:t>
      </w:r>
      <w:proofErr w:type="spellStart"/>
      <w:r w:rsidRPr="007D659A">
        <w:rPr>
          <w:i/>
          <w:iCs/>
        </w:rPr>
        <w:t>Psychologist</w:t>
      </w:r>
      <w:proofErr w:type="spellEnd"/>
      <w:r w:rsidRPr="007D659A">
        <w:t>, 52(1), 35–44.</w:t>
      </w:r>
      <w:r w:rsidRPr="007D659A">
        <w:br/>
        <w:t xml:space="preserve">[37] Jørgensen, S. E., &amp; </w:t>
      </w:r>
      <w:proofErr w:type="spellStart"/>
      <w:r w:rsidRPr="007D659A">
        <w:t>Bendoricchio</w:t>
      </w:r>
      <w:proofErr w:type="spellEnd"/>
      <w:r w:rsidRPr="007D659A">
        <w:t xml:space="preserve">, G. (2001). </w:t>
      </w:r>
      <w:proofErr w:type="spellStart"/>
      <w:r w:rsidRPr="007D659A">
        <w:rPr>
          <w:i/>
          <w:iCs/>
        </w:rPr>
        <w:t>Fundamentals</w:t>
      </w:r>
      <w:proofErr w:type="spellEnd"/>
      <w:r w:rsidRPr="007D659A">
        <w:rPr>
          <w:i/>
          <w:iCs/>
        </w:rPr>
        <w:t xml:space="preserve"> </w:t>
      </w:r>
      <w:proofErr w:type="spellStart"/>
      <w:r w:rsidRPr="007D659A">
        <w:rPr>
          <w:i/>
          <w:iCs/>
        </w:rPr>
        <w:t>of</w:t>
      </w:r>
      <w:proofErr w:type="spellEnd"/>
      <w:r w:rsidRPr="007D659A">
        <w:rPr>
          <w:i/>
          <w:iCs/>
        </w:rPr>
        <w:t xml:space="preserve"> </w:t>
      </w:r>
      <w:proofErr w:type="spellStart"/>
      <w:r w:rsidRPr="007D659A">
        <w:rPr>
          <w:i/>
          <w:iCs/>
        </w:rPr>
        <w:t>Ecological</w:t>
      </w:r>
      <w:proofErr w:type="spellEnd"/>
      <w:r w:rsidRPr="007D659A">
        <w:rPr>
          <w:i/>
          <w:iCs/>
        </w:rPr>
        <w:t xml:space="preserve"> Modelling</w:t>
      </w:r>
      <w:r w:rsidRPr="007D659A">
        <w:t>. Elsevier.</w:t>
      </w:r>
      <w:r w:rsidRPr="007D659A">
        <w:br/>
        <w:t xml:space="preserve">[38] Peirce, C. S. (1931–1958). </w:t>
      </w:r>
      <w:proofErr w:type="spellStart"/>
      <w:r w:rsidRPr="007D659A">
        <w:rPr>
          <w:i/>
          <w:iCs/>
        </w:rPr>
        <w:t>Collected</w:t>
      </w:r>
      <w:proofErr w:type="spellEnd"/>
      <w:r w:rsidRPr="007D659A">
        <w:rPr>
          <w:i/>
          <w:iCs/>
        </w:rPr>
        <w:t xml:space="preserve"> Papers </w:t>
      </w:r>
      <w:proofErr w:type="spellStart"/>
      <w:r w:rsidRPr="007D659A">
        <w:rPr>
          <w:i/>
          <w:iCs/>
        </w:rPr>
        <w:t>of</w:t>
      </w:r>
      <w:proofErr w:type="spellEnd"/>
      <w:r w:rsidRPr="007D659A">
        <w:rPr>
          <w:i/>
          <w:iCs/>
        </w:rPr>
        <w:t xml:space="preserve"> Charles Sanders Peirce</w:t>
      </w:r>
      <w:r w:rsidRPr="007D659A">
        <w:t>. Harvard University Press.</w:t>
      </w:r>
      <w:r w:rsidRPr="007D659A">
        <w:br/>
        <w:t xml:space="preserve">[39] </w:t>
      </w:r>
      <w:proofErr w:type="spellStart"/>
      <w:r w:rsidRPr="007D659A">
        <w:t>Barabási</w:t>
      </w:r>
      <w:proofErr w:type="spellEnd"/>
      <w:r w:rsidRPr="007D659A">
        <w:t xml:space="preserve">, A.-L. (2003). </w:t>
      </w:r>
      <w:proofErr w:type="spellStart"/>
      <w:r w:rsidRPr="007D659A">
        <w:rPr>
          <w:i/>
          <w:iCs/>
        </w:rPr>
        <w:t>Linked</w:t>
      </w:r>
      <w:proofErr w:type="spellEnd"/>
      <w:r w:rsidRPr="007D659A">
        <w:rPr>
          <w:i/>
          <w:iCs/>
        </w:rPr>
        <w:t xml:space="preserve">: </w:t>
      </w:r>
      <w:proofErr w:type="spellStart"/>
      <w:r w:rsidRPr="007D659A">
        <w:rPr>
          <w:i/>
          <w:iCs/>
        </w:rPr>
        <w:t>How</w:t>
      </w:r>
      <w:proofErr w:type="spellEnd"/>
      <w:r w:rsidRPr="007D659A">
        <w:rPr>
          <w:i/>
          <w:iCs/>
        </w:rPr>
        <w:t xml:space="preserve"> </w:t>
      </w:r>
      <w:proofErr w:type="spellStart"/>
      <w:r w:rsidRPr="007D659A">
        <w:rPr>
          <w:i/>
          <w:iCs/>
        </w:rPr>
        <w:t>Everything</w:t>
      </w:r>
      <w:proofErr w:type="spellEnd"/>
      <w:r w:rsidRPr="007D659A">
        <w:rPr>
          <w:i/>
          <w:iCs/>
        </w:rPr>
        <w:t xml:space="preserve"> </w:t>
      </w:r>
      <w:proofErr w:type="spellStart"/>
      <w:r w:rsidRPr="007D659A">
        <w:rPr>
          <w:i/>
          <w:iCs/>
        </w:rPr>
        <w:t>is</w:t>
      </w:r>
      <w:proofErr w:type="spellEnd"/>
      <w:r w:rsidRPr="007D659A">
        <w:rPr>
          <w:i/>
          <w:iCs/>
        </w:rPr>
        <w:t xml:space="preserve"> </w:t>
      </w:r>
      <w:proofErr w:type="spellStart"/>
      <w:r w:rsidRPr="007D659A">
        <w:rPr>
          <w:i/>
          <w:iCs/>
        </w:rPr>
        <w:t>Connected</w:t>
      </w:r>
      <w:proofErr w:type="spellEnd"/>
      <w:r w:rsidRPr="007D659A">
        <w:rPr>
          <w:i/>
          <w:iCs/>
        </w:rPr>
        <w:t xml:space="preserve"> </w:t>
      </w:r>
      <w:proofErr w:type="spellStart"/>
      <w:r w:rsidRPr="007D659A">
        <w:rPr>
          <w:i/>
          <w:iCs/>
        </w:rPr>
        <w:t>to</w:t>
      </w:r>
      <w:proofErr w:type="spellEnd"/>
      <w:r w:rsidRPr="007D659A">
        <w:rPr>
          <w:i/>
          <w:iCs/>
        </w:rPr>
        <w:t xml:space="preserve"> </w:t>
      </w:r>
      <w:proofErr w:type="spellStart"/>
      <w:r w:rsidRPr="007D659A">
        <w:rPr>
          <w:i/>
          <w:iCs/>
        </w:rPr>
        <w:t>Everything</w:t>
      </w:r>
      <w:proofErr w:type="spellEnd"/>
      <w:r w:rsidRPr="007D659A">
        <w:rPr>
          <w:i/>
          <w:iCs/>
        </w:rPr>
        <w:t xml:space="preserve"> Else and </w:t>
      </w:r>
      <w:proofErr w:type="spellStart"/>
      <w:r w:rsidRPr="007D659A">
        <w:rPr>
          <w:i/>
          <w:iCs/>
        </w:rPr>
        <w:t>What</w:t>
      </w:r>
      <w:proofErr w:type="spellEnd"/>
      <w:r w:rsidRPr="007D659A">
        <w:rPr>
          <w:i/>
          <w:iCs/>
        </w:rPr>
        <w:t xml:space="preserve"> </w:t>
      </w:r>
      <w:proofErr w:type="spellStart"/>
      <w:r w:rsidRPr="007D659A">
        <w:rPr>
          <w:i/>
          <w:iCs/>
        </w:rPr>
        <w:t>It</w:t>
      </w:r>
      <w:proofErr w:type="spellEnd"/>
      <w:r w:rsidRPr="007D659A">
        <w:rPr>
          <w:i/>
          <w:iCs/>
        </w:rPr>
        <w:t xml:space="preserve"> </w:t>
      </w:r>
      <w:proofErr w:type="spellStart"/>
      <w:r w:rsidRPr="007D659A">
        <w:rPr>
          <w:i/>
          <w:iCs/>
        </w:rPr>
        <w:t>Means</w:t>
      </w:r>
      <w:proofErr w:type="spellEnd"/>
      <w:r w:rsidRPr="007D659A">
        <w:rPr>
          <w:i/>
          <w:iCs/>
        </w:rPr>
        <w:t xml:space="preserve"> </w:t>
      </w:r>
      <w:proofErr w:type="spellStart"/>
      <w:r w:rsidRPr="007D659A">
        <w:rPr>
          <w:i/>
          <w:iCs/>
        </w:rPr>
        <w:t>for</w:t>
      </w:r>
      <w:proofErr w:type="spellEnd"/>
      <w:r w:rsidRPr="007D659A">
        <w:rPr>
          <w:i/>
          <w:iCs/>
        </w:rPr>
        <w:t xml:space="preserve"> Business, Science, and </w:t>
      </w:r>
      <w:proofErr w:type="spellStart"/>
      <w:r w:rsidRPr="007D659A">
        <w:rPr>
          <w:i/>
          <w:iCs/>
        </w:rPr>
        <w:t>Everyday</w:t>
      </w:r>
      <w:proofErr w:type="spellEnd"/>
      <w:r w:rsidRPr="007D659A">
        <w:rPr>
          <w:i/>
          <w:iCs/>
        </w:rPr>
        <w:t xml:space="preserve"> Life</w:t>
      </w:r>
      <w:r w:rsidRPr="007D659A">
        <w:t>. Plume.</w:t>
      </w:r>
      <w:r w:rsidRPr="007D659A">
        <w:br/>
        <w:t xml:space="preserve">[40] </w:t>
      </w:r>
      <w:proofErr w:type="spellStart"/>
      <w:r w:rsidRPr="007D659A">
        <w:t>Lambek</w:t>
      </w:r>
      <w:proofErr w:type="spellEnd"/>
      <w:r w:rsidRPr="007D659A">
        <w:t xml:space="preserve">, J., &amp; Scott, P. J. (1986). </w:t>
      </w:r>
      <w:proofErr w:type="spellStart"/>
      <w:r w:rsidRPr="007D659A">
        <w:rPr>
          <w:i/>
          <w:iCs/>
        </w:rPr>
        <w:t>Introduction</w:t>
      </w:r>
      <w:proofErr w:type="spellEnd"/>
      <w:r w:rsidRPr="007D659A">
        <w:rPr>
          <w:i/>
          <w:iCs/>
        </w:rPr>
        <w:t xml:space="preserve"> </w:t>
      </w:r>
      <w:proofErr w:type="spellStart"/>
      <w:r w:rsidRPr="007D659A">
        <w:rPr>
          <w:i/>
          <w:iCs/>
        </w:rPr>
        <w:t>to</w:t>
      </w:r>
      <w:proofErr w:type="spellEnd"/>
      <w:r w:rsidRPr="007D659A">
        <w:rPr>
          <w:i/>
          <w:iCs/>
        </w:rPr>
        <w:t xml:space="preserve"> Higher Order </w:t>
      </w:r>
      <w:proofErr w:type="spellStart"/>
      <w:r w:rsidRPr="007D659A">
        <w:rPr>
          <w:i/>
          <w:iCs/>
        </w:rPr>
        <w:t>Categorical</w:t>
      </w:r>
      <w:proofErr w:type="spellEnd"/>
      <w:r w:rsidRPr="007D659A">
        <w:rPr>
          <w:i/>
          <w:iCs/>
        </w:rPr>
        <w:t xml:space="preserve"> </w:t>
      </w:r>
      <w:proofErr w:type="spellStart"/>
      <w:r w:rsidRPr="007D659A">
        <w:rPr>
          <w:i/>
          <w:iCs/>
        </w:rPr>
        <w:t>Logic</w:t>
      </w:r>
      <w:proofErr w:type="spellEnd"/>
      <w:r w:rsidRPr="007D659A">
        <w:t>. Cambridge University Press.</w:t>
      </w:r>
      <w:r w:rsidRPr="007D659A">
        <w:br/>
        <w:t xml:space="preserve">[41] Holland, J. H. (1995). </w:t>
      </w:r>
      <w:r w:rsidRPr="007D659A">
        <w:rPr>
          <w:i/>
          <w:iCs/>
        </w:rPr>
        <w:t xml:space="preserve">Hidden Order: </w:t>
      </w:r>
      <w:proofErr w:type="spellStart"/>
      <w:r w:rsidRPr="007D659A">
        <w:rPr>
          <w:i/>
          <w:iCs/>
        </w:rPr>
        <w:t>How</w:t>
      </w:r>
      <w:proofErr w:type="spellEnd"/>
      <w:r w:rsidRPr="007D659A">
        <w:rPr>
          <w:i/>
          <w:iCs/>
        </w:rPr>
        <w:t xml:space="preserve"> Adaptation </w:t>
      </w:r>
      <w:proofErr w:type="spellStart"/>
      <w:r w:rsidRPr="007D659A">
        <w:rPr>
          <w:i/>
          <w:iCs/>
        </w:rPr>
        <w:t>Builds</w:t>
      </w:r>
      <w:proofErr w:type="spellEnd"/>
      <w:r w:rsidRPr="007D659A">
        <w:rPr>
          <w:i/>
          <w:iCs/>
        </w:rPr>
        <w:t xml:space="preserve"> </w:t>
      </w:r>
      <w:proofErr w:type="spellStart"/>
      <w:r w:rsidRPr="007D659A">
        <w:rPr>
          <w:i/>
          <w:iCs/>
        </w:rPr>
        <w:t>Complexity</w:t>
      </w:r>
      <w:proofErr w:type="spellEnd"/>
      <w:r w:rsidRPr="007D659A">
        <w:t>. Addison-Wesley.</w:t>
      </w:r>
      <w:r w:rsidRPr="007D659A">
        <w:br/>
        <w:t xml:space="preserve">[42] Stachowiak, H. (1973). </w:t>
      </w:r>
      <w:r w:rsidRPr="007D659A">
        <w:rPr>
          <w:i/>
          <w:iCs/>
        </w:rPr>
        <w:t>Allgemeine Modelltheorie</w:t>
      </w:r>
      <w:r w:rsidRPr="007D659A">
        <w:t>. Springer.</w:t>
      </w:r>
    </w:p>
    <w:p w14:paraId="45923F97" w14:textId="77777777" w:rsidR="007D659A" w:rsidRPr="007D659A" w:rsidRDefault="007D659A" w:rsidP="007D659A">
      <w:r w:rsidRPr="007D659A">
        <w:t xml:space="preserve">[43] Wood, D., Bruner, J. S., &amp; Ross, G. (1976). The </w:t>
      </w:r>
      <w:proofErr w:type="spellStart"/>
      <w:r w:rsidRPr="007D659A">
        <w:t>Role</w:t>
      </w:r>
      <w:proofErr w:type="spellEnd"/>
      <w:r w:rsidRPr="007D659A">
        <w:t xml:space="preserve"> </w:t>
      </w:r>
      <w:proofErr w:type="spellStart"/>
      <w:r w:rsidRPr="007D659A">
        <w:t>of</w:t>
      </w:r>
      <w:proofErr w:type="spellEnd"/>
      <w:r w:rsidRPr="007D659A">
        <w:t xml:space="preserve"> </w:t>
      </w:r>
      <w:proofErr w:type="spellStart"/>
      <w:r w:rsidRPr="007D659A">
        <w:t>Tutoring</w:t>
      </w:r>
      <w:proofErr w:type="spellEnd"/>
      <w:r w:rsidRPr="007D659A">
        <w:t xml:space="preserve"> in Problem </w:t>
      </w:r>
      <w:proofErr w:type="spellStart"/>
      <w:r w:rsidRPr="007D659A">
        <w:t>Solving</w:t>
      </w:r>
      <w:proofErr w:type="spellEnd"/>
      <w:r w:rsidRPr="007D659A">
        <w:t xml:space="preserve">. </w:t>
      </w:r>
      <w:r w:rsidRPr="007D659A">
        <w:rPr>
          <w:i/>
          <w:iCs/>
        </w:rPr>
        <w:t xml:space="preserve">Journal </w:t>
      </w:r>
      <w:proofErr w:type="spellStart"/>
      <w:r w:rsidRPr="007D659A">
        <w:rPr>
          <w:i/>
          <w:iCs/>
        </w:rPr>
        <w:t>of</w:t>
      </w:r>
      <w:proofErr w:type="spellEnd"/>
      <w:r w:rsidRPr="007D659A">
        <w:rPr>
          <w:i/>
          <w:iCs/>
        </w:rPr>
        <w:t xml:space="preserve"> Child </w:t>
      </w:r>
      <w:proofErr w:type="spellStart"/>
      <w:r w:rsidRPr="007D659A">
        <w:rPr>
          <w:i/>
          <w:iCs/>
        </w:rPr>
        <w:t>Psychology</w:t>
      </w:r>
      <w:proofErr w:type="spellEnd"/>
      <w:r w:rsidRPr="007D659A">
        <w:rPr>
          <w:i/>
          <w:iCs/>
        </w:rPr>
        <w:t xml:space="preserve"> and </w:t>
      </w:r>
      <w:proofErr w:type="spellStart"/>
      <w:r w:rsidRPr="007D659A">
        <w:rPr>
          <w:i/>
          <w:iCs/>
        </w:rPr>
        <w:t>Psychiatry</w:t>
      </w:r>
      <w:proofErr w:type="spellEnd"/>
      <w:r w:rsidRPr="007D659A">
        <w:t>, 17(2), 89–100.</w:t>
      </w:r>
      <w:r w:rsidRPr="007D659A">
        <w:br/>
        <w:t xml:space="preserve">[44] Hammer, D., &amp; </w:t>
      </w:r>
      <w:proofErr w:type="spellStart"/>
      <w:r w:rsidRPr="007D659A">
        <w:t>Elby</w:t>
      </w:r>
      <w:proofErr w:type="spellEnd"/>
      <w:r w:rsidRPr="007D659A">
        <w:t xml:space="preserve">, A. (2003). Tapping </w:t>
      </w:r>
      <w:proofErr w:type="spellStart"/>
      <w:r w:rsidRPr="007D659A">
        <w:t>Epistemological</w:t>
      </w:r>
      <w:proofErr w:type="spellEnd"/>
      <w:r w:rsidRPr="007D659A">
        <w:t xml:space="preserve"> Resources </w:t>
      </w:r>
      <w:proofErr w:type="spellStart"/>
      <w:r w:rsidRPr="007D659A">
        <w:t>for</w:t>
      </w:r>
      <w:proofErr w:type="spellEnd"/>
      <w:r w:rsidRPr="007D659A">
        <w:t xml:space="preserve"> Learning Physics. </w:t>
      </w:r>
      <w:r w:rsidRPr="007D659A">
        <w:rPr>
          <w:i/>
          <w:iCs/>
        </w:rPr>
        <w:t xml:space="preserve">Journal </w:t>
      </w:r>
      <w:proofErr w:type="spellStart"/>
      <w:r w:rsidRPr="007D659A">
        <w:rPr>
          <w:i/>
          <w:iCs/>
        </w:rPr>
        <w:t>of</w:t>
      </w:r>
      <w:proofErr w:type="spellEnd"/>
      <w:r w:rsidRPr="007D659A">
        <w:rPr>
          <w:i/>
          <w:iCs/>
        </w:rPr>
        <w:t xml:space="preserve"> </w:t>
      </w:r>
      <w:proofErr w:type="spellStart"/>
      <w:r w:rsidRPr="007D659A">
        <w:rPr>
          <w:i/>
          <w:iCs/>
        </w:rPr>
        <w:t>the</w:t>
      </w:r>
      <w:proofErr w:type="spellEnd"/>
      <w:r w:rsidRPr="007D659A">
        <w:rPr>
          <w:i/>
          <w:iCs/>
        </w:rPr>
        <w:t xml:space="preserve"> Learning Sciences</w:t>
      </w:r>
      <w:r w:rsidRPr="007D659A">
        <w:t>, 12(1), 53–90.</w:t>
      </w:r>
      <w:r w:rsidRPr="007D659A">
        <w:br/>
        <w:t xml:space="preserve">[45] </w:t>
      </w:r>
      <w:proofErr w:type="spellStart"/>
      <w:r w:rsidRPr="007D659A">
        <w:t>Duit</w:t>
      </w:r>
      <w:proofErr w:type="spellEnd"/>
      <w:r w:rsidRPr="007D659A">
        <w:t xml:space="preserve">, R., </w:t>
      </w:r>
      <w:proofErr w:type="spellStart"/>
      <w:r w:rsidRPr="007D659A">
        <w:t>Gropengießer</w:t>
      </w:r>
      <w:proofErr w:type="spellEnd"/>
      <w:r w:rsidRPr="007D659A">
        <w:t xml:space="preserve">, H., </w:t>
      </w:r>
      <w:proofErr w:type="spellStart"/>
      <w:r w:rsidRPr="007D659A">
        <w:t>Kattmann</w:t>
      </w:r>
      <w:proofErr w:type="spellEnd"/>
      <w:r w:rsidRPr="007D659A">
        <w:t xml:space="preserve">, U., Komorek, M., &amp; </w:t>
      </w:r>
      <w:proofErr w:type="spellStart"/>
      <w:r w:rsidRPr="007D659A">
        <w:t>Parchmann</w:t>
      </w:r>
      <w:proofErr w:type="spellEnd"/>
      <w:r w:rsidRPr="007D659A">
        <w:t xml:space="preserve">, I. (2012). </w:t>
      </w:r>
      <w:r w:rsidRPr="007D659A">
        <w:rPr>
          <w:i/>
          <w:iCs/>
        </w:rPr>
        <w:t xml:space="preserve">The Model </w:t>
      </w:r>
      <w:proofErr w:type="spellStart"/>
      <w:r w:rsidRPr="007D659A">
        <w:rPr>
          <w:i/>
          <w:iCs/>
        </w:rPr>
        <w:t>of</w:t>
      </w:r>
      <w:proofErr w:type="spellEnd"/>
      <w:r w:rsidRPr="007D659A">
        <w:rPr>
          <w:i/>
          <w:iCs/>
        </w:rPr>
        <w:t xml:space="preserve"> Educational Reconstruction – A Framework </w:t>
      </w:r>
      <w:proofErr w:type="spellStart"/>
      <w:r w:rsidRPr="007D659A">
        <w:rPr>
          <w:i/>
          <w:iCs/>
        </w:rPr>
        <w:t>for</w:t>
      </w:r>
      <w:proofErr w:type="spellEnd"/>
      <w:r w:rsidRPr="007D659A">
        <w:rPr>
          <w:i/>
          <w:iCs/>
        </w:rPr>
        <w:t xml:space="preserve"> </w:t>
      </w:r>
      <w:proofErr w:type="spellStart"/>
      <w:r w:rsidRPr="007D659A">
        <w:rPr>
          <w:i/>
          <w:iCs/>
        </w:rPr>
        <w:t>Improving</w:t>
      </w:r>
      <w:proofErr w:type="spellEnd"/>
      <w:r w:rsidRPr="007D659A">
        <w:rPr>
          <w:i/>
          <w:iCs/>
        </w:rPr>
        <w:t xml:space="preserve"> Teaching and Learning Science</w:t>
      </w:r>
      <w:r w:rsidRPr="007D659A">
        <w:t xml:space="preserve">. In D. </w:t>
      </w:r>
      <w:proofErr w:type="spellStart"/>
      <w:r w:rsidRPr="007D659A">
        <w:t>Jorde</w:t>
      </w:r>
      <w:proofErr w:type="spellEnd"/>
      <w:r w:rsidRPr="007D659A">
        <w:t xml:space="preserve"> &amp; J. Dillon (Eds.), </w:t>
      </w:r>
      <w:r w:rsidRPr="007D659A">
        <w:rPr>
          <w:i/>
          <w:iCs/>
        </w:rPr>
        <w:t>Science Education Research and Practice in Europe</w:t>
      </w:r>
      <w:r w:rsidRPr="007D659A">
        <w:t xml:space="preserve"> (pp. 13–37). Sense Publishers.</w:t>
      </w:r>
      <w:r w:rsidRPr="007D659A">
        <w:br/>
        <w:t xml:space="preserve">[46] </w:t>
      </w:r>
      <w:proofErr w:type="spellStart"/>
      <w:r w:rsidRPr="007D659A">
        <w:t>Lave</w:t>
      </w:r>
      <w:proofErr w:type="spellEnd"/>
      <w:r w:rsidRPr="007D659A">
        <w:t xml:space="preserve">, J., &amp; Wenger, E. (1991). </w:t>
      </w:r>
      <w:proofErr w:type="spellStart"/>
      <w:r w:rsidRPr="007D659A">
        <w:rPr>
          <w:i/>
          <w:iCs/>
        </w:rPr>
        <w:t>Situated</w:t>
      </w:r>
      <w:proofErr w:type="spellEnd"/>
      <w:r w:rsidRPr="007D659A">
        <w:rPr>
          <w:i/>
          <w:iCs/>
        </w:rPr>
        <w:t xml:space="preserve"> Learning: </w:t>
      </w:r>
      <w:proofErr w:type="spellStart"/>
      <w:r w:rsidRPr="007D659A">
        <w:rPr>
          <w:i/>
          <w:iCs/>
        </w:rPr>
        <w:t>Legitimate</w:t>
      </w:r>
      <w:proofErr w:type="spellEnd"/>
      <w:r w:rsidRPr="007D659A">
        <w:rPr>
          <w:i/>
          <w:iCs/>
        </w:rPr>
        <w:t xml:space="preserve"> </w:t>
      </w:r>
      <w:proofErr w:type="spellStart"/>
      <w:r w:rsidRPr="007D659A">
        <w:rPr>
          <w:i/>
          <w:iCs/>
        </w:rPr>
        <w:t>Peripheral</w:t>
      </w:r>
      <w:proofErr w:type="spellEnd"/>
      <w:r w:rsidRPr="007D659A">
        <w:rPr>
          <w:i/>
          <w:iCs/>
        </w:rPr>
        <w:t xml:space="preserve"> </w:t>
      </w:r>
      <w:proofErr w:type="spellStart"/>
      <w:r w:rsidRPr="007D659A">
        <w:rPr>
          <w:i/>
          <w:iCs/>
        </w:rPr>
        <w:t>Participation</w:t>
      </w:r>
      <w:proofErr w:type="spellEnd"/>
      <w:r w:rsidRPr="007D659A">
        <w:t xml:space="preserve">. </w:t>
      </w:r>
    </w:p>
    <w:p w14:paraId="169E6DBB" w14:textId="77777777" w:rsidR="007D659A" w:rsidRPr="007D659A" w:rsidRDefault="007D659A" w:rsidP="007D659A">
      <w:r w:rsidRPr="007D659A">
        <w:t>Cambridge University Press.</w:t>
      </w:r>
      <w:r w:rsidRPr="007D659A">
        <w:br/>
        <w:t xml:space="preserve">[47] Vollmer, H. J. (2006). Lernfeldtheorie und ihre Bedeutung für die Gestaltung beruflicher Curricula. </w:t>
      </w:r>
      <w:r w:rsidRPr="007D659A">
        <w:rPr>
          <w:i/>
          <w:iCs/>
        </w:rPr>
        <w:t>Zeitschrift für Berufs- und Wirtschaftspädagogik</w:t>
      </w:r>
      <w:r w:rsidRPr="007D659A">
        <w:t>, 102(4), 498–514.</w:t>
      </w:r>
      <w:r w:rsidRPr="007D659A">
        <w:br/>
        <w:t xml:space="preserve">[48] Siemens, G. (2005). </w:t>
      </w:r>
      <w:proofErr w:type="spellStart"/>
      <w:r w:rsidRPr="007D659A">
        <w:t>Connectivism</w:t>
      </w:r>
      <w:proofErr w:type="spellEnd"/>
      <w:r w:rsidRPr="007D659A">
        <w:t xml:space="preserve">: A Learning Theory </w:t>
      </w:r>
      <w:proofErr w:type="spellStart"/>
      <w:r w:rsidRPr="007D659A">
        <w:t>for</w:t>
      </w:r>
      <w:proofErr w:type="spellEnd"/>
      <w:r w:rsidRPr="007D659A">
        <w:t xml:space="preserve"> </w:t>
      </w:r>
      <w:proofErr w:type="spellStart"/>
      <w:r w:rsidRPr="007D659A">
        <w:t>the</w:t>
      </w:r>
      <w:proofErr w:type="spellEnd"/>
      <w:r w:rsidRPr="007D659A">
        <w:t xml:space="preserve"> Digital Age. </w:t>
      </w:r>
      <w:r w:rsidRPr="007D659A">
        <w:rPr>
          <w:i/>
          <w:iCs/>
        </w:rPr>
        <w:t xml:space="preserve">International Journal </w:t>
      </w:r>
      <w:proofErr w:type="spellStart"/>
      <w:r w:rsidRPr="007D659A">
        <w:rPr>
          <w:i/>
          <w:iCs/>
        </w:rPr>
        <w:t>of</w:t>
      </w:r>
      <w:proofErr w:type="spellEnd"/>
      <w:r w:rsidRPr="007D659A">
        <w:rPr>
          <w:i/>
          <w:iCs/>
        </w:rPr>
        <w:t xml:space="preserve"> </w:t>
      </w:r>
      <w:proofErr w:type="spellStart"/>
      <w:r w:rsidRPr="007D659A">
        <w:rPr>
          <w:i/>
          <w:iCs/>
        </w:rPr>
        <w:t>Instructional</w:t>
      </w:r>
      <w:proofErr w:type="spellEnd"/>
      <w:r w:rsidRPr="007D659A">
        <w:rPr>
          <w:i/>
          <w:iCs/>
        </w:rPr>
        <w:t xml:space="preserve"> Technology and </w:t>
      </w:r>
      <w:proofErr w:type="spellStart"/>
      <w:r w:rsidRPr="007D659A">
        <w:rPr>
          <w:i/>
          <w:iCs/>
        </w:rPr>
        <w:t>Distance</w:t>
      </w:r>
      <w:proofErr w:type="spellEnd"/>
      <w:r w:rsidRPr="007D659A">
        <w:rPr>
          <w:i/>
          <w:iCs/>
        </w:rPr>
        <w:t xml:space="preserve"> Learning</w:t>
      </w:r>
      <w:r w:rsidRPr="007D659A">
        <w:t>, 2(1), 3–10.</w:t>
      </w:r>
      <w:r w:rsidRPr="007D659A">
        <w:br/>
        <w:t xml:space="preserve">[49] </w:t>
      </w:r>
      <w:proofErr w:type="spellStart"/>
      <w:r w:rsidRPr="007D659A">
        <w:t>Sfard</w:t>
      </w:r>
      <w:proofErr w:type="spellEnd"/>
      <w:r w:rsidRPr="007D659A">
        <w:t xml:space="preserve">, A. (2008). </w:t>
      </w:r>
      <w:proofErr w:type="spellStart"/>
      <w:r w:rsidRPr="007D659A">
        <w:rPr>
          <w:i/>
          <w:iCs/>
        </w:rPr>
        <w:t>Thinking</w:t>
      </w:r>
      <w:proofErr w:type="spellEnd"/>
      <w:r w:rsidRPr="007D659A">
        <w:rPr>
          <w:i/>
          <w:iCs/>
        </w:rPr>
        <w:t xml:space="preserve"> </w:t>
      </w:r>
      <w:proofErr w:type="spellStart"/>
      <w:r w:rsidRPr="007D659A">
        <w:rPr>
          <w:i/>
          <w:iCs/>
        </w:rPr>
        <w:t>as</w:t>
      </w:r>
      <w:proofErr w:type="spellEnd"/>
      <w:r w:rsidRPr="007D659A">
        <w:rPr>
          <w:i/>
          <w:iCs/>
        </w:rPr>
        <w:t xml:space="preserve"> </w:t>
      </w:r>
      <w:proofErr w:type="spellStart"/>
      <w:r w:rsidRPr="007D659A">
        <w:rPr>
          <w:i/>
          <w:iCs/>
        </w:rPr>
        <w:t>Communicating</w:t>
      </w:r>
      <w:proofErr w:type="spellEnd"/>
      <w:r w:rsidRPr="007D659A">
        <w:rPr>
          <w:i/>
          <w:iCs/>
        </w:rPr>
        <w:t xml:space="preserve">: Human Development, </w:t>
      </w:r>
      <w:proofErr w:type="spellStart"/>
      <w:r w:rsidRPr="007D659A">
        <w:rPr>
          <w:i/>
          <w:iCs/>
        </w:rPr>
        <w:t>the</w:t>
      </w:r>
      <w:proofErr w:type="spellEnd"/>
      <w:r w:rsidRPr="007D659A">
        <w:rPr>
          <w:i/>
          <w:iCs/>
        </w:rPr>
        <w:t xml:space="preserve"> Growth </w:t>
      </w:r>
      <w:proofErr w:type="spellStart"/>
      <w:r w:rsidRPr="007D659A">
        <w:rPr>
          <w:i/>
          <w:iCs/>
        </w:rPr>
        <w:t>of</w:t>
      </w:r>
      <w:proofErr w:type="spellEnd"/>
      <w:r w:rsidRPr="007D659A">
        <w:rPr>
          <w:i/>
          <w:iCs/>
        </w:rPr>
        <w:t xml:space="preserve"> </w:t>
      </w:r>
      <w:proofErr w:type="spellStart"/>
      <w:r w:rsidRPr="007D659A">
        <w:rPr>
          <w:i/>
          <w:iCs/>
        </w:rPr>
        <w:t>Discourses</w:t>
      </w:r>
      <w:proofErr w:type="spellEnd"/>
      <w:r w:rsidRPr="007D659A">
        <w:rPr>
          <w:i/>
          <w:iCs/>
        </w:rPr>
        <w:t xml:space="preserve">, and </w:t>
      </w:r>
      <w:proofErr w:type="spellStart"/>
      <w:r w:rsidRPr="007D659A">
        <w:rPr>
          <w:i/>
          <w:iCs/>
        </w:rPr>
        <w:t>Mathematizing</w:t>
      </w:r>
      <w:proofErr w:type="spellEnd"/>
      <w:r w:rsidRPr="007D659A">
        <w:t>. Cambridge University Press.</w:t>
      </w:r>
      <w:r w:rsidRPr="007D659A">
        <w:br/>
        <w:t xml:space="preserve">[50] Lemke, J. L. (1990). </w:t>
      </w:r>
      <w:r w:rsidRPr="007D659A">
        <w:rPr>
          <w:i/>
          <w:iCs/>
        </w:rPr>
        <w:t>Talking Science: Language, Learning, and Values</w:t>
      </w:r>
      <w:r w:rsidRPr="007D659A">
        <w:t xml:space="preserve">. </w:t>
      </w:r>
      <w:proofErr w:type="spellStart"/>
      <w:r w:rsidRPr="007D659A">
        <w:t>Ablex</w:t>
      </w:r>
      <w:proofErr w:type="spellEnd"/>
      <w:r w:rsidRPr="007D659A">
        <w:t>.</w:t>
      </w:r>
      <w:r w:rsidRPr="007D659A">
        <w:br/>
        <w:t xml:space="preserve">[51] </w:t>
      </w:r>
      <w:proofErr w:type="spellStart"/>
      <w:r w:rsidRPr="007D659A">
        <w:t>Reigeluth</w:t>
      </w:r>
      <w:proofErr w:type="spellEnd"/>
      <w:r w:rsidRPr="007D659A">
        <w:t xml:space="preserve">, C. M., &amp; An, Y.-J. (2009). </w:t>
      </w:r>
      <w:proofErr w:type="spellStart"/>
      <w:r w:rsidRPr="007D659A">
        <w:rPr>
          <w:i/>
          <w:iCs/>
        </w:rPr>
        <w:t>Designing</w:t>
      </w:r>
      <w:proofErr w:type="spellEnd"/>
      <w:r w:rsidRPr="007D659A">
        <w:rPr>
          <w:i/>
          <w:iCs/>
        </w:rPr>
        <w:t xml:space="preserve"> </w:t>
      </w:r>
      <w:proofErr w:type="spellStart"/>
      <w:r w:rsidRPr="007D659A">
        <w:rPr>
          <w:i/>
          <w:iCs/>
        </w:rPr>
        <w:t>Instructional</w:t>
      </w:r>
      <w:proofErr w:type="spellEnd"/>
      <w:r w:rsidRPr="007D659A">
        <w:rPr>
          <w:i/>
          <w:iCs/>
        </w:rPr>
        <w:t xml:space="preserve"> Systems</w:t>
      </w:r>
      <w:r w:rsidRPr="007D659A">
        <w:t>. Routledge.</w:t>
      </w:r>
      <w:r w:rsidRPr="007D659A">
        <w:br/>
        <w:t xml:space="preserve">[52] Ehlers, U.-D. (2020). </w:t>
      </w:r>
      <w:r w:rsidRPr="007D659A">
        <w:rPr>
          <w:i/>
          <w:iCs/>
        </w:rPr>
        <w:t>Future Skills: Zukunft des Lernens – Zukunft der Hochschulen</w:t>
      </w:r>
      <w:r w:rsidRPr="007D659A">
        <w:t>. Springer.</w:t>
      </w:r>
    </w:p>
    <w:p w14:paraId="0CC2EB59" w14:textId="77777777" w:rsidR="007D659A" w:rsidRPr="007D659A" w:rsidRDefault="007D659A" w:rsidP="007D659A">
      <w:r w:rsidRPr="007D659A">
        <w:t xml:space="preserve">[53] </w:t>
      </w:r>
      <w:proofErr w:type="spellStart"/>
      <w:r w:rsidRPr="007D659A">
        <w:t>Lave</w:t>
      </w:r>
      <w:proofErr w:type="spellEnd"/>
      <w:r w:rsidRPr="007D659A">
        <w:t xml:space="preserve">, J., &amp; Wenger, E. (1991). </w:t>
      </w:r>
      <w:proofErr w:type="spellStart"/>
      <w:r w:rsidRPr="007D659A">
        <w:rPr>
          <w:i/>
          <w:iCs/>
        </w:rPr>
        <w:t>Situated</w:t>
      </w:r>
      <w:proofErr w:type="spellEnd"/>
      <w:r w:rsidRPr="007D659A">
        <w:rPr>
          <w:i/>
          <w:iCs/>
        </w:rPr>
        <w:t xml:space="preserve"> Learning: </w:t>
      </w:r>
      <w:proofErr w:type="spellStart"/>
      <w:r w:rsidRPr="007D659A">
        <w:rPr>
          <w:i/>
          <w:iCs/>
        </w:rPr>
        <w:t>Legitimate</w:t>
      </w:r>
      <w:proofErr w:type="spellEnd"/>
      <w:r w:rsidRPr="007D659A">
        <w:rPr>
          <w:i/>
          <w:iCs/>
        </w:rPr>
        <w:t xml:space="preserve"> </w:t>
      </w:r>
      <w:proofErr w:type="spellStart"/>
      <w:r w:rsidRPr="007D659A">
        <w:rPr>
          <w:i/>
          <w:iCs/>
        </w:rPr>
        <w:t>Peripheral</w:t>
      </w:r>
      <w:proofErr w:type="spellEnd"/>
      <w:r w:rsidRPr="007D659A">
        <w:rPr>
          <w:i/>
          <w:iCs/>
        </w:rPr>
        <w:t xml:space="preserve"> </w:t>
      </w:r>
      <w:proofErr w:type="spellStart"/>
      <w:r w:rsidRPr="007D659A">
        <w:rPr>
          <w:i/>
          <w:iCs/>
        </w:rPr>
        <w:t>Participation</w:t>
      </w:r>
      <w:proofErr w:type="spellEnd"/>
      <w:r w:rsidRPr="007D659A">
        <w:t>. Cambridge University Press.</w:t>
      </w:r>
      <w:r w:rsidRPr="007D659A">
        <w:br/>
        <w:t xml:space="preserve">[54] Wenger, E. (1998). </w:t>
      </w:r>
      <w:r w:rsidRPr="007D659A">
        <w:rPr>
          <w:i/>
          <w:iCs/>
        </w:rPr>
        <w:t xml:space="preserve">Communities </w:t>
      </w:r>
      <w:proofErr w:type="spellStart"/>
      <w:r w:rsidRPr="007D659A">
        <w:rPr>
          <w:i/>
          <w:iCs/>
        </w:rPr>
        <w:t>of</w:t>
      </w:r>
      <w:proofErr w:type="spellEnd"/>
      <w:r w:rsidRPr="007D659A">
        <w:rPr>
          <w:i/>
          <w:iCs/>
        </w:rPr>
        <w:t xml:space="preserve"> Practice: Learning, </w:t>
      </w:r>
      <w:proofErr w:type="spellStart"/>
      <w:r w:rsidRPr="007D659A">
        <w:rPr>
          <w:i/>
          <w:iCs/>
        </w:rPr>
        <w:t>Meaning</w:t>
      </w:r>
      <w:proofErr w:type="spellEnd"/>
      <w:r w:rsidRPr="007D659A">
        <w:rPr>
          <w:i/>
          <w:iCs/>
        </w:rPr>
        <w:t>, and Identity</w:t>
      </w:r>
      <w:r w:rsidRPr="007D659A">
        <w:t>. Cambridge University Press.</w:t>
      </w:r>
      <w:r w:rsidRPr="007D659A">
        <w:br/>
        <w:t xml:space="preserve">[55] Blackmore, J., Bateman, D., </w:t>
      </w:r>
      <w:proofErr w:type="spellStart"/>
      <w:r w:rsidRPr="007D659A">
        <w:t>Loughlin</w:t>
      </w:r>
      <w:proofErr w:type="spellEnd"/>
      <w:r w:rsidRPr="007D659A">
        <w:t xml:space="preserve">, J., </w:t>
      </w:r>
      <w:proofErr w:type="spellStart"/>
      <w:r w:rsidRPr="007D659A">
        <w:t>O'Mara</w:t>
      </w:r>
      <w:proofErr w:type="spellEnd"/>
      <w:r w:rsidRPr="007D659A">
        <w:t xml:space="preserve">, J., &amp; Aranda, G. (2011). </w:t>
      </w:r>
      <w:r w:rsidRPr="007D659A">
        <w:rPr>
          <w:i/>
          <w:iCs/>
        </w:rPr>
        <w:t xml:space="preserve">Research </w:t>
      </w:r>
      <w:proofErr w:type="spellStart"/>
      <w:r w:rsidRPr="007D659A">
        <w:rPr>
          <w:i/>
          <w:iCs/>
        </w:rPr>
        <w:t>into</w:t>
      </w:r>
      <w:proofErr w:type="spellEnd"/>
      <w:r w:rsidRPr="007D659A">
        <w:rPr>
          <w:i/>
          <w:iCs/>
        </w:rPr>
        <w:t xml:space="preserve"> </w:t>
      </w:r>
      <w:proofErr w:type="spellStart"/>
      <w:r w:rsidRPr="007D659A">
        <w:rPr>
          <w:i/>
          <w:iCs/>
        </w:rPr>
        <w:t>the</w:t>
      </w:r>
      <w:proofErr w:type="spellEnd"/>
      <w:r w:rsidRPr="007D659A">
        <w:rPr>
          <w:i/>
          <w:iCs/>
        </w:rPr>
        <w:t xml:space="preserve"> Connection </w:t>
      </w:r>
      <w:proofErr w:type="spellStart"/>
      <w:r w:rsidRPr="007D659A">
        <w:rPr>
          <w:i/>
          <w:iCs/>
        </w:rPr>
        <w:t>between</w:t>
      </w:r>
      <w:proofErr w:type="spellEnd"/>
      <w:r w:rsidRPr="007D659A">
        <w:rPr>
          <w:i/>
          <w:iCs/>
        </w:rPr>
        <w:t xml:space="preserve"> </w:t>
      </w:r>
      <w:proofErr w:type="spellStart"/>
      <w:r w:rsidRPr="007D659A">
        <w:rPr>
          <w:i/>
          <w:iCs/>
        </w:rPr>
        <w:t>Built</w:t>
      </w:r>
      <w:proofErr w:type="spellEnd"/>
      <w:r w:rsidRPr="007D659A">
        <w:rPr>
          <w:i/>
          <w:iCs/>
        </w:rPr>
        <w:t xml:space="preserve"> Learning Spaces and Student Outcomes</w:t>
      </w:r>
      <w:r w:rsidRPr="007D659A">
        <w:t xml:space="preserve">. OECD Education Working Paper </w:t>
      </w:r>
      <w:proofErr w:type="spellStart"/>
      <w:r w:rsidRPr="007D659A">
        <w:t>No</w:t>
      </w:r>
      <w:proofErr w:type="spellEnd"/>
      <w:r w:rsidRPr="007D659A">
        <w:t>. 70.</w:t>
      </w:r>
    </w:p>
    <w:p w14:paraId="79828D0B" w14:textId="77777777" w:rsidR="007D659A" w:rsidRPr="007D659A" w:rsidRDefault="007D659A" w:rsidP="007D659A">
      <w:r w:rsidRPr="007D659A">
        <w:t>[56] Gómez-</w:t>
      </w:r>
      <w:proofErr w:type="spellStart"/>
      <w:r w:rsidRPr="007D659A">
        <w:t>Galán</w:t>
      </w:r>
      <w:proofErr w:type="spellEnd"/>
      <w:r w:rsidRPr="007D659A">
        <w:t xml:space="preserve">, J. (2018). Educational Architecture and Emerging Technologies: Innovative Classroom Models. </w:t>
      </w:r>
      <w:r w:rsidRPr="007D659A">
        <w:rPr>
          <w:i/>
          <w:iCs/>
        </w:rPr>
        <w:t xml:space="preserve">Journal </w:t>
      </w:r>
      <w:proofErr w:type="spellStart"/>
      <w:r w:rsidRPr="007D659A">
        <w:rPr>
          <w:i/>
          <w:iCs/>
        </w:rPr>
        <w:t>of</w:t>
      </w:r>
      <w:proofErr w:type="spellEnd"/>
      <w:r w:rsidRPr="007D659A">
        <w:rPr>
          <w:i/>
          <w:iCs/>
        </w:rPr>
        <w:t xml:space="preserve"> New </w:t>
      </w:r>
      <w:proofErr w:type="spellStart"/>
      <w:r w:rsidRPr="007D659A">
        <w:rPr>
          <w:i/>
          <w:iCs/>
        </w:rPr>
        <w:t>Approaches</w:t>
      </w:r>
      <w:proofErr w:type="spellEnd"/>
      <w:r w:rsidRPr="007D659A">
        <w:rPr>
          <w:i/>
          <w:iCs/>
        </w:rPr>
        <w:t xml:space="preserve"> in Educational Research</w:t>
      </w:r>
      <w:r w:rsidRPr="007D659A">
        <w:t>, 7(1), 31–38.</w:t>
      </w:r>
      <w:r w:rsidRPr="007D659A">
        <w:br/>
        <w:t xml:space="preserve">[57] OECD (2013). </w:t>
      </w:r>
      <w:r w:rsidRPr="007D659A">
        <w:rPr>
          <w:i/>
          <w:iCs/>
        </w:rPr>
        <w:t>Innovative Learning Environments</w:t>
      </w:r>
      <w:r w:rsidRPr="007D659A">
        <w:t>. Educational Research and Innovation Series. OECD Publishing.</w:t>
      </w:r>
      <w:r w:rsidRPr="007D659A">
        <w:br/>
        <w:t xml:space="preserve">[58] Byers, T., </w:t>
      </w:r>
      <w:proofErr w:type="spellStart"/>
      <w:r w:rsidRPr="007D659A">
        <w:t>Imms</w:t>
      </w:r>
      <w:proofErr w:type="spellEnd"/>
      <w:r w:rsidRPr="007D659A">
        <w:t xml:space="preserve">, W., &amp; </w:t>
      </w:r>
      <w:proofErr w:type="spellStart"/>
      <w:r w:rsidRPr="007D659A">
        <w:t>Hartnell</w:t>
      </w:r>
      <w:proofErr w:type="spellEnd"/>
      <w:r w:rsidRPr="007D659A">
        <w:t xml:space="preserve">-Young, E. (2018). </w:t>
      </w:r>
      <w:r w:rsidRPr="007D659A">
        <w:rPr>
          <w:i/>
          <w:iCs/>
        </w:rPr>
        <w:t>Learning Environments and Student Outcomes</w:t>
      </w:r>
      <w:r w:rsidRPr="007D659A">
        <w:t xml:space="preserve">. </w:t>
      </w:r>
      <w:r w:rsidRPr="007D659A">
        <w:rPr>
          <w:i/>
          <w:iCs/>
        </w:rPr>
        <w:t>Learning Environments Research</w:t>
      </w:r>
      <w:r w:rsidRPr="007D659A">
        <w:t>, 21, 1–17.</w:t>
      </w:r>
      <w:r w:rsidRPr="007D659A">
        <w:br/>
        <w:t xml:space="preserve">[59] Nentwig, P., &amp; Wirth, J. (2020). </w:t>
      </w:r>
      <w:r w:rsidRPr="007D659A">
        <w:rPr>
          <w:i/>
          <w:iCs/>
        </w:rPr>
        <w:t>Didaktische Architektur und epistemische Räume</w:t>
      </w:r>
      <w:r w:rsidRPr="007D659A">
        <w:t xml:space="preserve">. In M. Jäkel &amp; F. Helmchen (Hrsg.), </w:t>
      </w:r>
      <w:r w:rsidRPr="007D659A">
        <w:rPr>
          <w:i/>
          <w:iCs/>
        </w:rPr>
        <w:t>Lernräume gestalten – Lernprozesse ermöglichen</w:t>
      </w:r>
      <w:r w:rsidRPr="007D659A">
        <w:t>. Springer VS.</w:t>
      </w:r>
    </w:p>
    <w:p w14:paraId="148496B5" w14:textId="7344CCF5" w:rsidR="007D659A" w:rsidRPr="007D659A" w:rsidRDefault="007D659A" w:rsidP="007D659A">
      <w:r w:rsidRPr="007D659A">
        <w:t xml:space="preserve">[60] Azevedo, R., &amp; </w:t>
      </w:r>
      <w:proofErr w:type="spellStart"/>
      <w:r w:rsidRPr="007D659A">
        <w:t>Aleven</w:t>
      </w:r>
      <w:proofErr w:type="spellEnd"/>
      <w:r w:rsidRPr="007D659A">
        <w:t xml:space="preserve">, V. (Eds.). (2013). </w:t>
      </w:r>
      <w:r w:rsidRPr="007D659A">
        <w:rPr>
          <w:i/>
          <w:iCs/>
        </w:rPr>
        <w:t xml:space="preserve">International Handbook </w:t>
      </w:r>
      <w:proofErr w:type="spellStart"/>
      <w:r w:rsidRPr="007D659A">
        <w:rPr>
          <w:i/>
          <w:iCs/>
        </w:rPr>
        <w:t>of</w:t>
      </w:r>
      <w:proofErr w:type="spellEnd"/>
      <w:r w:rsidRPr="007D659A">
        <w:rPr>
          <w:i/>
          <w:iCs/>
        </w:rPr>
        <w:t xml:space="preserve"> </w:t>
      </w:r>
      <w:proofErr w:type="spellStart"/>
      <w:r w:rsidRPr="007D659A">
        <w:rPr>
          <w:i/>
          <w:iCs/>
        </w:rPr>
        <w:t>Metacognition</w:t>
      </w:r>
      <w:proofErr w:type="spellEnd"/>
      <w:r w:rsidRPr="007D659A">
        <w:rPr>
          <w:i/>
          <w:iCs/>
        </w:rPr>
        <w:t xml:space="preserve"> and Learning Technologies</w:t>
      </w:r>
      <w:r w:rsidRPr="007D659A">
        <w:t>. Springer.</w:t>
      </w:r>
    </w:p>
    <w:p w14:paraId="3D9651AE" w14:textId="77777777" w:rsidR="007D659A" w:rsidRPr="007D659A" w:rsidRDefault="007D659A" w:rsidP="007D659A">
      <w:r w:rsidRPr="007D659A">
        <w:t xml:space="preserve">[61] </w:t>
      </w:r>
      <w:proofErr w:type="spellStart"/>
      <w:r w:rsidRPr="007D659A">
        <w:t>Ifenthaler</w:t>
      </w:r>
      <w:proofErr w:type="spellEnd"/>
      <w:r w:rsidRPr="007D659A">
        <w:t xml:space="preserve">, D., &amp; </w:t>
      </w:r>
      <w:proofErr w:type="spellStart"/>
      <w:r w:rsidRPr="007D659A">
        <w:t>Yau</w:t>
      </w:r>
      <w:proofErr w:type="spellEnd"/>
      <w:r w:rsidRPr="007D659A">
        <w:t xml:space="preserve">, J. Y.-K. (2020). </w:t>
      </w:r>
      <w:proofErr w:type="spellStart"/>
      <w:r w:rsidRPr="007D659A">
        <w:t>Utilising</w:t>
      </w:r>
      <w:proofErr w:type="spellEnd"/>
      <w:r w:rsidRPr="007D659A">
        <w:t xml:space="preserve"> Learning Analytics </w:t>
      </w:r>
      <w:proofErr w:type="spellStart"/>
      <w:r w:rsidRPr="007D659A">
        <w:t>for</w:t>
      </w:r>
      <w:proofErr w:type="spellEnd"/>
      <w:r w:rsidRPr="007D659A">
        <w:t xml:space="preserve"> Study </w:t>
      </w:r>
      <w:proofErr w:type="spellStart"/>
      <w:r w:rsidRPr="007D659A">
        <w:t>Success</w:t>
      </w:r>
      <w:proofErr w:type="spellEnd"/>
      <w:r w:rsidRPr="007D659A">
        <w:t xml:space="preserve">: </w:t>
      </w:r>
      <w:proofErr w:type="spellStart"/>
      <w:r w:rsidRPr="007D659A">
        <w:t>Reflections</w:t>
      </w:r>
      <w:proofErr w:type="spellEnd"/>
      <w:r w:rsidRPr="007D659A">
        <w:t xml:space="preserve"> on </w:t>
      </w:r>
      <w:proofErr w:type="spellStart"/>
      <w:r w:rsidRPr="007D659A">
        <w:t>Current</w:t>
      </w:r>
      <w:proofErr w:type="spellEnd"/>
      <w:r w:rsidRPr="007D659A">
        <w:t xml:space="preserve"> </w:t>
      </w:r>
      <w:proofErr w:type="spellStart"/>
      <w:r w:rsidRPr="007D659A">
        <w:t>Empirical</w:t>
      </w:r>
      <w:proofErr w:type="spellEnd"/>
      <w:r w:rsidRPr="007D659A">
        <w:t xml:space="preserve"> </w:t>
      </w:r>
      <w:proofErr w:type="spellStart"/>
      <w:r w:rsidRPr="007D659A">
        <w:t>Findings</w:t>
      </w:r>
      <w:proofErr w:type="spellEnd"/>
      <w:r w:rsidRPr="007D659A">
        <w:t xml:space="preserve">. </w:t>
      </w:r>
      <w:r w:rsidRPr="007D659A">
        <w:rPr>
          <w:i/>
          <w:iCs/>
        </w:rPr>
        <w:t xml:space="preserve">Journal </w:t>
      </w:r>
      <w:proofErr w:type="spellStart"/>
      <w:r w:rsidRPr="007D659A">
        <w:rPr>
          <w:i/>
          <w:iCs/>
        </w:rPr>
        <w:t>of</w:t>
      </w:r>
      <w:proofErr w:type="spellEnd"/>
      <w:r w:rsidRPr="007D659A">
        <w:rPr>
          <w:i/>
          <w:iCs/>
        </w:rPr>
        <w:t xml:space="preserve"> Computer </w:t>
      </w:r>
      <w:proofErr w:type="spellStart"/>
      <w:r w:rsidRPr="007D659A">
        <w:rPr>
          <w:i/>
          <w:iCs/>
        </w:rPr>
        <w:t>Assisted</w:t>
      </w:r>
      <w:proofErr w:type="spellEnd"/>
      <w:r w:rsidRPr="007D659A">
        <w:rPr>
          <w:i/>
          <w:iCs/>
        </w:rPr>
        <w:t xml:space="preserve"> Learning</w:t>
      </w:r>
      <w:r w:rsidRPr="007D659A">
        <w:t>, 36(5), 582–587.</w:t>
      </w:r>
      <w:r w:rsidRPr="007D659A">
        <w:br/>
        <w:t xml:space="preserve">[62] </w:t>
      </w:r>
      <w:proofErr w:type="spellStart"/>
      <w:r w:rsidRPr="007D659A">
        <w:t>Looi</w:t>
      </w:r>
      <w:proofErr w:type="spellEnd"/>
      <w:r w:rsidRPr="007D659A">
        <w:t xml:space="preserve">, C. K., &amp; Wong, L. H. (2014). </w:t>
      </w:r>
      <w:proofErr w:type="spellStart"/>
      <w:r w:rsidRPr="007D659A">
        <w:rPr>
          <w:i/>
          <w:iCs/>
        </w:rPr>
        <w:t>Seamless</w:t>
      </w:r>
      <w:proofErr w:type="spellEnd"/>
      <w:r w:rsidRPr="007D659A">
        <w:rPr>
          <w:i/>
          <w:iCs/>
        </w:rPr>
        <w:t xml:space="preserve"> Learning: Historical </w:t>
      </w:r>
      <w:proofErr w:type="spellStart"/>
      <w:r w:rsidRPr="007D659A">
        <w:rPr>
          <w:i/>
          <w:iCs/>
        </w:rPr>
        <w:t>Perspectives</w:t>
      </w:r>
      <w:proofErr w:type="spellEnd"/>
      <w:r w:rsidRPr="007D659A">
        <w:rPr>
          <w:i/>
          <w:iCs/>
        </w:rPr>
        <w:t xml:space="preserve">, Contemporary </w:t>
      </w:r>
      <w:proofErr w:type="spellStart"/>
      <w:r w:rsidRPr="007D659A">
        <w:rPr>
          <w:i/>
          <w:iCs/>
        </w:rPr>
        <w:t>Findings</w:t>
      </w:r>
      <w:proofErr w:type="spellEnd"/>
      <w:r w:rsidRPr="007D659A">
        <w:rPr>
          <w:i/>
          <w:iCs/>
        </w:rPr>
        <w:t xml:space="preserve"> and Future </w:t>
      </w:r>
      <w:proofErr w:type="spellStart"/>
      <w:r w:rsidRPr="007D659A">
        <w:rPr>
          <w:i/>
          <w:iCs/>
        </w:rPr>
        <w:t>Directions</w:t>
      </w:r>
      <w:proofErr w:type="spellEnd"/>
      <w:r w:rsidRPr="007D659A">
        <w:t>. Springer.</w:t>
      </w:r>
      <w:r w:rsidRPr="007D659A">
        <w:br/>
        <w:t xml:space="preserve">[63] </w:t>
      </w:r>
      <w:proofErr w:type="spellStart"/>
      <w:r w:rsidRPr="007D659A">
        <w:t>Dron</w:t>
      </w:r>
      <w:proofErr w:type="spellEnd"/>
      <w:r w:rsidRPr="007D659A">
        <w:t xml:space="preserve">, J., &amp; Anderson, T. (2014). </w:t>
      </w:r>
      <w:r w:rsidRPr="007D659A">
        <w:rPr>
          <w:i/>
          <w:iCs/>
        </w:rPr>
        <w:t xml:space="preserve">Teaching </w:t>
      </w:r>
      <w:proofErr w:type="spellStart"/>
      <w:r w:rsidRPr="007D659A">
        <w:rPr>
          <w:i/>
          <w:iCs/>
        </w:rPr>
        <w:t>Crowds</w:t>
      </w:r>
      <w:proofErr w:type="spellEnd"/>
      <w:r w:rsidRPr="007D659A">
        <w:rPr>
          <w:i/>
          <w:iCs/>
        </w:rPr>
        <w:t xml:space="preserve">: Learning and </w:t>
      </w:r>
      <w:proofErr w:type="spellStart"/>
      <w:r w:rsidRPr="007D659A">
        <w:rPr>
          <w:i/>
          <w:iCs/>
        </w:rPr>
        <w:t>Social</w:t>
      </w:r>
      <w:proofErr w:type="spellEnd"/>
      <w:r w:rsidRPr="007D659A">
        <w:rPr>
          <w:i/>
          <w:iCs/>
        </w:rPr>
        <w:t xml:space="preserve"> Media</w:t>
      </w:r>
      <w:r w:rsidRPr="007D659A">
        <w:t>. Athabasca University Press.</w:t>
      </w:r>
    </w:p>
    <w:p w14:paraId="0CAE4B62" w14:textId="77777777" w:rsidR="007D659A" w:rsidRDefault="007D659A" w:rsidP="007D659A">
      <w:r>
        <w:t xml:space="preserve">[64] Mittelstraß, J. (2003). </w:t>
      </w:r>
      <w:r>
        <w:rPr>
          <w:rStyle w:val="Hervorhebung"/>
        </w:rPr>
        <w:t>Transdisziplinarität – wissenschaftliche Zukunft und institutionelle Wirklichkeit</w:t>
      </w:r>
      <w:r>
        <w:t>. Konstanz University Press.</w:t>
      </w:r>
      <w:r>
        <w:br/>
        <w:t xml:space="preserve">[65] Nowotny, H., Scott, P., &amp; Gibbons, M. (2001). </w:t>
      </w:r>
      <w:r>
        <w:rPr>
          <w:rStyle w:val="Hervorhebung"/>
        </w:rPr>
        <w:t>Re-</w:t>
      </w:r>
      <w:proofErr w:type="spellStart"/>
      <w:r>
        <w:rPr>
          <w:rStyle w:val="Hervorhebung"/>
        </w:rPr>
        <w:t>Thinking</w:t>
      </w:r>
      <w:proofErr w:type="spellEnd"/>
      <w:r>
        <w:rPr>
          <w:rStyle w:val="Hervorhebung"/>
        </w:rPr>
        <w:t xml:space="preserve"> Science: Knowledge and </w:t>
      </w:r>
      <w:proofErr w:type="spellStart"/>
      <w:r>
        <w:rPr>
          <w:rStyle w:val="Hervorhebung"/>
        </w:rPr>
        <w:t>the</w:t>
      </w:r>
      <w:proofErr w:type="spellEnd"/>
      <w:r>
        <w:rPr>
          <w:rStyle w:val="Hervorhebung"/>
        </w:rPr>
        <w:t xml:space="preserve"> Public in an Age </w:t>
      </w:r>
      <w:proofErr w:type="spellStart"/>
      <w:r>
        <w:rPr>
          <w:rStyle w:val="Hervorhebung"/>
        </w:rPr>
        <w:t>of</w:t>
      </w:r>
      <w:proofErr w:type="spellEnd"/>
      <w:r>
        <w:rPr>
          <w:rStyle w:val="Hervorhebung"/>
        </w:rPr>
        <w:t xml:space="preserve"> </w:t>
      </w:r>
      <w:proofErr w:type="spellStart"/>
      <w:r>
        <w:rPr>
          <w:rStyle w:val="Hervorhebung"/>
        </w:rPr>
        <w:t>Uncertainty</w:t>
      </w:r>
      <w:proofErr w:type="spellEnd"/>
      <w:r>
        <w:t xml:space="preserve">. </w:t>
      </w:r>
      <w:proofErr w:type="spellStart"/>
      <w:r>
        <w:t>Polity</w:t>
      </w:r>
      <w:proofErr w:type="spellEnd"/>
      <w:r>
        <w:t xml:space="preserve"> Press.</w:t>
      </w:r>
      <w:r>
        <w:br/>
        <w:t xml:space="preserve">[66] </w:t>
      </w:r>
      <w:proofErr w:type="spellStart"/>
      <w:r>
        <w:t>Ramazonovna</w:t>
      </w:r>
      <w:proofErr w:type="spellEnd"/>
      <w:r>
        <w:t xml:space="preserve">, K. (2025). </w:t>
      </w:r>
      <w:proofErr w:type="spellStart"/>
      <w:r>
        <w:t>Didactic</w:t>
      </w:r>
      <w:proofErr w:type="spellEnd"/>
      <w:r>
        <w:t xml:space="preserve"> </w:t>
      </w:r>
      <w:proofErr w:type="spellStart"/>
      <w:r>
        <w:t>Possibilities</w:t>
      </w:r>
      <w:proofErr w:type="spellEnd"/>
      <w:r>
        <w:t xml:space="preserve"> </w:t>
      </w:r>
      <w:proofErr w:type="spellStart"/>
      <w:r>
        <w:t>of</w:t>
      </w:r>
      <w:proofErr w:type="spellEnd"/>
      <w:r>
        <w:t xml:space="preserve"> </w:t>
      </w:r>
      <w:proofErr w:type="spellStart"/>
      <w:r>
        <w:t>Using</w:t>
      </w:r>
      <w:proofErr w:type="spellEnd"/>
      <w:r>
        <w:t xml:space="preserve"> </w:t>
      </w:r>
      <w:proofErr w:type="spellStart"/>
      <w:r>
        <w:t>the</w:t>
      </w:r>
      <w:proofErr w:type="spellEnd"/>
      <w:r>
        <w:t xml:space="preserve"> STEAM Educational Technology Tool in Teaching Natural Sciences. </w:t>
      </w:r>
      <w:r>
        <w:rPr>
          <w:rStyle w:val="Hervorhebung"/>
        </w:rPr>
        <w:t xml:space="preserve">Emergent Journal </w:t>
      </w:r>
      <w:proofErr w:type="spellStart"/>
      <w:r>
        <w:rPr>
          <w:rStyle w:val="Hervorhebung"/>
        </w:rPr>
        <w:t>for</w:t>
      </w:r>
      <w:proofErr w:type="spellEnd"/>
      <w:r>
        <w:rPr>
          <w:rStyle w:val="Hervorhebung"/>
        </w:rPr>
        <w:t xml:space="preserve"> Science </w:t>
      </w:r>
      <w:proofErr w:type="spellStart"/>
      <w:r>
        <w:rPr>
          <w:rStyle w:val="Hervorhebung"/>
        </w:rPr>
        <w:t>Pedagogy</w:t>
      </w:r>
      <w:proofErr w:type="spellEnd"/>
      <w:r>
        <w:t>, 4(1), 12–24.</w:t>
      </w:r>
      <w:r>
        <w:br/>
        <w:t xml:space="preserve">[67] Nelson, H. G., &amp; </w:t>
      </w:r>
      <w:proofErr w:type="spellStart"/>
      <w:r>
        <w:t>Stolterman</w:t>
      </w:r>
      <w:proofErr w:type="spellEnd"/>
      <w:r>
        <w:t xml:space="preserve">, E. (2014). </w:t>
      </w:r>
      <w:r>
        <w:rPr>
          <w:rStyle w:val="Hervorhebung"/>
        </w:rPr>
        <w:t xml:space="preserve">The Design Way: Intentional Change in an </w:t>
      </w:r>
      <w:proofErr w:type="spellStart"/>
      <w:r>
        <w:rPr>
          <w:rStyle w:val="Hervorhebung"/>
        </w:rPr>
        <w:t>Unpredictable</w:t>
      </w:r>
      <w:proofErr w:type="spellEnd"/>
      <w:r>
        <w:rPr>
          <w:rStyle w:val="Hervorhebung"/>
        </w:rPr>
        <w:t xml:space="preserve"> World</w:t>
      </w:r>
      <w:r>
        <w:t xml:space="preserve"> (2nd </w:t>
      </w:r>
      <w:proofErr w:type="spellStart"/>
      <w:r>
        <w:t>ed</w:t>
      </w:r>
      <w:proofErr w:type="spellEnd"/>
      <w:r>
        <w:t>.). MIT Press.</w:t>
      </w:r>
      <w:r>
        <w:br/>
        <w:t xml:space="preserve">[68] </w:t>
      </w:r>
      <w:proofErr w:type="spellStart"/>
      <w:r>
        <w:t>Howkins</w:t>
      </w:r>
      <w:proofErr w:type="spellEnd"/>
      <w:r>
        <w:t xml:space="preserve">, J. (2013). </w:t>
      </w:r>
      <w:r>
        <w:rPr>
          <w:rStyle w:val="Hervorhebung"/>
        </w:rPr>
        <w:t xml:space="preserve">The Creative Economy: </w:t>
      </w:r>
      <w:proofErr w:type="spellStart"/>
      <w:r>
        <w:rPr>
          <w:rStyle w:val="Hervorhebung"/>
        </w:rPr>
        <w:t>How</w:t>
      </w:r>
      <w:proofErr w:type="spellEnd"/>
      <w:r>
        <w:rPr>
          <w:rStyle w:val="Hervorhebung"/>
        </w:rPr>
        <w:t xml:space="preserve"> People </w:t>
      </w:r>
      <w:proofErr w:type="spellStart"/>
      <w:r>
        <w:rPr>
          <w:rStyle w:val="Hervorhebung"/>
        </w:rPr>
        <w:t>Make</w:t>
      </w:r>
      <w:proofErr w:type="spellEnd"/>
      <w:r>
        <w:rPr>
          <w:rStyle w:val="Hervorhebung"/>
        </w:rPr>
        <w:t xml:space="preserve"> Money </w:t>
      </w:r>
      <w:proofErr w:type="spellStart"/>
      <w:r>
        <w:rPr>
          <w:rStyle w:val="Hervorhebung"/>
        </w:rPr>
        <w:t>from</w:t>
      </w:r>
      <w:proofErr w:type="spellEnd"/>
      <w:r>
        <w:rPr>
          <w:rStyle w:val="Hervorhebung"/>
        </w:rPr>
        <w:t xml:space="preserve"> </w:t>
      </w:r>
      <w:proofErr w:type="spellStart"/>
      <w:r>
        <w:rPr>
          <w:rStyle w:val="Hervorhebung"/>
        </w:rPr>
        <w:t>Ideas</w:t>
      </w:r>
      <w:proofErr w:type="spellEnd"/>
      <w:r>
        <w:t>. Penguin Books.</w:t>
      </w:r>
      <w:r>
        <w:br/>
        <w:t xml:space="preserve">[69] Kuhlmann, S., &amp; Rip, A. (2018). </w:t>
      </w:r>
      <w:r>
        <w:rPr>
          <w:rStyle w:val="Hervorhebung"/>
        </w:rPr>
        <w:t>Next-Generation Innovation Policy and Grand Challenges</w:t>
      </w:r>
      <w:r>
        <w:t xml:space="preserve">. </w:t>
      </w:r>
      <w:r>
        <w:rPr>
          <w:rStyle w:val="Hervorhebung"/>
        </w:rPr>
        <w:t>Science and Public Policy</w:t>
      </w:r>
      <w:r>
        <w:t>, 45(4), 448–454.</w:t>
      </w:r>
    </w:p>
    <w:p w14:paraId="17D7A105" w14:textId="77777777" w:rsidR="00106528" w:rsidRPr="00082214" w:rsidRDefault="00106528" w:rsidP="0039789C">
      <w:pPr>
        <w:pStyle w:val="berschrift3"/>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01477C"/>
    <w:multiLevelType w:val="multilevel"/>
    <w:tmpl w:val="263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75C2D"/>
    <w:multiLevelType w:val="multilevel"/>
    <w:tmpl w:val="D17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823F3"/>
    <w:multiLevelType w:val="multilevel"/>
    <w:tmpl w:val="A6C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C42F9"/>
    <w:multiLevelType w:val="multilevel"/>
    <w:tmpl w:val="044A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F3AB5"/>
    <w:multiLevelType w:val="multilevel"/>
    <w:tmpl w:val="D71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2"/>
  </w:num>
  <w:num w:numId="5">
    <w:abstractNumId w:val="3"/>
  </w:num>
  <w:num w:numId="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51"/>
    <w:rsid w:val="000467F2"/>
    <w:rsid w:val="00082214"/>
    <w:rsid w:val="00106528"/>
    <w:rsid w:val="001830F2"/>
    <w:rsid w:val="0019229D"/>
    <w:rsid w:val="002D27D0"/>
    <w:rsid w:val="002D4202"/>
    <w:rsid w:val="00324306"/>
    <w:rsid w:val="00326179"/>
    <w:rsid w:val="0039789C"/>
    <w:rsid w:val="00433ECB"/>
    <w:rsid w:val="00436FC4"/>
    <w:rsid w:val="00446557"/>
    <w:rsid w:val="00500020"/>
    <w:rsid w:val="00503151"/>
    <w:rsid w:val="005454E6"/>
    <w:rsid w:val="005B5EFD"/>
    <w:rsid w:val="006016DC"/>
    <w:rsid w:val="0064221F"/>
    <w:rsid w:val="00795B34"/>
    <w:rsid w:val="007B7DE7"/>
    <w:rsid w:val="007D659A"/>
    <w:rsid w:val="007E333F"/>
    <w:rsid w:val="00831ECA"/>
    <w:rsid w:val="008871CF"/>
    <w:rsid w:val="008B0C43"/>
    <w:rsid w:val="008C4935"/>
    <w:rsid w:val="008D0DC3"/>
    <w:rsid w:val="009032D7"/>
    <w:rsid w:val="00A307C9"/>
    <w:rsid w:val="00AA4222"/>
    <w:rsid w:val="00AF6392"/>
    <w:rsid w:val="00B53EE0"/>
    <w:rsid w:val="00B873C2"/>
    <w:rsid w:val="00BA664A"/>
    <w:rsid w:val="00CD2089"/>
    <w:rsid w:val="00D33BDA"/>
    <w:rsid w:val="00D44FE7"/>
    <w:rsid w:val="00D542C6"/>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9A30"/>
  <w15:chartTrackingRefBased/>
  <w15:docId w15:val="{A1247686-073D-4B4D-A95A-2ACF2791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pPr>
    <w:rPr>
      <w:rFonts w:eastAsia="Calibri" w:cs="Calibri"/>
      <w:b/>
      <w:sz w:val="72"/>
      <w:szCs w:val="72"/>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 w:type="character" w:styleId="Hervorhebung">
    <w:name w:val="Emphasis"/>
    <w:basedOn w:val="Absatz-Standardschriftart"/>
    <w:uiPriority w:val="20"/>
    <w:qFormat/>
    <w:rsid w:val="00642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416">
      <w:bodyDiv w:val="1"/>
      <w:marLeft w:val="0"/>
      <w:marRight w:val="0"/>
      <w:marTop w:val="0"/>
      <w:marBottom w:val="0"/>
      <w:divBdr>
        <w:top w:val="none" w:sz="0" w:space="0" w:color="auto"/>
        <w:left w:val="none" w:sz="0" w:space="0" w:color="auto"/>
        <w:bottom w:val="none" w:sz="0" w:space="0" w:color="auto"/>
        <w:right w:val="none" w:sz="0" w:space="0" w:color="auto"/>
      </w:divBdr>
    </w:div>
    <w:div w:id="38433876">
      <w:bodyDiv w:val="1"/>
      <w:marLeft w:val="0"/>
      <w:marRight w:val="0"/>
      <w:marTop w:val="0"/>
      <w:marBottom w:val="0"/>
      <w:divBdr>
        <w:top w:val="none" w:sz="0" w:space="0" w:color="auto"/>
        <w:left w:val="none" w:sz="0" w:space="0" w:color="auto"/>
        <w:bottom w:val="none" w:sz="0" w:space="0" w:color="auto"/>
        <w:right w:val="none" w:sz="0" w:space="0" w:color="auto"/>
      </w:divBdr>
      <w:divsChild>
        <w:div w:id="1124618662">
          <w:marLeft w:val="0"/>
          <w:marRight w:val="0"/>
          <w:marTop w:val="0"/>
          <w:marBottom w:val="0"/>
          <w:divBdr>
            <w:top w:val="none" w:sz="0" w:space="0" w:color="auto"/>
            <w:left w:val="none" w:sz="0" w:space="0" w:color="auto"/>
            <w:bottom w:val="none" w:sz="0" w:space="0" w:color="auto"/>
            <w:right w:val="none" w:sz="0" w:space="0" w:color="auto"/>
          </w:divBdr>
          <w:divsChild>
            <w:div w:id="150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5390">
      <w:bodyDiv w:val="1"/>
      <w:marLeft w:val="0"/>
      <w:marRight w:val="0"/>
      <w:marTop w:val="0"/>
      <w:marBottom w:val="0"/>
      <w:divBdr>
        <w:top w:val="none" w:sz="0" w:space="0" w:color="auto"/>
        <w:left w:val="none" w:sz="0" w:space="0" w:color="auto"/>
        <w:bottom w:val="none" w:sz="0" w:space="0" w:color="auto"/>
        <w:right w:val="none" w:sz="0" w:space="0" w:color="auto"/>
      </w:divBdr>
      <w:divsChild>
        <w:div w:id="1131750889">
          <w:marLeft w:val="0"/>
          <w:marRight w:val="0"/>
          <w:marTop w:val="0"/>
          <w:marBottom w:val="0"/>
          <w:divBdr>
            <w:top w:val="none" w:sz="0" w:space="0" w:color="auto"/>
            <w:left w:val="none" w:sz="0" w:space="0" w:color="auto"/>
            <w:bottom w:val="none" w:sz="0" w:space="0" w:color="auto"/>
            <w:right w:val="none" w:sz="0" w:space="0" w:color="auto"/>
          </w:divBdr>
          <w:divsChild>
            <w:div w:id="10312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4596887">
      <w:bodyDiv w:val="1"/>
      <w:marLeft w:val="0"/>
      <w:marRight w:val="0"/>
      <w:marTop w:val="0"/>
      <w:marBottom w:val="0"/>
      <w:divBdr>
        <w:top w:val="none" w:sz="0" w:space="0" w:color="auto"/>
        <w:left w:val="none" w:sz="0" w:space="0" w:color="auto"/>
        <w:bottom w:val="none" w:sz="0" w:space="0" w:color="auto"/>
        <w:right w:val="none" w:sz="0" w:space="0" w:color="auto"/>
      </w:divBdr>
    </w:div>
    <w:div w:id="18972792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47768731">
      <w:bodyDiv w:val="1"/>
      <w:marLeft w:val="0"/>
      <w:marRight w:val="0"/>
      <w:marTop w:val="0"/>
      <w:marBottom w:val="0"/>
      <w:divBdr>
        <w:top w:val="none" w:sz="0" w:space="0" w:color="auto"/>
        <w:left w:val="none" w:sz="0" w:space="0" w:color="auto"/>
        <w:bottom w:val="none" w:sz="0" w:space="0" w:color="auto"/>
        <w:right w:val="none" w:sz="0" w:space="0" w:color="auto"/>
      </w:divBdr>
    </w:div>
    <w:div w:id="777334400">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1185194">
      <w:bodyDiv w:val="1"/>
      <w:marLeft w:val="0"/>
      <w:marRight w:val="0"/>
      <w:marTop w:val="0"/>
      <w:marBottom w:val="0"/>
      <w:divBdr>
        <w:top w:val="none" w:sz="0" w:space="0" w:color="auto"/>
        <w:left w:val="none" w:sz="0" w:space="0" w:color="auto"/>
        <w:bottom w:val="none" w:sz="0" w:space="0" w:color="auto"/>
        <w:right w:val="none" w:sz="0" w:space="0" w:color="auto"/>
      </w:divBdr>
    </w:div>
    <w:div w:id="928659933">
      <w:bodyDiv w:val="1"/>
      <w:marLeft w:val="0"/>
      <w:marRight w:val="0"/>
      <w:marTop w:val="0"/>
      <w:marBottom w:val="0"/>
      <w:divBdr>
        <w:top w:val="none" w:sz="0" w:space="0" w:color="auto"/>
        <w:left w:val="none" w:sz="0" w:space="0" w:color="auto"/>
        <w:bottom w:val="none" w:sz="0" w:space="0" w:color="auto"/>
        <w:right w:val="none" w:sz="0" w:space="0" w:color="auto"/>
      </w:divBdr>
    </w:div>
    <w:div w:id="1302688471">
      <w:bodyDiv w:val="1"/>
      <w:marLeft w:val="0"/>
      <w:marRight w:val="0"/>
      <w:marTop w:val="0"/>
      <w:marBottom w:val="0"/>
      <w:divBdr>
        <w:top w:val="none" w:sz="0" w:space="0" w:color="auto"/>
        <w:left w:val="none" w:sz="0" w:space="0" w:color="auto"/>
        <w:bottom w:val="none" w:sz="0" w:space="0" w:color="auto"/>
        <w:right w:val="none" w:sz="0" w:space="0" w:color="auto"/>
      </w:divBdr>
    </w:div>
    <w:div w:id="1395860164">
      <w:bodyDiv w:val="1"/>
      <w:marLeft w:val="0"/>
      <w:marRight w:val="0"/>
      <w:marTop w:val="0"/>
      <w:marBottom w:val="0"/>
      <w:divBdr>
        <w:top w:val="none" w:sz="0" w:space="0" w:color="auto"/>
        <w:left w:val="none" w:sz="0" w:space="0" w:color="auto"/>
        <w:bottom w:val="none" w:sz="0" w:space="0" w:color="auto"/>
        <w:right w:val="none" w:sz="0" w:space="0" w:color="auto"/>
      </w:divBdr>
      <w:divsChild>
        <w:div w:id="1353721871">
          <w:marLeft w:val="0"/>
          <w:marRight w:val="0"/>
          <w:marTop w:val="0"/>
          <w:marBottom w:val="0"/>
          <w:divBdr>
            <w:top w:val="none" w:sz="0" w:space="0" w:color="auto"/>
            <w:left w:val="none" w:sz="0" w:space="0" w:color="auto"/>
            <w:bottom w:val="none" w:sz="0" w:space="0" w:color="auto"/>
            <w:right w:val="none" w:sz="0" w:space="0" w:color="auto"/>
          </w:divBdr>
          <w:divsChild>
            <w:div w:id="10699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89810">
      <w:bodyDiv w:val="1"/>
      <w:marLeft w:val="0"/>
      <w:marRight w:val="0"/>
      <w:marTop w:val="0"/>
      <w:marBottom w:val="0"/>
      <w:divBdr>
        <w:top w:val="none" w:sz="0" w:space="0" w:color="auto"/>
        <w:left w:val="none" w:sz="0" w:space="0" w:color="auto"/>
        <w:bottom w:val="none" w:sz="0" w:space="0" w:color="auto"/>
        <w:right w:val="none" w:sz="0" w:space="0" w:color="auto"/>
      </w:divBdr>
    </w:div>
    <w:div w:id="1478455844">
      <w:bodyDiv w:val="1"/>
      <w:marLeft w:val="0"/>
      <w:marRight w:val="0"/>
      <w:marTop w:val="0"/>
      <w:marBottom w:val="0"/>
      <w:divBdr>
        <w:top w:val="none" w:sz="0" w:space="0" w:color="auto"/>
        <w:left w:val="none" w:sz="0" w:space="0" w:color="auto"/>
        <w:bottom w:val="none" w:sz="0" w:space="0" w:color="auto"/>
        <w:right w:val="none" w:sz="0" w:space="0" w:color="auto"/>
      </w:divBdr>
    </w:div>
    <w:div w:id="19976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Pages>
  <Words>7995</Words>
  <Characters>50369</Characters>
  <Application>Microsoft Office Word</Application>
  <DocSecurity>0</DocSecurity>
  <Lines>419</Lines>
  <Paragraphs>116</Paragraphs>
  <ScaleCrop>false</ScaleCrop>
  <HeadingPairs>
    <vt:vector size="4" baseType="variant">
      <vt:variant>
        <vt:lpstr>Titel</vt:lpstr>
      </vt:variant>
      <vt:variant>
        <vt:i4>1</vt:i4>
      </vt:variant>
      <vt:variant>
        <vt:lpstr>Überschriften</vt:lpstr>
      </vt:variant>
      <vt:variant>
        <vt:i4>27</vt:i4>
      </vt:variant>
    </vt:vector>
  </HeadingPairs>
  <TitlesOfParts>
    <vt:vector size="28" baseType="lpstr">
      <vt:lpstr/>
      <vt:lpstr>Kapitel 6 - Innovationen durch das FRZK</vt:lpstr>
      <vt:lpstr>    6.1 Innovation durch das FRZK – Einführung und theoretische Verankerung</vt:lpstr>
      <vt:lpstr>        6.1.1 Innovation im erkenntnistheoretischen Sinn</vt:lpstr>
      <vt:lpstr>        6.1.2 Prozesse und Beziehungen als funktionale Konstrukte</vt:lpstr>
      <vt:lpstr>        6.1.3 Innovation durch transparente Modellbildung</vt:lpstr>
      <vt:lpstr>        6.1.4 Transdisziplinäre Anwendbarkeit: Vom Physikalischen zum Allgemeinen</vt:lpstr>
      <vt:lpstr>        6.1.5 Gliederung und Zielsetzung von Kapitel 6</vt:lpstr>
      <vt:lpstr>    6.2 – Innovation im ontologischen und systemischen Sinn</vt:lpstr>
      <vt:lpstr>        6.2.1 Raum, Zeit und Objekte als Zuweisungseffekte</vt:lpstr>
      <vt:lpstr>        6.2.2 Subjektive Emergenz als systemische Konstruktion</vt:lpstr>
      <vt:lpstr>        6.2.3 Relevanz für eine allgemeine Systemtheorie</vt:lpstr>
      <vt:lpstr>        6.2.4 Konsequenzen für Modellbildung</vt:lpstr>
      <vt:lpstr>        6.3 – Innovation im didaktischen Sinn</vt:lpstr>
      <vt:lpstr>        ✅ Überarbeiteter Abschnitt 6.4 – Innovation im methodischen Sinn</vt:lpstr>
      <vt:lpstr>        ✅ Überarbeiteter Abschnitt 6.5 – Innovation durch generische Modellierung</vt:lpstr>
      <vt:lpstr>        ✅ Überarbeiteter Abschnitt 6.6 – Innovation durch didaktische Felder</vt:lpstr>
      <vt:lpstr>        ✅ Neuer Abschnitt 6.7 – Kooperation und Gemeinschaftsinnovation</vt:lpstr>
      <vt:lpstr>        ✅ Neuer Abschnitt 6.8 – Räume und Architektur als Emergenzfelder</vt:lpstr>
      <vt:lpstr>        ✅ Neuer Abschnitt 6.9 – Digitale Zuweisungsräume und hybride Felder</vt:lpstr>
      <vt:lpstr>        ✅ Neuer Abschnitt 6.10 – Kreative Hybridfelder: Emergenz durch Interdisziplinari</vt:lpstr>
      <vt:lpstr>        ✅ Neuer Abschnitt 6.11 – Zusammenfassung</vt:lpstr>
      <vt:lpstr>        ✅ Vorschlag: Abbildungen zu Kapitel 6</vt:lpstr>
      <vt:lpstr>        Hinweise zur Umsetzung:</vt:lpstr>
      <vt:lpstr>        ✅ Tabelle: Notwendige Anhänge mit Textstelle (Anlagen 6.A–6.I)</vt:lpstr>
      <vt:lpstr>        Hinweise für den Einbau in den Text</vt:lpstr>
      <vt:lpstr>    Quellenverzeichnis Kapitel 6</vt:lpstr>
      <vt:lpstr>        </vt:lpstr>
    </vt:vector>
  </TitlesOfParts>
  <Company/>
  <LinksUpToDate>false</LinksUpToDate>
  <CharactersWithSpaces>58248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2025-06-20T16:00:00Z</dcterms:created>
  <dcterms:modified xsi:type="dcterms:W3CDTF">2025-06-20T20:06:00Z</dcterms:modified>
</cp:coreProperties>
</file>