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8290" w14:textId="71561F47" w:rsidR="00A73E5B" w:rsidRDefault="00A73E5B" w:rsidP="00A73E5B">
      <w:pPr>
        <w:pStyle w:val="berschrift2"/>
        <w:rPr>
          <w:sz w:val="36"/>
          <w:szCs w:val="36"/>
        </w:rPr>
      </w:pPr>
      <w:r>
        <w:rPr>
          <w:rStyle w:val="Fett"/>
          <w:b/>
          <w:bCs w:val="0"/>
        </w:rPr>
        <w:t xml:space="preserve">Anlage </w:t>
      </w:r>
      <w:r>
        <w:rPr>
          <w:rStyle w:val="Fett"/>
          <w:b/>
          <w:bCs w:val="0"/>
        </w:rPr>
        <w:t>3</w:t>
      </w:r>
      <w:r>
        <w:rPr>
          <w:rStyle w:val="Fett"/>
          <w:b/>
          <w:bCs w:val="0"/>
        </w:rPr>
        <w:t>.</w:t>
      </w:r>
      <w:r>
        <w:rPr>
          <w:rStyle w:val="Fett"/>
          <w:b/>
          <w:bCs w:val="0"/>
        </w:rPr>
        <w:t>X</w:t>
      </w:r>
      <w:r>
        <w:rPr>
          <w:rStyle w:val="Fett"/>
          <w:b/>
          <w:bCs w:val="0"/>
        </w:rPr>
        <w:t xml:space="preserve"> – Parametrisierung eines dynamischen 3D-Systems entlang einer Brane-Funktion</w:t>
      </w:r>
    </w:p>
    <w:p w14:paraId="483D82B0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Titel:</w:t>
      </w:r>
    </w:p>
    <w:p w14:paraId="7ACB7280" w14:textId="77777777" w:rsidR="00A73E5B" w:rsidRDefault="00A73E5B" w:rsidP="00A73E5B">
      <w:pPr>
        <w:pStyle w:val="StandardWeb"/>
      </w:pPr>
      <w:r>
        <w:t>Dynamisches Punktteilchensystem im 3D-Raum mit Brane-Parametrisierung</w:t>
      </w:r>
    </w:p>
    <w:p w14:paraId="69F48D29" w14:textId="77777777" w:rsidR="00A73E5B" w:rsidRDefault="00A73E5B" w:rsidP="00A73E5B">
      <w:r>
        <w:pict w14:anchorId="369B68E0">
          <v:rect id="_x0000_i1027" style="width:0;height:1.5pt" o:hralign="center" o:hrstd="t" o:hr="t" fillcolor="#a0a0a0" stroked="f"/>
        </w:pict>
      </w:r>
    </w:p>
    <w:p w14:paraId="65D8570D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1. Einordnung</w:t>
      </w:r>
    </w:p>
    <w:p w14:paraId="379082E9" w14:textId="77777777" w:rsidR="00A73E5B" w:rsidRDefault="00A73E5B" w:rsidP="00A73E5B">
      <w:pPr>
        <w:pStyle w:val="StandardWeb"/>
      </w:pPr>
      <w:r>
        <w:t xml:space="preserve">Im Kontext nichtklassischer Raumkonzepte – etwa im String- oder Brane-Modell – lassen sich raumzeitliche Strukturen nicht mehr durch feste Koordinaten beschreiben, sondern durch </w:t>
      </w:r>
      <w:r>
        <w:rPr>
          <w:rStyle w:val="Fett"/>
        </w:rPr>
        <w:t>Parametrisierung entlang höherdimensionaler Funktionen</w:t>
      </w:r>
      <w:r>
        <w:t xml:space="preserve">. Das klassische Raum-Zeit-Koordinatensystem (x, y, z, t) wird ersetzt durch </w:t>
      </w:r>
      <w:r>
        <w:rPr>
          <w:rStyle w:val="Fett"/>
        </w:rPr>
        <w:t>Funktionen, die von einem gemeinsamen Parameter – etwa der Eigenzeit oder einem Brane-Parameter – abhängen</w:t>
      </w:r>
      <w:r>
        <w:t>.</w:t>
      </w:r>
    </w:p>
    <w:p w14:paraId="3DFB01C8" w14:textId="77777777" w:rsidR="00A73E5B" w:rsidRDefault="00A73E5B" w:rsidP="00A73E5B">
      <w:pPr>
        <w:pStyle w:val="StandardWeb"/>
      </w:pPr>
      <w:r>
        <w:t xml:space="preserve">In didaktisch reduzierter Form lässt sich dies mit einem dynamischen Modell veranschaulichen, bei dem ein Punkt </w:t>
      </w:r>
      <w:r>
        <w:rPr>
          <w:rStyle w:val="Fett"/>
        </w:rPr>
        <w:t>nicht im Raum bewegt wird</w:t>
      </w:r>
      <w:r>
        <w:t xml:space="preserve">, sondern dessen </w:t>
      </w:r>
      <w:r>
        <w:rPr>
          <w:rStyle w:val="Fett"/>
        </w:rPr>
        <w:t>Koordinaten x(t), y(t), z(t)</w:t>
      </w:r>
      <w:r>
        <w:t xml:space="preserve"> vollständig durch eine </w:t>
      </w:r>
      <w:r>
        <w:rPr>
          <w:rStyle w:val="Fett"/>
        </w:rPr>
        <w:t>niederdimensionale Weltlinien-Funktion</w:t>
      </w:r>
      <w:r>
        <w:t xml:space="preserve"> gesteuert werden.</w:t>
      </w:r>
    </w:p>
    <w:p w14:paraId="61802707" w14:textId="77777777" w:rsidR="00A73E5B" w:rsidRDefault="00A73E5B" w:rsidP="00A73E5B">
      <w:r>
        <w:pict w14:anchorId="03132967">
          <v:rect id="_x0000_i1028" style="width:0;height:1.5pt" o:hralign="center" o:hrstd="t" o:hr="t" fillcolor="#a0a0a0" stroked="f"/>
        </w:pict>
      </w:r>
    </w:p>
    <w:p w14:paraId="0C661B6D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2. Beispiel: Parametrisierung eines Partikels auf einer 1-Brane</w:t>
      </w:r>
    </w:p>
    <w:p w14:paraId="4436DCF2" w14:textId="77777777" w:rsidR="00A73E5B" w:rsidRDefault="00A73E5B" w:rsidP="00A73E5B">
      <w:pPr>
        <w:pStyle w:val="StandardWeb"/>
      </w:pPr>
      <w:r>
        <w:t xml:space="preserve">Wir betrachten ein Punktobjekt, dessen Bewegung nicht durch äußere Kräfte, sondern durch eine </w:t>
      </w:r>
      <w:r>
        <w:rPr>
          <w:rStyle w:val="Fett"/>
        </w:rPr>
        <w:t>interne, funktional gesetzte Dynamik</w:t>
      </w:r>
      <w:r>
        <w:t xml:space="preserve"> bestimmt ist. Die Koordinaten des Partikels sind Funktionen einer reellen Parametergröße τ (z. B. Eigenzeit oder eine symbolische Brane-Funktion):</w:t>
      </w:r>
    </w:p>
    <w:p w14:paraId="07C6FA2C" w14:textId="015C8F76" w:rsidR="00A73E5B" w:rsidRDefault="00A73E5B" w:rsidP="00A73E5B">
      <w:r>
        <w:rPr>
          <w:rStyle w:val="katex-mathml"/>
          <w:rFonts w:eastAsia="Calibri"/>
        </w:rPr>
        <w:t>{x(τ)=R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cos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(ωτ)y(τ)=R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sin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(ωτ)z(τ)=h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sin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(2ωτ)\begin{cases} x(\tau) = R \cdot \cos(\omega \tau) \\ y(\tau) = R \cdot \sin(\omega \tau) \\ z(\tau) = h \cdot \sin(2\omega \tau) \end{cases}</w:t>
      </w:r>
      <w:r>
        <w:rPr>
          <w:rStyle w:val="delimsizinginner"/>
          <w:rFonts w:ascii="Cambria Math" w:hAnsi="Cambria Math" w:cs="Cambria Math"/>
        </w:rPr>
        <w:t>⎩⎨⎧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r>
        <w:rPr>
          <w:rStyle w:val="mopen"/>
        </w:rPr>
        <w:t>(</w:t>
      </w:r>
      <w:r>
        <w:rPr>
          <w:rStyle w:val="mord"/>
        </w:rPr>
        <w:t>ωτ</w:t>
      </w:r>
      <w:r>
        <w:rPr>
          <w:rStyle w:val="mclose"/>
        </w:rPr>
        <w:t>)</w:t>
      </w:r>
      <w:r>
        <w:rPr>
          <w:rStyle w:val="mord"/>
        </w:rPr>
        <w:t>y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ωτ</w:t>
      </w:r>
      <w:r>
        <w:rPr>
          <w:rStyle w:val="mclose"/>
        </w:rPr>
        <w:t>)</w:t>
      </w:r>
      <w:r>
        <w:rPr>
          <w:rStyle w:val="mord"/>
        </w:rPr>
        <w:t>z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h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2ωτ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14:paraId="56F85BEF" w14:textId="10EBD744" w:rsidR="00A73E5B" w:rsidRDefault="00A73E5B" w:rsidP="00A73E5B"/>
    <w:p w14:paraId="42ADF8CF" w14:textId="6DDAC889" w:rsidR="00A73E5B" w:rsidRDefault="00A73E5B" w:rsidP="00A73E5B">
      <w:r w:rsidRPr="003C5F0D">
        <w:rPr>
          <w:noProof/>
        </w:rPr>
        <w:drawing>
          <wp:inline distT="0" distB="0" distL="0" distR="0" wp14:anchorId="15A2E4EE" wp14:editId="6F716FCC">
            <wp:extent cx="5756910" cy="771525"/>
            <wp:effectExtent l="0" t="0" r="0" b="0"/>
            <wp:docPr id="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1DAF" w14:textId="77777777" w:rsidR="00A73E5B" w:rsidRDefault="00A73E5B" w:rsidP="00A73E5B">
      <w:pPr>
        <w:pStyle w:val="StandardWeb"/>
      </w:pPr>
      <w:r>
        <w:t>mit:</w:t>
      </w:r>
    </w:p>
    <w:p w14:paraId="5617A926" w14:textId="77777777" w:rsidR="00A73E5B" w:rsidRDefault="00A73E5B" w:rsidP="00A73E5B">
      <w:pPr>
        <w:pStyle w:val="StandardWeb"/>
        <w:numPr>
          <w:ilvl w:val="0"/>
          <w:numId w:val="4"/>
        </w:numPr>
      </w:pPr>
      <w:r>
        <w:rPr>
          <w:rStyle w:val="katex-mathml"/>
          <w:rFonts w:eastAsia="Calibri"/>
        </w:rPr>
        <w:t>RR</w:t>
      </w:r>
      <w:r>
        <w:rPr>
          <w:rStyle w:val="mord"/>
        </w:rPr>
        <w:t>R</w:t>
      </w:r>
      <w:r>
        <w:t>: Radius der Kreisbahn (z. B. symbolische Reichweite)</w:t>
      </w:r>
    </w:p>
    <w:p w14:paraId="64C10A44" w14:textId="77777777" w:rsidR="00A73E5B" w:rsidRDefault="00A73E5B" w:rsidP="00A73E5B">
      <w:pPr>
        <w:pStyle w:val="StandardWeb"/>
        <w:numPr>
          <w:ilvl w:val="0"/>
          <w:numId w:val="4"/>
        </w:numPr>
      </w:pPr>
      <w:r>
        <w:rPr>
          <w:rStyle w:val="katex-mathml"/>
          <w:rFonts w:eastAsia="Calibri"/>
        </w:rPr>
        <w:t>ω\omega</w:t>
      </w:r>
      <w:r>
        <w:rPr>
          <w:rStyle w:val="mord"/>
        </w:rPr>
        <w:t>ω</w:t>
      </w:r>
      <w:r>
        <w:t>: Frequenzparameter</w:t>
      </w:r>
    </w:p>
    <w:p w14:paraId="5CB3CF62" w14:textId="77777777" w:rsidR="00A73E5B" w:rsidRDefault="00A73E5B" w:rsidP="00A73E5B">
      <w:pPr>
        <w:pStyle w:val="StandardWeb"/>
        <w:numPr>
          <w:ilvl w:val="0"/>
          <w:numId w:val="4"/>
        </w:numPr>
      </w:pPr>
      <w:r>
        <w:rPr>
          <w:rStyle w:val="katex-mathml"/>
          <w:rFonts w:eastAsia="Calibri"/>
        </w:rPr>
        <w:t>hh</w:t>
      </w:r>
      <w:r>
        <w:rPr>
          <w:rStyle w:val="mord"/>
        </w:rPr>
        <w:t>h</w:t>
      </w:r>
      <w:r>
        <w:t>: vertikale Modulationsamplitude (semantische Drift)</w:t>
      </w:r>
    </w:p>
    <w:p w14:paraId="7927C607" w14:textId="77777777" w:rsidR="00A73E5B" w:rsidRDefault="00A73E5B" w:rsidP="00A73E5B">
      <w:pPr>
        <w:pStyle w:val="StandardWeb"/>
      </w:pPr>
      <w:r>
        <w:rPr>
          <w:rStyle w:val="Fett"/>
        </w:rPr>
        <w:t>Interpretation</w:t>
      </w:r>
      <w:r>
        <w:t>:</w:t>
      </w:r>
      <w:r>
        <w:br/>
        <w:t xml:space="preserve">Das Punktobjekt beschreibt eine </w:t>
      </w:r>
      <w:r>
        <w:rPr>
          <w:rStyle w:val="Fett"/>
        </w:rPr>
        <w:t>dynamische Spirale</w:t>
      </w:r>
      <w:r>
        <w:t xml:space="preserve"> im Raum, deren Form vollständig durch die innere Brane-Funktion </w:t>
      </w:r>
      <w:r>
        <w:rPr>
          <w:rStyle w:val="katex-mathml"/>
          <w:rFonts w:eastAsia="Calibri"/>
        </w:rPr>
        <w:t>τ\tau</w:t>
      </w:r>
      <w:r>
        <w:rPr>
          <w:rStyle w:val="mord"/>
        </w:rPr>
        <w:t>τ</w:t>
      </w:r>
      <w:r>
        <w:t xml:space="preserve"> bestimmt ist. Es bewegt sich nicht durch „Raum“, </w:t>
      </w:r>
      <w:r>
        <w:lastRenderedPageBreak/>
        <w:t xml:space="preserve">sondern </w:t>
      </w:r>
      <w:r>
        <w:rPr>
          <w:rStyle w:val="Fett"/>
        </w:rPr>
        <w:t>erzeugt Raumstruktur durch Parametrisierung</w:t>
      </w:r>
      <w:r>
        <w:t xml:space="preserve">. Die räumlichen Koordinaten sind </w:t>
      </w:r>
      <w:r>
        <w:rPr>
          <w:rStyle w:val="Fett"/>
        </w:rPr>
        <w:t>keine unabhängigen Größen mehr</w:t>
      </w:r>
      <w:r>
        <w:t xml:space="preserve">, sondern </w:t>
      </w:r>
      <w:r>
        <w:rPr>
          <w:rStyle w:val="Fett"/>
        </w:rPr>
        <w:t>Ableitungen semantischer Bewegung</w:t>
      </w:r>
      <w:r>
        <w:t xml:space="preserve"> entlang eines symbolischen Pfades.</w:t>
      </w:r>
    </w:p>
    <w:p w14:paraId="05E4FC2C" w14:textId="77777777" w:rsidR="00A73E5B" w:rsidRDefault="00A73E5B" w:rsidP="00A73E5B">
      <w:r>
        <w:pict w14:anchorId="11280799">
          <v:rect id="_x0000_i1029" style="width:0;height:1.5pt" o:hralign="center" o:hrstd="t" o:hr="t" fillcolor="#a0a0a0" stroked="f"/>
        </w:pict>
      </w:r>
    </w:p>
    <w:p w14:paraId="3CAAE0C0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3. Anwendung als semantisches Modell</w:t>
      </w:r>
    </w:p>
    <w:p w14:paraId="027D0B82" w14:textId="77777777" w:rsidR="00A73E5B" w:rsidRDefault="00A73E5B" w:rsidP="00A73E5B">
      <w:pPr>
        <w:pStyle w:val="StandardWeb"/>
      </w:pPr>
      <w:r>
        <w:t xml:space="preserve">Im übertragenen Sinne lassen sich x(τ), y(τ), z(τ) auch als </w:t>
      </w:r>
      <w:r>
        <w:rPr>
          <w:rStyle w:val="Fett"/>
        </w:rPr>
        <w:t>semantische Koordinaten</w:t>
      </w:r>
      <w:r>
        <w:t xml:space="preserve"> interpretieren:</w:t>
      </w:r>
    </w:p>
    <w:p w14:paraId="122F20F8" w14:textId="77777777" w:rsidR="00A73E5B" w:rsidRDefault="00A73E5B" w:rsidP="00A73E5B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t>xx</w:t>
      </w:r>
      <w:r>
        <w:rPr>
          <w:rStyle w:val="mord"/>
        </w:rPr>
        <w:t>x</w:t>
      </w:r>
      <w:r>
        <w:t>: Diskursive Position</w:t>
      </w:r>
    </w:p>
    <w:p w14:paraId="35107A0D" w14:textId="77777777" w:rsidR="00A73E5B" w:rsidRDefault="00A73E5B" w:rsidP="00A73E5B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t>yy</w:t>
      </w:r>
      <w:r>
        <w:rPr>
          <w:rStyle w:val="mord"/>
        </w:rPr>
        <w:t>y</w:t>
      </w:r>
      <w:r>
        <w:t>: kultureller Kontext</w:t>
      </w:r>
    </w:p>
    <w:p w14:paraId="542718CB" w14:textId="77777777" w:rsidR="00A73E5B" w:rsidRDefault="00A73E5B" w:rsidP="00A73E5B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t>zz</w:t>
      </w:r>
      <w:r>
        <w:rPr>
          <w:rStyle w:val="mord"/>
        </w:rPr>
        <w:t>z</w:t>
      </w:r>
      <w:r>
        <w:t>: Bedeutungstiefe / symbolische Energie</w:t>
      </w:r>
    </w:p>
    <w:p w14:paraId="7AEEF5F0" w14:textId="77777777" w:rsidR="00A73E5B" w:rsidRDefault="00A73E5B" w:rsidP="00A73E5B">
      <w:pPr>
        <w:pStyle w:val="StandardWeb"/>
      </w:pPr>
      <w:r>
        <w:t xml:space="preserve">Dann modelliert τ die </w:t>
      </w:r>
      <w:r>
        <w:rPr>
          <w:rStyle w:val="Fett"/>
        </w:rPr>
        <w:t>semantische Entwicklung eines Begriffs</w:t>
      </w:r>
      <w:r>
        <w:t xml:space="preserve"> – z. B. wie „Freiheit“ im Laufe der Geschichte </w:t>
      </w:r>
      <w:r>
        <w:rPr>
          <w:rStyle w:val="Fett"/>
        </w:rPr>
        <w:t>eine Kurve durch den semantischen Raum</w:t>
      </w:r>
      <w:r>
        <w:t xml:space="preserve"> zieht: mal näher an juristische Diskurse, mal stärker religiös aufgeladen, mal revolutionär, mal konsumierbar.</w:t>
      </w:r>
    </w:p>
    <w:p w14:paraId="3C5E025B" w14:textId="77777777" w:rsidR="00A73E5B" w:rsidRDefault="00A73E5B" w:rsidP="00A73E5B">
      <w:r>
        <w:pict w14:anchorId="47B82E62">
          <v:rect id="_x0000_i1030" style="width:0;height:1.5pt" o:hralign="center" o:hrstd="t" o:hr="t" fillcolor="#a0a0a0" stroked="f"/>
        </w:pict>
      </w:r>
    </w:p>
    <w:p w14:paraId="7D8D34CC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4. Erweiterung: Brane-Flächen (2-Brane)</w:t>
      </w:r>
    </w:p>
    <w:p w14:paraId="2D2F6AD9" w14:textId="77777777" w:rsidR="00A73E5B" w:rsidRDefault="00A73E5B" w:rsidP="00A73E5B">
      <w:pPr>
        <w:pStyle w:val="StandardWeb"/>
      </w:pPr>
      <w:r>
        <w:t xml:space="preserve">Für eine höhere Abstraktion lassen sich ganze </w:t>
      </w:r>
      <w:r>
        <w:rPr>
          <w:rStyle w:val="Fett"/>
        </w:rPr>
        <w:t>Flächen im Raum</w:t>
      </w:r>
      <w:r>
        <w:t xml:space="preserve"> als Funktion zweier Parameter (σ, τ) darstellen:</w:t>
      </w:r>
    </w:p>
    <w:p w14:paraId="0F22E0AD" w14:textId="0436FC75" w:rsidR="00A73E5B" w:rsidRDefault="00A73E5B" w:rsidP="00A73E5B">
      <w:r>
        <w:rPr>
          <w:rStyle w:val="katex-mathml"/>
          <w:rFonts w:eastAsia="Calibri"/>
        </w:rPr>
        <w:t>{x(σ,τ)=R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cos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(ωτ)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cos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(σ)y(σ,τ)=R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cos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(ωτ)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sin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(σ)z(σ,τ)=h</w:t>
      </w:r>
      <w:r>
        <w:rPr>
          <w:rStyle w:val="katex-mathml"/>
          <w:rFonts w:ascii="Cambria Math" w:eastAsia="Calibri" w:hAnsi="Cambria Math" w:cs="Cambria Math"/>
        </w:rPr>
        <w:t>⋅</w:t>
      </w:r>
      <w:r>
        <w:rPr>
          <w:rStyle w:val="katex-mathml"/>
          <w:rFonts w:eastAsia="Calibri"/>
        </w:rPr>
        <w:t>sin</w:t>
      </w:r>
      <w:r>
        <w:rPr>
          <w:rStyle w:val="katex-mathml"/>
          <w:rFonts w:ascii="Cambria Math" w:eastAsia="Calibri" w:hAnsi="Cambria Math" w:cs="Cambria Math"/>
        </w:rPr>
        <w:t>⁡</w:t>
      </w:r>
      <w:r>
        <w:rPr>
          <w:rStyle w:val="katex-mathml"/>
          <w:rFonts w:eastAsia="Calibri"/>
        </w:rPr>
        <w:t>(2ωτ)\begin{cases} x(\sigma, \tau) = R \cdot \cos(\omega \tau) \cdot \cos(\sigma) \\ y(\sigma, \tau) = R \cdot \cos(\omega \tau) \cdot \sin(\sigma) \\ z(\sigma, \tau) = h \cdot \sin(2\omega \tau) \end{cases}</w:t>
      </w:r>
      <w:r>
        <w:rPr>
          <w:rStyle w:val="delimsizinginner"/>
          <w:rFonts w:ascii="Cambria Math" w:hAnsi="Cambria Math" w:cs="Cambria Math"/>
        </w:rPr>
        <w:t>⎩⎨⎧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open"/>
        </w:rPr>
        <w:t>(</w:t>
      </w:r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r>
        <w:rPr>
          <w:rStyle w:val="mopen"/>
        </w:rPr>
        <w:t>(</w:t>
      </w:r>
      <w:r>
        <w:rPr>
          <w:rStyle w:val="mord"/>
        </w:rPr>
        <w:t>ωτ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r>
        <w:rPr>
          <w:rStyle w:val="mopen"/>
        </w:rPr>
        <w:t>(</w:t>
      </w:r>
      <w:r>
        <w:rPr>
          <w:rStyle w:val="mord"/>
        </w:rPr>
        <w:t>σ</w:t>
      </w:r>
      <w:r>
        <w:rPr>
          <w:rStyle w:val="mclose"/>
        </w:rPr>
        <w:t>)</w:t>
      </w:r>
      <w:r>
        <w:rPr>
          <w:rStyle w:val="mord"/>
        </w:rPr>
        <w:t>y</w:t>
      </w:r>
      <w:r>
        <w:rPr>
          <w:rStyle w:val="mopen"/>
        </w:rPr>
        <w:t>(</w:t>
      </w:r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r>
        <w:rPr>
          <w:rStyle w:val="mopen"/>
        </w:rPr>
        <w:t>(</w:t>
      </w:r>
      <w:r>
        <w:rPr>
          <w:rStyle w:val="mord"/>
        </w:rPr>
        <w:t>ωτ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σ</w:t>
      </w:r>
      <w:r>
        <w:rPr>
          <w:rStyle w:val="mclose"/>
        </w:rPr>
        <w:t>)</w:t>
      </w:r>
      <w:r>
        <w:rPr>
          <w:rStyle w:val="mord"/>
        </w:rPr>
        <w:t>z</w:t>
      </w:r>
      <w:r>
        <w:rPr>
          <w:rStyle w:val="mopen"/>
        </w:rPr>
        <w:t>(</w:t>
      </w:r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τ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h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2ωτ</w:t>
      </w:r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14:paraId="4C7FD9E3" w14:textId="5FD6BAF2" w:rsidR="00A73E5B" w:rsidRDefault="00A73E5B" w:rsidP="00A73E5B"/>
    <w:p w14:paraId="4BCEBBD1" w14:textId="69123874" w:rsidR="00A73E5B" w:rsidRDefault="00A73E5B" w:rsidP="00A73E5B">
      <w:r w:rsidRPr="003C5F0D">
        <w:rPr>
          <w:noProof/>
        </w:rPr>
        <w:drawing>
          <wp:inline distT="0" distB="0" distL="0" distR="0" wp14:anchorId="50255FA5" wp14:editId="13095BC4">
            <wp:extent cx="5764530" cy="771525"/>
            <wp:effectExtent l="0" t="0" r="0" b="0"/>
            <wp:docPr id="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F828" w14:textId="77777777" w:rsidR="00A73E5B" w:rsidRDefault="00A73E5B" w:rsidP="00A73E5B">
      <w:pPr>
        <w:pStyle w:val="StandardWeb"/>
      </w:pPr>
      <w:r>
        <w:t xml:space="preserve">Diese Fläche schwingt periodisch, moduliert über die Zeit τ, während σ die </w:t>
      </w:r>
      <w:r>
        <w:rPr>
          <w:rStyle w:val="Fett"/>
        </w:rPr>
        <w:t>interne semantische Variation</w:t>
      </w:r>
      <w:r>
        <w:t xml:space="preserve"> innerhalb eines „Begriffskörpers“ beschreibt. Das Modell ist geometrisch ein schwingender Zylinder – semantisch eine </w:t>
      </w:r>
      <w:r>
        <w:rPr>
          <w:rStyle w:val="Fett"/>
        </w:rPr>
        <w:t>ideengeschichtliche Resonanzfläche</w:t>
      </w:r>
      <w:r>
        <w:t>.</w:t>
      </w:r>
    </w:p>
    <w:p w14:paraId="7469EFEB" w14:textId="77777777" w:rsidR="00A73E5B" w:rsidRDefault="00A73E5B" w:rsidP="00A73E5B">
      <w:r>
        <w:pict w14:anchorId="7FD8401D">
          <v:rect id="_x0000_i1031" style="width:0;height:1.5pt" o:hralign="center" o:hrstd="t" o:hr="t" fillcolor="#a0a0a0" stroked="f"/>
        </w:pict>
      </w:r>
    </w:p>
    <w:p w14:paraId="1F25FEF6" w14:textId="77777777" w:rsidR="00A73E5B" w:rsidRDefault="00A73E5B" w:rsidP="00A73E5B">
      <w:pPr>
        <w:pStyle w:val="berschrift3"/>
      </w:pPr>
      <w:r>
        <w:rPr>
          <w:rStyle w:val="Fett"/>
          <w:b/>
          <w:bCs w:val="0"/>
        </w:rPr>
        <w:t>5. Fazit</w:t>
      </w:r>
    </w:p>
    <w:p w14:paraId="0FB2EF1F" w14:textId="77777777" w:rsidR="00A73E5B" w:rsidRDefault="00A73E5B" w:rsidP="00A73E5B">
      <w:pPr>
        <w:pStyle w:val="StandardWeb"/>
      </w:pPr>
      <w:r>
        <w:t>Dieses technische Beispiel demonstriert ein fundamentales Prinzip deiner Arbeit:</w:t>
      </w:r>
      <w:r>
        <w:br/>
      </w:r>
      <w:r>
        <w:rPr>
          <w:rStyle w:val="Fett"/>
        </w:rPr>
        <w:t>Bedeutung ist nicht ortsfest – sie entsteht entlang symbolischer Weltlinien</w:t>
      </w:r>
      <w:r>
        <w:t>. Raum, Zeit und Struktur sind nicht gegeben, sondern entstehen aus funktionaler Setzung und Rekonstruktion.</w:t>
      </w:r>
    </w:p>
    <w:p w14:paraId="23CF7364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import numpy as np</w:t>
      </w:r>
    </w:p>
    <w:p w14:paraId="688A8F27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import matplotlib.pyplot as plt</w:t>
      </w:r>
    </w:p>
    <w:p w14:paraId="26A2C47B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from mpl_toolkits.mplot3d import Axes3D</w:t>
      </w:r>
    </w:p>
    <w:p w14:paraId="4D585915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515E4F86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------------------------------------------</w:t>
      </w:r>
    </w:p>
    <w:p w14:paraId="2A1D99CE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Visualisierung: Dynamische Brane-Kurve im 3D-Raum</w:t>
      </w:r>
    </w:p>
    <w:p w14:paraId="4CA22A4F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x(τ), y(τ), z(τ) als Funktionen einer Brane-Parameterisierung τ</w:t>
      </w:r>
    </w:p>
    <w:p w14:paraId="043DF491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------------------------------------------</w:t>
      </w:r>
    </w:p>
    <w:p w14:paraId="57DC0650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2EEB0846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Parameterbereich τ (z.</w:t>
      </w:r>
      <w:r w:rsidRPr="00A73E5B">
        <w:rPr>
          <w:rStyle w:val="IntensiveHervorhebung"/>
          <w:rFonts w:ascii="Cambria Math" w:hAnsi="Cambria Math" w:cs="Cambria Math"/>
          <w:i w:val="0"/>
          <w:iCs w:val="0"/>
          <w:color w:val="auto"/>
        </w:rPr>
        <w:t> </w:t>
      </w:r>
      <w:r w:rsidRPr="00A73E5B">
        <w:rPr>
          <w:rStyle w:val="IntensiveHervorhebung"/>
          <w:i w:val="0"/>
          <w:iCs w:val="0"/>
          <w:color w:val="auto"/>
        </w:rPr>
        <w:t>B. symbolische Zeitachse)</w:t>
      </w:r>
    </w:p>
    <w:p w14:paraId="09A93DC6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tau = np.linspace(0, 4 * np.pi, 400)</w:t>
      </w:r>
    </w:p>
    <w:p w14:paraId="3CB38E53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4F67E53C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Parameter der Bewegung</w:t>
      </w:r>
    </w:p>
    <w:p w14:paraId="5FD21BE4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R = 5        # Radius der Spiralbahn</w:t>
      </w:r>
    </w:p>
    <w:p w14:paraId="1A84E5A7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theta = 2    # Frequenz in x-y-Ebene</w:t>
      </w:r>
    </w:p>
    <w:p w14:paraId="776AF9C0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h = 2        # Amplitude der z-Variation</w:t>
      </w:r>
    </w:p>
    <w:p w14:paraId="5DFC42E5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319F26AE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Parametrisierte Koordinaten (eine 1-Brane in Bewegung)</w:t>
      </w:r>
    </w:p>
    <w:p w14:paraId="419BB2BC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x = R * np.cos(theta * tau)</w:t>
      </w:r>
    </w:p>
    <w:p w14:paraId="0D24A1C1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y = R * np.sin(theta * tau)</w:t>
      </w:r>
    </w:p>
    <w:p w14:paraId="515E1937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z = h * np.sin(2 * theta * tau)</w:t>
      </w:r>
    </w:p>
    <w:p w14:paraId="21FA4459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191CDD5B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Visualisierung</w:t>
      </w:r>
    </w:p>
    <w:p w14:paraId="0364A96E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fig = plt.figure(figsize=(10, 8))</w:t>
      </w:r>
    </w:p>
    <w:p w14:paraId="47C48B5F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 = fig.add_subplot(111, projection='3d')</w:t>
      </w:r>
    </w:p>
    <w:p w14:paraId="5A238E02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210BBC0B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ax.plot3D(x, y, z, linewidth=2, color='mediumblue', label='1-Brane-Pfad')</w:t>
      </w:r>
    </w:p>
    <w:p w14:paraId="5A39B940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7384C27C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Markiere Start- und Endpunkt</w:t>
      </w:r>
    </w:p>
    <w:p w14:paraId="47260103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ax.scatter(x[0], y[0], z[0], color='green', s=60, label='Start')</w:t>
      </w:r>
    </w:p>
    <w:p w14:paraId="1801B492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ax.scatter(x[-1], y[-1], z[-1], color='red', s=60, label='Ende')</w:t>
      </w:r>
    </w:p>
    <w:p w14:paraId="14790EC6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03386B38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# Achsenbeschriftung</w:t>
      </w:r>
    </w:p>
    <w:p w14:paraId="2675FA0B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ax.set_title('Dynamische Weltlinie: x(τ), y(τ), z(τ)', fontsize=14)</w:t>
      </w:r>
    </w:p>
    <w:p w14:paraId="17064268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ax.set_xlabel('x(τ) – symbolische Position')</w:t>
      </w:r>
    </w:p>
    <w:p w14:paraId="662E420E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ax.set_ylabel('y(τ) – kultureller Kontext')</w:t>
      </w:r>
    </w:p>
    <w:p w14:paraId="17A90EB8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ax.set_zlabel('z(τ) – Bedeutungstiefe')</w:t>
      </w:r>
    </w:p>
    <w:p w14:paraId="4BA67771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</w:p>
    <w:p w14:paraId="4C4118A5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ax.legend()</w:t>
      </w:r>
    </w:p>
    <w:p w14:paraId="785B4FAC" w14:textId="77777777" w:rsidR="00A73E5B" w:rsidRP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plt.tight_layout()</w:t>
      </w:r>
    </w:p>
    <w:p w14:paraId="048800CC" w14:textId="77777777" w:rsidR="00A73E5B" w:rsidRDefault="00A73E5B" w:rsidP="00A73E5B">
      <w:pPr>
        <w:pStyle w:val="Code"/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color w:val="auto"/>
        </w:rPr>
        <w:t>plt.show()</w:t>
      </w:r>
    </w:p>
    <w:p w14:paraId="10D9266B" w14:textId="2CA91CDE" w:rsidR="00106528" w:rsidRPr="00082214" w:rsidRDefault="00A73E5B" w:rsidP="00A73E5B">
      <w:pPr>
        <w:rPr>
          <w:rStyle w:val="IntensiveHervorhebung"/>
          <w:i w:val="0"/>
          <w:iCs w:val="0"/>
          <w:color w:val="auto"/>
        </w:rPr>
      </w:pPr>
      <w:r w:rsidRPr="00A73E5B">
        <w:rPr>
          <w:rStyle w:val="IntensiveHervorhebung"/>
          <w:i w:val="0"/>
          <w:iCs w:val="0"/>
          <w:noProof/>
          <w:color w:val="auto"/>
        </w:rPr>
        <w:drawing>
          <wp:inline distT="0" distB="0" distL="0" distR="0" wp14:anchorId="39BE7767" wp14:editId="3EED3222">
            <wp:extent cx="5756910" cy="5653405"/>
            <wp:effectExtent l="0" t="0" r="0" b="0"/>
            <wp:docPr id="2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65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7C58"/>
    <w:multiLevelType w:val="multilevel"/>
    <w:tmpl w:val="0CF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F21CB"/>
    <w:multiLevelType w:val="multilevel"/>
    <w:tmpl w:val="41E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5B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73E5B"/>
    <w:rsid w:val="00AA4222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25BD"/>
  <w15:chartTrackingRefBased/>
  <w15:docId w15:val="{F0D87A8F-D0DA-410D-9AF1-B126E9D5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343F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A73E5B"/>
  </w:style>
  <w:style w:type="character" w:customStyle="1" w:styleId="mopen">
    <w:name w:val="mopen"/>
    <w:basedOn w:val="Absatz-Standardschriftart"/>
    <w:rsid w:val="00A73E5B"/>
  </w:style>
  <w:style w:type="character" w:customStyle="1" w:styleId="delimsizinginner">
    <w:name w:val="delimsizinginner"/>
    <w:basedOn w:val="Absatz-Standardschriftart"/>
    <w:rsid w:val="00A73E5B"/>
  </w:style>
  <w:style w:type="character" w:customStyle="1" w:styleId="vlist-s">
    <w:name w:val="vlist-s"/>
    <w:basedOn w:val="Absatz-Standardschriftart"/>
    <w:rsid w:val="00A73E5B"/>
  </w:style>
  <w:style w:type="character" w:customStyle="1" w:styleId="mord">
    <w:name w:val="mord"/>
    <w:basedOn w:val="Absatz-Standardschriftart"/>
    <w:rsid w:val="00A73E5B"/>
  </w:style>
  <w:style w:type="character" w:customStyle="1" w:styleId="mclose">
    <w:name w:val="mclose"/>
    <w:basedOn w:val="Absatz-Standardschriftart"/>
    <w:rsid w:val="00A73E5B"/>
  </w:style>
  <w:style w:type="character" w:customStyle="1" w:styleId="mrel">
    <w:name w:val="mrel"/>
    <w:basedOn w:val="Absatz-Standardschriftart"/>
    <w:rsid w:val="00A73E5B"/>
  </w:style>
  <w:style w:type="character" w:customStyle="1" w:styleId="mbin">
    <w:name w:val="mbin"/>
    <w:basedOn w:val="Absatz-Standardschriftart"/>
    <w:rsid w:val="00A73E5B"/>
  </w:style>
  <w:style w:type="character" w:customStyle="1" w:styleId="mop">
    <w:name w:val="mop"/>
    <w:basedOn w:val="Absatz-Standardschriftart"/>
    <w:rsid w:val="00A73E5B"/>
  </w:style>
  <w:style w:type="character" w:customStyle="1" w:styleId="mpunct">
    <w:name w:val="mpunct"/>
    <w:basedOn w:val="Absatz-Standardschriftart"/>
    <w:rsid w:val="00A73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652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2025-06-25T20:29:00Z</dcterms:created>
  <dcterms:modified xsi:type="dcterms:W3CDTF">2025-06-25T20:32:00Z</dcterms:modified>
</cp:coreProperties>
</file>